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289C0" w14:textId="00A11A25" w:rsidR="00700627" w:rsidRPr="00AE4F92" w:rsidRDefault="00700627" w:rsidP="00700627">
      <w:pPr>
        <w:suppressAutoHyphens/>
        <w:ind w:left="1247"/>
        <w:rPr>
          <w:rFonts w:eastAsia="Calibri"/>
          <w:b/>
          <w:sz w:val="28"/>
          <w:szCs w:val="28"/>
        </w:rPr>
      </w:pPr>
      <w:r w:rsidRPr="00AE4F92">
        <w:rPr>
          <w:rFonts w:eastAsia="Calibri"/>
          <w:b/>
          <w:bCs/>
          <w:sz w:val="28"/>
          <w:szCs w:val="28"/>
        </w:rPr>
        <w:t>БК-15/21: Техническая помощь</w:t>
      </w:r>
    </w:p>
    <w:p w14:paraId="491B72FA" w14:textId="77777777" w:rsidR="00700627" w:rsidRPr="008276FE" w:rsidRDefault="00700627" w:rsidP="00700627">
      <w:pPr>
        <w:suppressAutoHyphens/>
        <w:ind w:left="1247"/>
        <w:jc w:val="center"/>
        <w:rPr>
          <w:rFonts w:eastAsia="Calibri"/>
          <w:b/>
          <w:sz w:val="24"/>
          <w:szCs w:val="24"/>
        </w:rPr>
      </w:pPr>
      <w:r>
        <w:rPr>
          <w:rFonts w:eastAsia="Calibri"/>
          <w:b/>
          <w:bCs/>
          <w:sz w:val="24"/>
          <w:szCs w:val="24"/>
          <w:lang w:val="en-US"/>
        </w:rPr>
        <w:t>I</w:t>
      </w:r>
    </w:p>
    <w:p w14:paraId="3D16ADB2" w14:textId="77777777" w:rsidR="00700627" w:rsidRPr="00AE4F92" w:rsidRDefault="00700627" w:rsidP="00700627">
      <w:pPr>
        <w:suppressAutoHyphens/>
        <w:ind w:left="1247"/>
        <w:jc w:val="center"/>
        <w:rPr>
          <w:rFonts w:eastAsia="Calibri"/>
          <w:b/>
          <w:sz w:val="24"/>
          <w:szCs w:val="24"/>
        </w:rPr>
      </w:pPr>
      <w:r w:rsidRPr="00AE4F92">
        <w:rPr>
          <w:rFonts w:eastAsia="Calibri"/>
          <w:b/>
          <w:bCs/>
          <w:sz w:val="24"/>
          <w:szCs w:val="24"/>
        </w:rPr>
        <w:t>Техническая помощь</w:t>
      </w:r>
    </w:p>
    <w:p w14:paraId="2A126D71" w14:textId="77777777" w:rsidR="00700627" w:rsidRPr="00AE4F92" w:rsidRDefault="00700627" w:rsidP="00700627">
      <w:pPr>
        <w:ind w:left="1247" w:firstLine="624"/>
        <w:rPr>
          <w:rFonts w:eastAsia="Calibri"/>
          <w:i/>
          <w:iCs/>
          <w:lang w:val="en-US"/>
        </w:rPr>
      </w:pPr>
      <w:r w:rsidRPr="00AE4F92">
        <w:rPr>
          <w:rFonts w:eastAsia="Calibri"/>
          <w:i/>
          <w:iCs/>
        </w:rPr>
        <w:t>Конференция Сторон</w:t>
      </w:r>
      <w:r w:rsidRPr="00AE4F92">
        <w:rPr>
          <w:rFonts w:eastAsia="Calibri"/>
        </w:rPr>
        <w:t>,</w:t>
      </w:r>
    </w:p>
    <w:p w14:paraId="1FFD517C" w14:textId="77777777" w:rsidR="00700627" w:rsidRPr="00AE4F92" w:rsidRDefault="00700627">
      <w:pPr>
        <w:numPr>
          <w:ilvl w:val="0"/>
          <w:numId w:val="4"/>
        </w:numPr>
        <w:ind w:left="1247" w:firstLine="624"/>
        <w:rPr>
          <w:rFonts w:eastAsia="Calibri"/>
        </w:rPr>
      </w:pPr>
      <w:r w:rsidRPr="00AE4F92">
        <w:rPr>
          <w:rFonts w:eastAsia="Calibri"/>
          <w:i/>
          <w:iCs/>
        </w:rPr>
        <w:t xml:space="preserve">принимает к сведению </w:t>
      </w:r>
      <w:r w:rsidRPr="00AE4F92">
        <w:rPr>
          <w:rFonts w:eastAsia="Calibri"/>
        </w:rPr>
        <w:t>доклад о потребностях Сторон, являющихся развивающимися странами, и Сторон, являющихся странами с переходной экономикой, в технической помощи и передаче технологии</w:t>
      </w:r>
      <w:r w:rsidRPr="00AE4F92">
        <w:rPr>
          <w:rFonts w:eastAsia="Calibri"/>
          <w:vertAlign w:val="superscript"/>
        </w:rPr>
        <w:footnoteReference w:id="1"/>
      </w:r>
      <w:r w:rsidRPr="00AE4F92">
        <w:rPr>
          <w:rFonts w:eastAsia="Calibri"/>
        </w:rPr>
        <w:t>, а также базу данных, обобщающую потребности в технической помощи</w:t>
      </w:r>
      <w:r w:rsidRPr="00AE4F92">
        <w:rPr>
          <w:rFonts w:eastAsia="Calibri"/>
          <w:vertAlign w:val="superscript"/>
        </w:rPr>
        <w:footnoteReference w:id="2"/>
      </w:r>
      <w:r w:rsidRPr="00AE4F92">
        <w:rPr>
          <w:rFonts w:eastAsia="Calibri"/>
        </w:rPr>
        <w:t>;</w:t>
      </w:r>
    </w:p>
    <w:p w14:paraId="542BB5D2" w14:textId="77777777" w:rsidR="00700627" w:rsidRPr="00AE4F92" w:rsidRDefault="00700627">
      <w:pPr>
        <w:numPr>
          <w:ilvl w:val="0"/>
          <w:numId w:val="4"/>
        </w:numPr>
        <w:ind w:left="1247" w:firstLine="624"/>
        <w:rPr>
          <w:rFonts w:eastAsia="Calibri"/>
        </w:rPr>
      </w:pPr>
      <w:r w:rsidRPr="00AE4F92">
        <w:rPr>
          <w:rFonts w:eastAsia="Calibri"/>
          <w:i/>
          <w:iCs/>
        </w:rPr>
        <w:t>призывает</w:t>
      </w:r>
      <w:r w:rsidRPr="00AE4F92">
        <w:rPr>
          <w:rFonts w:eastAsia="Calibri"/>
        </w:rPr>
        <w:t xml:space="preserve"> всех соответствующих субъектов, оказывающих техническую помощь, учитывать информацию, имеющуюся в этой базе данных;</w:t>
      </w:r>
    </w:p>
    <w:p w14:paraId="2BEB26D6" w14:textId="77777777" w:rsidR="00700627" w:rsidRPr="00AE4F92" w:rsidRDefault="00700627">
      <w:pPr>
        <w:numPr>
          <w:ilvl w:val="0"/>
          <w:numId w:val="4"/>
        </w:numPr>
        <w:ind w:left="1247" w:firstLine="624"/>
        <w:rPr>
          <w:rFonts w:eastAsia="Calibri"/>
        </w:rPr>
      </w:pPr>
      <w:r w:rsidRPr="00AE4F92">
        <w:rPr>
          <w:rFonts w:eastAsia="Calibri"/>
          <w:i/>
          <w:iCs/>
        </w:rPr>
        <w:t>поручает</w:t>
      </w:r>
      <w:r w:rsidRPr="00AE4F92">
        <w:rPr>
          <w:rFonts w:eastAsia="Calibri"/>
        </w:rPr>
        <w:t xml:space="preserve"> секретариату подготовить следующий доклад о потребностях Сторон, являющихся развивающимися странами, и Сторон, являющихся странами с переходной экономикой, в технической помощи и передаче технологии для представления Конференции Сторон на ее совещании в 2025 году; </w:t>
      </w:r>
    </w:p>
    <w:p w14:paraId="773DA8A5" w14:textId="77777777" w:rsidR="00700627" w:rsidRPr="00AE4F92" w:rsidRDefault="00700627">
      <w:pPr>
        <w:numPr>
          <w:ilvl w:val="0"/>
          <w:numId w:val="4"/>
        </w:numPr>
        <w:ind w:left="1247" w:firstLine="624"/>
        <w:rPr>
          <w:rFonts w:eastAsia="Calibri"/>
          <w:color w:val="000000"/>
        </w:rPr>
      </w:pPr>
      <w:bookmarkStart w:id="0" w:name="_Hlk60218582"/>
      <w:r w:rsidRPr="00AE4F92">
        <w:rPr>
          <w:rFonts w:eastAsia="Calibri"/>
          <w:i/>
          <w:iCs/>
        </w:rPr>
        <w:t xml:space="preserve">принимает к сведению </w:t>
      </w:r>
      <w:r w:rsidRPr="00AE4F92">
        <w:rPr>
          <w:rFonts w:eastAsia="Calibri"/>
        </w:rPr>
        <w:t>доклад о выполнении плана оказания технической помощи за период 2018-2021 годов</w:t>
      </w:r>
      <w:r w:rsidRPr="00AE4F92">
        <w:rPr>
          <w:rFonts w:eastAsia="Calibri"/>
          <w:vertAlign w:val="superscript"/>
        </w:rPr>
        <w:footnoteReference w:id="3"/>
      </w:r>
      <w:r w:rsidRPr="00AE4F92">
        <w:rPr>
          <w:rFonts w:eastAsia="Calibri"/>
        </w:rPr>
        <w:t>, включая мероприятия по созданию потенциала с целью осуществления Базельской конвенции о контроле за трансграничной перевозкой опасных отходов и их удалением,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w:t>
      </w:r>
      <w:bookmarkEnd w:id="0"/>
    </w:p>
    <w:p w14:paraId="137BB808" w14:textId="77777777" w:rsidR="00700627" w:rsidRPr="00AE4F92" w:rsidRDefault="00700627">
      <w:pPr>
        <w:numPr>
          <w:ilvl w:val="0"/>
          <w:numId w:val="4"/>
        </w:numPr>
        <w:ind w:left="1247" w:firstLine="624"/>
        <w:rPr>
          <w:rFonts w:eastAsia="Calibri"/>
          <w:color w:val="000000"/>
        </w:rPr>
      </w:pPr>
      <w:r w:rsidRPr="00AE4F92">
        <w:rPr>
          <w:rFonts w:eastAsia="Calibri"/>
          <w:i/>
          <w:iCs/>
        </w:rPr>
        <w:t>приветствует</w:t>
      </w:r>
      <w:r w:rsidRPr="00AE4F92">
        <w:rPr>
          <w:rFonts w:eastAsia="Calibri"/>
        </w:rPr>
        <w:t xml:space="preserve"> план оказания технической помощи для осуществления Базельской, Роттердамской и Стокгольмской конвенций на период 2022-2025 годов</w:t>
      </w:r>
      <w:r w:rsidRPr="00AE4F92">
        <w:rPr>
          <w:rFonts w:eastAsia="Calibri"/>
          <w:iCs/>
          <w:vertAlign w:val="superscript"/>
        </w:rPr>
        <w:footnoteReference w:id="4"/>
      </w:r>
      <w:r w:rsidRPr="00AE4F92">
        <w:rPr>
          <w:rFonts w:eastAsia="Calibri"/>
        </w:rPr>
        <w:t>;</w:t>
      </w:r>
    </w:p>
    <w:p w14:paraId="0C4FC893" w14:textId="77777777" w:rsidR="00700627" w:rsidRPr="00AE4F92" w:rsidRDefault="00700627">
      <w:pPr>
        <w:numPr>
          <w:ilvl w:val="0"/>
          <w:numId w:val="4"/>
        </w:numPr>
        <w:ind w:left="1247" w:firstLine="624"/>
        <w:rPr>
          <w:rFonts w:eastAsia="Calibri"/>
          <w:color w:val="000000"/>
        </w:rPr>
      </w:pPr>
      <w:r w:rsidRPr="00AE4F92">
        <w:rPr>
          <w:rFonts w:eastAsia="Calibri"/>
        </w:rPr>
        <w:t>поручает секретариату распространить план различными способами и способствовать повышению осведомленности о плане соответствующих субъектов;</w:t>
      </w:r>
    </w:p>
    <w:p w14:paraId="6BCE75AF" w14:textId="77777777" w:rsidR="00700627" w:rsidRPr="00AE4F92" w:rsidRDefault="00700627">
      <w:pPr>
        <w:numPr>
          <w:ilvl w:val="0"/>
          <w:numId w:val="4"/>
        </w:numPr>
        <w:ind w:left="1247" w:firstLine="624"/>
        <w:rPr>
          <w:rFonts w:eastAsia="Calibri"/>
        </w:rPr>
      </w:pPr>
      <w:r w:rsidRPr="00AE4F92">
        <w:rPr>
          <w:rFonts w:eastAsia="Calibri"/>
          <w:i/>
          <w:iCs/>
        </w:rPr>
        <w:t xml:space="preserve">принимает к сведению </w:t>
      </w:r>
      <w:r w:rsidRPr="00AE4F92">
        <w:rPr>
          <w:rFonts w:eastAsia="Calibri"/>
        </w:rPr>
        <w:t>информацию, представленную в докладе «Чрезвычайные ситуации в области экологии и здравоохранения: роль Базельской, Роттердамской и Стокгольмской конвенций в оказании Сторонам поддержки в вопросах предотвращения, готовности, реагирования и восстановления»</w:t>
      </w:r>
      <w:r w:rsidRPr="00AE4F92">
        <w:rPr>
          <w:rFonts w:eastAsia="Calibri"/>
          <w:iCs/>
          <w:vertAlign w:val="superscript"/>
        </w:rPr>
        <w:footnoteReference w:id="5"/>
      </w:r>
      <w:r w:rsidRPr="00AE4F92">
        <w:rPr>
          <w:rFonts w:eastAsia="Calibri"/>
        </w:rPr>
        <w:t>;</w:t>
      </w:r>
    </w:p>
    <w:p w14:paraId="6A85A2F2" w14:textId="77777777" w:rsidR="00700627" w:rsidRPr="00AE4F92" w:rsidRDefault="00700627">
      <w:pPr>
        <w:numPr>
          <w:ilvl w:val="0"/>
          <w:numId w:val="4"/>
        </w:numPr>
        <w:ind w:left="1247" w:firstLine="624"/>
        <w:rPr>
          <w:rFonts w:eastAsia="Calibri"/>
          <w:i/>
          <w:color w:val="000000"/>
        </w:rPr>
      </w:pPr>
      <w:r w:rsidRPr="00AE4F92">
        <w:rPr>
          <w:rFonts w:eastAsia="Calibri"/>
          <w:i/>
          <w:iCs/>
        </w:rPr>
        <w:t>призывает</w:t>
      </w:r>
      <w:r w:rsidRPr="00AE4F92">
        <w:rPr>
          <w:rFonts w:eastAsia="Calibri"/>
        </w:rPr>
        <w:t xml:space="preserve"> Стороны, Программу Организации Объединенных Наций по окружающей среде, Продовольственную и сельскохозяйственную организацию Объединенных Наций, Глобальный экологический фонд, Специальную программу для оказания поддержки деятельности по укреплению институционального потенциала на национальном уровне в интересах осуществления Базельской, Роттердамской и Стокгольмской конвенций, Минаматской конвенции о ртути и Стратегического подхода к международному регулированию химических веществ, а также региональные центры Базельской и Стокгольмской конвенций принять во внимание план оказания технической помощи для осуществления Базельской, Роттердамской и Стокгольмской конвенций на период 2022</w:t>
      </w:r>
      <w:r>
        <w:rPr>
          <w:rFonts w:eastAsia="Calibri"/>
        </w:rPr>
        <w:noBreakHyphen/>
      </w:r>
      <w:r w:rsidRPr="00AE4F92">
        <w:rPr>
          <w:rFonts w:eastAsia="Calibri"/>
        </w:rPr>
        <w:t>2025</w:t>
      </w:r>
      <w:r w:rsidRPr="00AE4F92">
        <w:rPr>
          <w:rFonts w:eastAsia="Calibri"/>
          <w:lang w:val="en-US"/>
        </w:rPr>
        <w:t> </w:t>
      </w:r>
      <w:r w:rsidRPr="00AE4F92">
        <w:rPr>
          <w:rFonts w:eastAsia="Calibri"/>
        </w:rPr>
        <w:t>годов;</w:t>
      </w:r>
    </w:p>
    <w:p w14:paraId="23C91F2B" w14:textId="77777777" w:rsidR="00700627" w:rsidRPr="00AE4F92" w:rsidRDefault="00700627">
      <w:pPr>
        <w:numPr>
          <w:ilvl w:val="0"/>
          <w:numId w:val="4"/>
        </w:numPr>
        <w:ind w:left="1247" w:firstLine="624"/>
        <w:rPr>
          <w:rFonts w:eastAsia="Calibri"/>
        </w:rPr>
      </w:pPr>
      <w:r w:rsidRPr="00AE4F92">
        <w:rPr>
          <w:rFonts w:eastAsia="Calibri"/>
          <w:i/>
          <w:iCs/>
        </w:rPr>
        <w:t xml:space="preserve">призывает </w:t>
      </w:r>
      <w:r w:rsidRPr="00AE4F92">
        <w:rPr>
          <w:rFonts w:eastAsia="Calibri"/>
        </w:rPr>
        <w:t xml:space="preserve">соответствующие Стороны в соответствии со статьей 10 Базельской конвенции, статьей 16 Роттердамской конвенции и статьей 12 Стокгольмской конвенции и предлагает другим субъектам, располагающим такой возможностью, оказывать поддержку </w:t>
      </w:r>
      <w:r w:rsidRPr="00AE4F92">
        <w:rPr>
          <w:rFonts w:eastAsia="Calibri"/>
        </w:rPr>
        <w:lastRenderedPageBreak/>
        <w:t>выполнению плана технической помощи для осуществления Базельской, Роттердамской и Стокгольмской конвенций на период 2022-2025 годов;</w:t>
      </w:r>
    </w:p>
    <w:p w14:paraId="75BD74C2" w14:textId="77777777" w:rsidR="00700627" w:rsidRPr="00AE4F92" w:rsidRDefault="00700627">
      <w:pPr>
        <w:numPr>
          <w:ilvl w:val="0"/>
          <w:numId w:val="4"/>
        </w:numPr>
        <w:ind w:left="1247" w:firstLine="624"/>
        <w:rPr>
          <w:rFonts w:eastAsia="Calibri"/>
          <w:i/>
          <w:color w:val="000000"/>
        </w:rPr>
      </w:pPr>
      <w:r w:rsidRPr="00AE4F92">
        <w:rPr>
          <w:rFonts w:eastAsia="Calibri"/>
          <w:i/>
          <w:iCs/>
        </w:rPr>
        <w:t xml:space="preserve">поручает </w:t>
      </w:r>
      <w:r w:rsidRPr="00AE4F92">
        <w:rPr>
          <w:rFonts w:eastAsia="Calibri"/>
        </w:rPr>
        <w:t>секретариату при условии наличия ресурсов:</w:t>
      </w:r>
    </w:p>
    <w:p w14:paraId="003522E7" w14:textId="77777777" w:rsidR="00700627" w:rsidRPr="00AE4F92" w:rsidRDefault="00700627">
      <w:pPr>
        <w:numPr>
          <w:ilvl w:val="1"/>
          <w:numId w:val="5"/>
        </w:numPr>
        <w:ind w:left="1247" w:firstLine="624"/>
        <w:rPr>
          <w:rFonts w:eastAsia="Calibri"/>
          <w:color w:val="000000"/>
        </w:rPr>
      </w:pPr>
      <w:r w:rsidRPr="00AE4F92">
        <w:rPr>
          <w:rFonts w:eastAsia="Calibri"/>
        </w:rPr>
        <w:t>в сотрудничестве с соответствующими субъектами осуществлять план оказания технической помощи на период 2022-2025 годов согласно соответствующим решениям, принятым Конференцией Сторон;</w:t>
      </w:r>
    </w:p>
    <w:p w14:paraId="1188A51A" w14:textId="77777777" w:rsidR="00700627" w:rsidRPr="00AE4F92" w:rsidRDefault="00700627">
      <w:pPr>
        <w:numPr>
          <w:ilvl w:val="1"/>
          <w:numId w:val="5"/>
        </w:numPr>
        <w:ind w:left="1247" w:firstLine="624"/>
        <w:rPr>
          <w:rFonts w:eastAsia="Calibri"/>
          <w:color w:val="000000"/>
        </w:rPr>
      </w:pPr>
      <w:r w:rsidRPr="00AE4F92">
        <w:rPr>
          <w:rFonts w:eastAsia="Calibri"/>
        </w:rPr>
        <w:t>вести базу данных, о которой говорится в пункте 1 настоящего решения, и обеспечить ее доступность через веб-сайты конвенций;</w:t>
      </w:r>
    </w:p>
    <w:p w14:paraId="42329E3A" w14:textId="77777777" w:rsidR="00700627" w:rsidRPr="00AE4F92" w:rsidRDefault="00700627">
      <w:pPr>
        <w:numPr>
          <w:ilvl w:val="1"/>
          <w:numId w:val="5"/>
        </w:numPr>
        <w:ind w:left="1247" w:firstLine="624"/>
        <w:rPr>
          <w:rFonts w:eastAsia="Calibri"/>
          <w:color w:val="000000"/>
        </w:rPr>
      </w:pPr>
      <w:r w:rsidRPr="00AE4F92">
        <w:rPr>
          <w:rFonts w:eastAsia="Calibri"/>
        </w:rPr>
        <w:t>продолжать включать информацию о мониторинге и оценке проектов, осуществляемых в рамках плана оказания технической помощи на период 2022-2025 годов, в доклад, испрошенный в пункте 12 настоящего решения;</w:t>
      </w:r>
    </w:p>
    <w:p w14:paraId="2AECFFBA" w14:textId="77777777" w:rsidR="00700627" w:rsidRPr="00AE4F92" w:rsidRDefault="00700627">
      <w:pPr>
        <w:numPr>
          <w:ilvl w:val="0"/>
          <w:numId w:val="4"/>
        </w:numPr>
        <w:ind w:left="1247" w:firstLine="624"/>
        <w:rPr>
          <w:rFonts w:eastAsia="Calibri"/>
          <w:color w:val="000000"/>
        </w:rPr>
      </w:pPr>
      <w:r w:rsidRPr="00AE4F92">
        <w:rPr>
          <w:rFonts w:eastAsia="Calibri"/>
          <w:i/>
          <w:iCs/>
        </w:rPr>
        <w:t>под</w:t>
      </w:r>
      <w:r w:rsidRPr="00AE4F92">
        <w:rPr>
          <w:rFonts w:eastAsia="Calibri"/>
        </w:rPr>
        <w:t xml:space="preserve">черкивает ключевую роль региональных центров, описанную в положениях Базельской и Стокгольмской конвенций, а также региональных, субрегиональных и страновых отделений Продовольственной и сельскохозяйственной организации Объединенных Наций, Программы Организации Объединенных Наций по окружающей среде и других организаций, участвующих в Межорганизационной программе по рациональному регулированию химических веществ, в оказании технической помощи по запросу, в особенности на региональном уровне, для Базельской, Роттердамской и Стокгольмской конвенций, а также в обеспечении укрепления потенциала и содействии передаче технологии Сторонам, имеющим право на ее получение; </w:t>
      </w:r>
    </w:p>
    <w:p w14:paraId="611B5AC2" w14:textId="77777777" w:rsidR="00700627" w:rsidRPr="00AE4F92" w:rsidRDefault="00700627">
      <w:pPr>
        <w:numPr>
          <w:ilvl w:val="0"/>
          <w:numId w:val="4"/>
        </w:numPr>
        <w:ind w:left="1247" w:firstLine="624"/>
        <w:rPr>
          <w:rFonts w:eastAsia="Calibri"/>
          <w:i/>
          <w:color w:val="000000"/>
        </w:rPr>
      </w:pPr>
      <w:r w:rsidRPr="00AE4F92">
        <w:rPr>
          <w:rFonts w:eastAsia="Calibri"/>
          <w:i/>
          <w:iCs/>
        </w:rPr>
        <w:t xml:space="preserve">поручает </w:t>
      </w:r>
      <w:r w:rsidRPr="00AE4F92">
        <w:rPr>
          <w:rFonts w:eastAsia="Calibri"/>
        </w:rPr>
        <w:t>секретариату представить Конференции Сторон на ее шестнадцатом совещании доклад об осуществлении настоящего решения.</w:t>
      </w:r>
    </w:p>
    <w:p w14:paraId="7175BCA9" w14:textId="77777777" w:rsidR="00700627" w:rsidRPr="00AE4F92" w:rsidRDefault="00700627" w:rsidP="00700627">
      <w:pPr>
        <w:suppressAutoHyphens/>
        <w:ind w:left="1247"/>
        <w:jc w:val="center"/>
        <w:rPr>
          <w:bCs/>
          <w:sz w:val="24"/>
          <w:szCs w:val="24"/>
        </w:rPr>
      </w:pPr>
      <w:r w:rsidRPr="00AE4F92">
        <w:rPr>
          <w:rFonts w:eastAsia="Calibri"/>
          <w:b/>
          <w:bCs/>
          <w:sz w:val="24"/>
          <w:szCs w:val="24"/>
        </w:rPr>
        <w:t>II</w:t>
      </w:r>
    </w:p>
    <w:p w14:paraId="4CD386B8" w14:textId="77777777" w:rsidR="00700627" w:rsidRPr="00AE4F92" w:rsidRDefault="00700627" w:rsidP="00700627">
      <w:pPr>
        <w:suppressAutoHyphens/>
        <w:ind w:left="1247"/>
        <w:jc w:val="center"/>
        <w:rPr>
          <w:bCs/>
          <w:sz w:val="24"/>
          <w:szCs w:val="24"/>
        </w:rPr>
      </w:pPr>
      <w:r w:rsidRPr="00AE4F92">
        <w:rPr>
          <w:rFonts w:eastAsia="Calibri"/>
          <w:b/>
          <w:bCs/>
          <w:sz w:val="24"/>
          <w:szCs w:val="24"/>
        </w:rPr>
        <w:t>Региональные и координационные центры Базельской конвенции</w:t>
      </w:r>
      <w:r w:rsidRPr="00AE4F92">
        <w:rPr>
          <w:rFonts w:eastAsia="Calibri"/>
          <w:b/>
          <w:sz w:val="24"/>
          <w:szCs w:val="24"/>
        </w:rPr>
        <w:t xml:space="preserve"> </w:t>
      </w:r>
    </w:p>
    <w:p w14:paraId="69E42D43" w14:textId="77777777" w:rsidR="00700627" w:rsidRPr="00AE4F92" w:rsidRDefault="00700627">
      <w:pPr>
        <w:numPr>
          <w:ilvl w:val="0"/>
          <w:numId w:val="4"/>
        </w:numPr>
        <w:ind w:left="1247" w:firstLine="624"/>
        <w:rPr>
          <w:rFonts w:eastAsia="SimSun"/>
        </w:rPr>
      </w:pPr>
      <w:r w:rsidRPr="00AE4F92">
        <w:rPr>
          <w:rFonts w:eastAsia="Calibri"/>
          <w:i/>
          <w:iCs/>
        </w:rPr>
        <w:t>подчеркивает</w:t>
      </w:r>
      <w:r w:rsidRPr="00AE4F92">
        <w:rPr>
          <w:rFonts w:eastAsia="Calibri"/>
        </w:rPr>
        <w:t xml:space="preserve"> роль региональных и координационных центров Базельской конвенции в активизации предоставления технической помощи для создания потенциала с целью оказания поддержки усилиям на национальном уровне развивающихся стран и стран с переходной экономикой для осуществления положений конвенций по химическим веществам и отходам в соответствии с их основными функциями;</w:t>
      </w:r>
    </w:p>
    <w:p w14:paraId="71A95D2C" w14:textId="77777777" w:rsidR="00700627" w:rsidRPr="00AE4F92" w:rsidRDefault="00700627">
      <w:pPr>
        <w:numPr>
          <w:ilvl w:val="0"/>
          <w:numId w:val="4"/>
        </w:numPr>
        <w:ind w:left="1247" w:firstLine="624"/>
        <w:rPr>
          <w:rFonts w:eastAsia="SimSun"/>
        </w:rPr>
      </w:pPr>
      <w:r w:rsidRPr="00AE4F92">
        <w:rPr>
          <w:rFonts w:eastAsia="Calibri"/>
          <w:i/>
          <w:iCs/>
        </w:rPr>
        <w:t>подчеркивает также</w:t>
      </w:r>
      <w:r w:rsidRPr="00AE4F92">
        <w:rPr>
          <w:rFonts w:eastAsia="Calibri"/>
        </w:rPr>
        <w:t xml:space="preserve"> роль региональных и координационных центров Базельской конвенции в стимулировании передачи технологий в связи с осуществлением Базельской конвенции и предлагает им сотрудничать и осуществлять координацию друг с другом и с соответствующими партнерами в тех областях экспертных знаний, в которых они способны оказать помощь;</w:t>
      </w:r>
    </w:p>
    <w:p w14:paraId="0968482A" w14:textId="77777777" w:rsidR="00700627" w:rsidRPr="00AE4F92" w:rsidRDefault="00700627">
      <w:pPr>
        <w:numPr>
          <w:ilvl w:val="0"/>
          <w:numId w:val="4"/>
        </w:numPr>
        <w:ind w:left="1247" w:firstLine="624"/>
        <w:rPr>
          <w:rFonts w:eastAsia="SimSun"/>
          <w:lang w:val="en-US"/>
        </w:rPr>
      </w:pPr>
      <w:r w:rsidRPr="00AE4F92">
        <w:rPr>
          <w:rFonts w:eastAsia="Calibri"/>
          <w:i/>
          <w:iCs/>
        </w:rPr>
        <w:t>принимает к сведению:</w:t>
      </w:r>
    </w:p>
    <w:p w14:paraId="00A52B62" w14:textId="77777777" w:rsidR="00700627" w:rsidRPr="00AE4F92" w:rsidRDefault="00700627">
      <w:pPr>
        <w:numPr>
          <w:ilvl w:val="0"/>
          <w:numId w:val="7"/>
        </w:numPr>
        <w:ind w:left="1247" w:firstLine="624"/>
        <w:rPr>
          <w:iCs/>
        </w:rPr>
      </w:pPr>
      <w:r w:rsidRPr="00AE4F92">
        <w:rPr>
          <w:rFonts w:eastAsia="Calibri"/>
        </w:rPr>
        <w:t>отчеты о работе</w:t>
      </w:r>
      <w:r w:rsidRPr="00AE4F92">
        <w:rPr>
          <w:szCs w:val="18"/>
          <w:vertAlign w:val="superscript"/>
        </w:rPr>
        <w:footnoteReference w:id="6"/>
      </w:r>
      <w:r w:rsidRPr="00AE4F92">
        <w:rPr>
          <w:rFonts w:eastAsia="Calibri"/>
        </w:rPr>
        <w:t xml:space="preserve"> за период с января 2019 года по декабрь 2020 года, представленные региональными и субрегиональными центрами Стокгольмской конвенции, и имеющиеся планы деятельности</w:t>
      </w:r>
      <w:r w:rsidRPr="00AE4F92">
        <w:rPr>
          <w:szCs w:val="18"/>
          <w:vertAlign w:val="superscript"/>
        </w:rPr>
        <w:footnoteReference w:id="7"/>
      </w:r>
      <w:r w:rsidRPr="00AE4F92">
        <w:rPr>
          <w:rFonts w:eastAsia="Calibri"/>
        </w:rPr>
        <w:t xml:space="preserve"> на период с января 2020 года по декабрь 2023 года;</w:t>
      </w:r>
    </w:p>
    <w:p w14:paraId="5B7E03F3" w14:textId="77777777" w:rsidR="00700627" w:rsidRPr="00AE4F92" w:rsidRDefault="00700627">
      <w:pPr>
        <w:numPr>
          <w:ilvl w:val="0"/>
          <w:numId w:val="7"/>
        </w:numPr>
        <w:ind w:left="1247" w:firstLine="624"/>
      </w:pPr>
      <w:r w:rsidRPr="00AE4F92">
        <w:rPr>
          <w:rFonts w:eastAsia="Calibri"/>
        </w:rPr>
        <w:t>доклад о деятельности региональных центров Базельской и Стокгольмской конвенций</w:t>
      </w:r>
      <w:r w:rsidRPr="00AE4F92">
        <w:rPr>
          <w:vertAlign w:val="superscript"/>
        </w:rPr>
        <w:footnoteReference w:id="8"/>
      </w:r>
      <w:r w:rsidRPr="00AE4F92">
        <w:rPr>
          <w:rFonts w:eastAsia="Calibri"/>
        </w:rPr>
        <w:t>;</w:t>
      </w:r>
      <w:bookmarkStart w:id="2" w:name="_Hlk528246183"/>
    </w:p>
    <w:bookmarkEnd w:id="2"/>
    <w:p w14:paraId="0C6A67B5" w14:textId="77777777" w:rsidR="00700627" w:rsidRPr="00AE4F92" w:rsidRDefault="00700627">
      <w:pPr>
        <w:numPr>
          <w:ilvl w:val="0"/>
          <w:numId w:val="4"/>
        </w:numPr>
        <w:ind w:left="1247" w:firstLine="624"/>
        <w:rPr>
          <w:rFonts w:eastAsia="SimSun"/>
        </w:rPr>
      </w:pPr>
      <w:r w:rsidRPr="00AE4F92">
        <w:rPr>
          <w:rFonts w:eastAsia="Calibri"/>
          <w:i/>
          <w:iCs/>
        </w:rPr>
        <w:t>поручает</w:t>
      </w:r>
      <w:r w:rsidRPr="00AE4F92">
        <w:rPr>
          <w:rFonts w:eastAsia="Calibri"/>
        </w:rPr>
        <w:t xml:space="preserve"> региональным и координационным центрам Базельской конвенции представить секретариату:</w:t>
      </w:r>
    </w:p>
    <w:p w14:paraId="6919554E" w14:textId="77777777" w:rsidR="00700627" w:rsidRPr="00AE4F92" w:rsidRDefault="00700627">
      <w:pPr>
        <w:numPr>
          <w:ilvl w:val="0"/>
          <w:numId w:val="6"/>
        </w:numPr>
        <w:ind w:left="1247" w:firstLine="624"/>
      </w:pPr>
      <w:r w:rsidRPr="00AE4F92">
        <w:rPr>
          <w:rFonts w:eastAsia="Calibri"/>
        </w:rPr>
        <w:lastRenderedPageBreak/>
        <w:t>для рассмотрения Конференцией Сторон на ее шестнадцатом совещании – отчеты о работе за период с 1 января 2021 года по 31 декабря 2022 года (не позднее 31 декабря 2022 года);</w:t>
      </w:r>
    </w:p>
    <w:p w14:paraId="0BEA8747" w14:textId="77777777" w:rsidR="00700627" w:rsidRPr="00AE4F92" w:rsidRDefault="00700627">
      <w:pPr>
        <w:numPr>
          <w:ilvl w:val="0"/>
          <w:numId w:val="6"/>
        </w:numPr>
        <w:ind w:left="1247" w:firstLine="624"/>
      </w:pPr>
      <w:r w:rsidRPr="00AE4F92">
        <w:rPr>
          <w:rFonts w:eastAsia="Calibri"/>
        </w:rPr>
        <w:t>для рассмотрения Конференцией Сторон на ее двенадцатом совещании – планы деятельности на период с 1 января 2024 года по 31 декабря 2027 года (не позднее 30</w:t>
      </w:r>
      <w:r>
        <w:rPr>
          <w:rFonts w:eastAsia="Calibri"/>
          <w:lang w:val="en-US"/>
        </w:rPr>
        <w:t> </w:t>
      </w:r>
      <w:r w:rsidRPr="00AE4F92">
        <w:rPr>
          <w:rFonts w:eastAsia="Calibri"/>
        </w:rPr>
        <w:t>сентября 2023 года);</w:t>
      </w:r>
    </w:p>
    <w:p w14:paraId="3F545E86" w14:textId="77777777" w:rsidR="00700627" w:rsidRPr="00AE4F92" w:rsidRDefault="00700627">
      <w:pPr>
        <w:numPr>
          <w:ilvl w:val="0"/>
          <w:numId w:val="4"/>
        </w:numPr>
        <w:ind w:left="1247" w:firstLine="624"/>
        <w:rPr>
          <w:rFonts w:eastAsia="SimSun"/>
          <w:i/>
          <w:iCs/>
          <w:lang w:val="en-US"/>
        </w:rPr>
      </w:pPr>
      <w:r w:rsidRPr="00AE4F92">
        <w:rPr>
          <w:rFonts w:eastAsia="Calibri"/>
          <w:i/>
          <w:iCs/>
        </w:rPr>
        <w:t>поручает</w:t>
      </w:r>
      <w:r w:rsidRPr="00AE4F92">
        <w:rPr>
          <w:rFonts w:eastAsia="Calibri"/>
        </w:rPr>
        <w:t xml:space="preserve"> секретариату: </w:t>
      </w:r>
    </w:p>
    <w:p w14:paraId="22BB0935" w14:textId="77777777" w:rsidR="00700627" w:rsidRPr="00AE4F92" w:rsidRDefault="00700627">
      <w:pPr>
        <w:numPr>
          <w:ilvl w:val="0"/>
          <w:numId w:val="9"/>
        </w:numPr>
        <w:ind w:left="1247" w:firstLine="624"/>
      </w:pPr>
      <w:r w:rsidRPr="00AE4F92">
        <w:rPr>
          <w:rFonts w:eastAsia="Calibri"/>
        </w:rPr>
        <w:t>подготовить доклад о деятельности региональных и координационных центров Базельской конвенции для рассмотрения Конференцией Сторон на ее шестнадцатом совещании;</w:t>
      </w:r>
    </w:p>
    <w:p w14:paraId="7C5CF783" w14:textId="77777777" w:rsidR="00700627" w:rsidRPr="00AE4F92" w:rsidRDefault="00700627">
      <w:pPr>
        <w:numPr>
          <w:ilvl w:val="0"/>
          <w:numId w:val="9"/>
        </w:numPr>
        <w:ind w:left="1247" w:firstLine="624"/>
      </w:pPr>
      <w:bookmarkStart w:id="3" w:name="_Hlk65843060"/>
      <w:r w:rsidRPr="00AE4F92">
        <w:rPr>
          <w:rFonts w:eastAsia="Calibri"/>
        </w:rPr>
        <w:t xml:space="preserve">подготовить проекты докладов об оценке результативности и устойчивости функционирования всех </w:t>
      </w:r>
      <w:r w:rsidRPr="00F27377">
        <w:rPr>
          <w:rFonts w:eastAsia="Calibri"/>
        </w:rPr>
        <w:t>14</w:t>
      </w:r>
      <w:r w:rsidRPr="00AE4F92">
        <w:rPr>
          <w:rFonts w:eastAsia="Calibri"/>
        </w:rPr>
        <w:t xml:space="preserve"> региональных и координационных центров Базельской конвенции в соответствии с временными критериями и временной методологией, изложенными в приложении </w:t>
      </w:r>
      <w:r w:rsidRPr="00AE4F92">
        <w:rPr>
          <w:rFonts w:eastAsia="Calibri"/>
          <w:lang w:val="en-US"/>
        </w:rPr>
        <w:t>I</w:t>
      </w:r>
      <w:r w:rsidRPr="00AE4F92">
        <w:rPr>
          <w:rFonts w:eastAsia="Calibri"/>
        </w:rPr>
        <w:t xml:space="preserve"> и приложении </w:t>
      </w:r>
      <w:r w:rsidRPr="00AE4F92">
        <w:rPr>
          <w:rFonts w:eastAsia="Calibri"/>
          <w:lang w:val="en-US"/>
        </w:rPr>
        <w:t>II</w:t>
      </w:r>
      <w:r w:rsidRPr="00AE4F92">
        <w:rPr>
          <w:rFonts w:eastAsia="Calibri"/>
        </w:rPr>
        <w:t xml:space="preserve"> к решению БК-11/13, для рассмотрения Конференцией Сторон на ее </w:t>
      </w:r>
      <w:r>
        <w:rPr>
          <w:rFonts w:eastAsia="Calibri"/>
        </w:rPr>
        <w:t xml:space="preserve">шестнадцатом </w:t>
      </w:r>
      <w:r w:rsidRPr="00AE4F92">
        <w:rPr>
          <w:rFonts w:eastAsia="Calibri"/>
        </w:rPr>
        <w:t>совещании;</w:t>
      </w:r>
      <w:bookmarkEnd w:id="3"/>
    </w:p>
    <w:p w14:paraId="159064D0" w14:textId="77777777" w:rsidR="00700627" w:rsidRPr="00AE4F92" w:rsidRDefault="00700627">
      <w:pPr>
        <w:numPr>
          <w:ilvl w:val="0"/>
          <w:numId w:val="9"/>
        </w:numPr>
        <w:ind w:left="1247" w:firstLine="624"/>
      </w:pPr>
      <w:r w:rsidRPr="00AE4F92">
        <w:rPr>
          <w:rFonts w:eastAsia="Calibri"/>
        </w:rPr>
        <w:t>провести при условии наличия ресурсов следующие мероприятия по содействию работе региональных центров:</w:t>
      </w:r>
    </w:p>
    <w:p w14:paraId="5F783BBA" w14:textId="77777777" w:rsidR="00700627" w:rsidRPr="00AE4F92" w:rsidRDefault="00700627">
      <w:pPr>
        <w:numPr>
          <w:ilvl w:val="0"/>
          <w:numId w:val="8"/>
        </w:numPr>
        <w:ind w:left="3119" w:hanging="624"/>
        <w:rPr>
          <w:iCs/>
        </w:rPr>
      </w:pPr>
      <w:r w:rsidRPr="00AE4F92">
        <w:rPr>
          <w:rFonts w:eastAsia="Calibri"/>
        </w:rPr>
        <w:t>организовать два ежегодных совещания координаторов региональных центров Стокгольмской конвенции, действующих в соответствии со Стокгольмской конвенцией о стойких органических загрязнителях, и директоров региональных центров Базельской конвенции, действующих в соответствии с Базельской конвенцией о контроле за трансграничной перевозкой опасных отходов и их удалением, в целях повышения результативности работы региональных центров и укрепления сотрудничества и взаимодействия между ними, и принять участие в совещаниях руководящих комитетов региональных центров;</w:t>
      </w:r>
      <w:bookmarkStart w:id="4" w:name="_Hlk65843220"/>
      <w:bookmarkEnd w:id="4"/>
    </w:p>
    <w:p w14:paraId="2298494E" w14:textId="77777777" w:rsidR="00700627" w:rsidRPr="00AE4F92" w:rsidRDefault="00700627">
      <w:pPr>
        <w:numPr>
          <w:ilvl w:val="0"/>
          <w:numId w:val="8"/>
        </w:numPr>
        <w:ind w:left="3119" w:hanging="624"/>
        <w:rPr>
          <w:iCs/>
        </w:rPr>
      </w:pPr>
      <w:r w:rsidRPr="00AE4F92">
        <w:rPr>
          <w:rFonts w:eastAsia="Calibri"/>
        </w:rPr>
        <w:t>продолжать содействовать осуществлению национальных, субрегиональных и региональных проектов c учетом планов деятельности или планов работы региональных центров посредством Программы малых субсидий;</w:t>
      </w:r>
    </w:p>
    <w:p w14:paraId="4740FD0B" w14:textId="77777777" w:rsidR="00700627" w:rsidRPr="00AE4F92" w:rsidRDefault="00700627">
      <w:pPr>
        <w:numPr>
          <w:ilvl w:val="0"/>
          <w:numId w:val="8"/>
        </w:numPr>
        <w:ind w:left="3119" w:hanging="624"/>
        <w:rPr>
          <w:iCs/>
        </w:rPr>
      </w:pPr>
      <w:r w:rsidRPr="00AE4F92">
        <w:rPr>
          <w:rFonts w:eastAsia="Calibri"/>
        </w:rPr>
        <w:t xml:space="preserve">способствовать деятельности региональных центров с целью повышения осведомленности о них и оказывать им поддержку в выполнении их мандатов; </w:t>
      </w:r>
    </w:p>
    <w:p w14:paraId="23386252" w14:textId="77777777" w:rsidR="00700627" w:rsidRPr="00AE4F92" w:rsidRDefault="00700627">
      <w:pPr>
        <w:numPr>
          <w:ilvl w:val="0"/>
          <w:numId w:val="4"/>
        </w:numPr>
        <w:ind w:left="1247" w:firstLine="624"/>
        <w:rPr>
          <w:rFonts w:eastAsia="SimSun"/>
        </w:rPr>
      </w:pPr>
      <w:r w:rsidRPr="00AE4F92">
        <w:rPr>
          <w:rFonts w:eastAsia="Calibri"/>
          <w:i/>
          <w:iCs/>
        </w:rPr>
        <w:t>приветствует</w:t>
      </w:r>
      <w:r w:rsidRPr="00AE4F92">
        <w:rPr>
          <w:rFonts w:eastAsia="Calibri"/>
        </w:rPr>
        <w:t xml:space="preserve"> подписание рамочного соглашения между секретариатом и правительством Панамы о создании в Панаме Регионального центра Базельской конвенции для субрегиона Центральной Америки и Мексики; </w:t>
      </w:r>
    </w:p>
    <w:p w14:paraId="452096AA" w14:textId="77777777" w:rsidR="00700627" w:rsidRPr="00AE4F92" w:rsidRDefault="00700627">
      <w:pPr>
        <w:numPr>
          <w:ilvl w:val="0"/>
          <w:numId w:val="4"/>
        </w:numPr>
        <w:ind w:left="1247" w:firstLine="624"/>
        <w:rPr>
          <w:rFonts w:eastAsia="SimSun"/>
        </w:rPr>
      </w:pPr>
      <w:r w:rsidRPr="00AE4F92">
        <w:rPr>
          <w:rFonts w:eastAsia="Calibri"/>
          <w:i/>
          <w:iCs/>
        </w:rPr>
        <w:t>предлагает</w:t>
      </w:r>
      <w:r w:rsidRPr="00AE4F92">
        <w:rPr>
          <w:rFonts w:eastAsia="Calibri"/>
        </w:rPr>
        <w:t xml:space="preserve"> Сторонам, наблюдателям и другим учреждениям, располагающим соответствующими возможностями, оказывать финансовую поддержку с тем, чтобы региональные и субрегиональные центры Стокгольмской конвенции могли обеспечить реализацию своих планов работы с целью оказания Сторонам поддержки в их усилиях по выполнению своих обязательств согласно Конвенции.</w:t>
      </w:r>
    </w:p>
    <w:p w14:paraId="72A577FA" w14:textId="5DE47FDE" w:rsidR="00F935A6" w:rsidRPr="00700627" w:rsidRDefault="00F935A6" w:rsidP="00700627"/>
    <w:sectPr w:rsidR="00F935A6" w:rsidRPr="007006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F80C9" w14:textId="77777777" w:rsidR="00F226BC" w:rsidRDefault="00F226BC" w:rsidP="002B66BF">
      <w:pPr>
        <w:spacing w:after="0"/>
      </w:pPr>
      <w:r>
        <w:separator/>
      </w:r>
    </w:p>
  </w:endnote>
  <w:endnote w:type="continuationSeparator" w:id="0">
    <w:p w14:paraId="79BF7657" w14:textId="77777777" w:rsidR="00F226BC" w:rsidRDefault="00F226BC"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94F58" w14:textId="77777777" w:rsidR="00F226BC" w:rsidRDefault="00F226BC" w:rsidP="002B66BF">
      <w:pPr>
        <w:spacing w:after="0"/>
      </w:pPr>
      <w:r>
        <w:separator/>
      </w:r>
    </w:p>
  </w:footnote>
  <w:footnote w:type="continuationSeparator" w:id="0">
    <w:p w14:paraId="79FDCEE5" w14:textId="77777777" w:rsidR="00F226BC" w:rsidRDefault="00F226BC" w:rsidP="002B66BF">
      <w:pPr>
        <w:spacing w:after="0"/>
      </w:pPr>
      <w:r>
        <w:continuationSeparator/>
      </w:r>
    </w:p>
  </w:footnote>
  <w:footnote w:id="1">
    <w:p w14:paraId="0E40DE6A" w14:textId="77777777" w:rsidR="00700627" w:rsidRPr="00DA1296" w:rsidRDefault="00700627" w:rsidP="0070062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DA1296">
        <w:rPr>
          <w:sz w:val="18"/>
          <w:szCs w:val="18"/>
          <w:vertAlign w:val="superscript"/>
        </w:rPr>
        <w:footnoteRef/>
      </w:r>
      <w:r w:rsidRPr="00DA1296">
        <w:rPr>
          <w:sz w:val="18"/>
          <w:szCs w:val="18"/>
          <w:lang w:val="en-GB"/>
        </w:rPr>
        <w:t xml:space="preserve"> </w:t>
      </w:r>
      <w:r>
        <w:rPr>
          <w:sz w:val="18"/>
          <w:szCs w:val="18"/>
          <w:lang w:val="en-GB"/>
        </w:rPr>
        <w:tab/>
      </w:r>
      <w:r w:rsidRPr="00DA1296">
        <w:rPr>
          <w:sz w:val="18"/>
          <w:szCs w:val="18"/>
          <w:lang w:val="en-GB"/>
        </w:rPr>
        <w:t>UNEP/CHW.15/INF/30</w:t>
      </w:r>
      <w:r>
        <w:rPr>
          <w:sz w:val="18"/>
          <w:szCs w:val="18"/>
          <w:lang w:val="en-GB"/>
        </w:rPr>
        <w:t>-</w:t>
      </w:r>
      <w:r w:rsidRPr="00DA1296">
        <w:rPr>
          <w:sz w:val="18"/>
          <w:szCs w:val="18"/>
          <w:lang w:val="en-GB"/>
        </w:rPr>
        <w:t>UNEP/FAO/RC/COP.10/INF/18</w:t>
      </w:r>
      <w:r>
        <w:rPr>
          <w:sz w:val="18"/>
          <w:szCs w:val="18"/>
          <w:lang w:val="en-GB"/>
        </w:rPr>
        <w:t>-</w:t>
      </w:r>
      <w:r w:rsidRPr="00DA1296">
        <w:rPr>
          <w:sz w:val="18"/>
          <w:szCs w:val="18"/>
          <w:lang w:val="en-GB"/>
        </w:rPr>
        <w:t xml:space="preserve">UNEP/POPS/COP.10/INF/30. </w:t>
      </w:r>
    </w:p>
  </w:footnote>
  <w:footnote w:id="2">
    <w:p w14:paraId="69A13623" w14:textId="77777777" w:rsidR="00700627" w:rsidRPr="00DA1296" w:rsidRDefault="00700627" w:rsidP="0070062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DA1296">
        <w:rPr>
          <w:sz w:val="18"/>
          <w:szCs w:val="18"/>
          <w:vertAlign w:val="superscript"/>
        </w:rPr>
        <w:footnoteRef/>
      </w:r>
      <w:r w:rsidRPr="00DA1296">
        <w:rPr>
          <w:sz w:val="18"/>
          <w:szCs w:val="18"/>
          <w:lang w:val="en-GB"/>
        </w:rPr>
        <w:t xml:space="preserve"> </w:t>
      </w:r>
      <w:r>
        <w:rPr>
          <w:sz w:val="18"/>
          <w:szCs w:val="18"/>
          <w:lang w:val="en-GB"/>
        </w:rPr>
        <w:tab/>
      </w:r>
      <w:r w:rsidRPr="00DA1296">
        <w:rPr>
          <w:sz w:val="18"/>
          <w:szCs w:val="18"/>
          <w:lang w:val="en-GB"/>
        </w:rPr>
        <w:t>www.brsmeas.org/tabid/4898.</w:t>
      </w:r>
    </w:p>
  </w:footnote>
  <w:footnote w:id="3">
    <w:p w14:paraId="68A6CE4E" w14:textId="77777777" w:rsidR="00700627" w:rsidRPr="00DA1296" w:rsidRDefault="00700627" w:rsidP="0070062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DA1296">
        <w:rPr>
          <w:sz w:val="18"/>
          <w:szCs w:val="18"/>
          <w:vertAlign w:val="superscript"/>
        </w:rPr>
        <w:footnoteRef/>
      </w:r>
      <w:r w:rsidRPr="00DA1296">
        <w:rPr>
          <w:sz w:val="18"/>
          <w:szCs w:val="18"/>
          <w:lang w:val="en-GB"/>
        </w:rPr>
        <w:t xml:space="preserve"> </w:t>
      </w:r>
      <w:r>
        <w:rPr>
          <w:sz w:val="18"/>
          <w:szCs w:val="18"/>
          <w:lang w:val="en-GB"/>
        </w:rPr>
        <w:tab/>
      </w:r>
      <w:r w:rsidRPr="00DA1296">
        <w:rPr>
          <w:sz w:val="18"/>
          <w:szCs w:val="18"/>
          <w:lang w:val="en-GB"/>
        </w:rPr>
        <w:t>UNEP/CHW.15/INF/28</w:t>
      </w:r>
      <w:r>
        <w:rPr>
          <w:sz w:val="18"/>
          <w:szCs w:val="18"/>
          <w:lang w:val="en-GB"/>
        </w:rPr>
        <w:t>-</w:t>
      </w:r>
      <w:r w:rsidRPr="00DA1296">
        <w:rPr>
          <w:sz w:val="18"/>
          <w:szCs w:val="18"/>
          <w:lang w:val="en-GB"/>
        </w:rPr>
        <w:t>UNEP/FAO/RC/COP.10/INF/16</w:t>
      </w:r>
      <w:r>
        <w:rPr>
          <w:sz w:val="18"/>
          <w:szCs w:val="18"/>
          <w:lang w:val="en-GB"/>
        </w:rPr>
        <w:t>-</w:t>
      </w:r>
      <w:r w:rsidRPr="00DA1296">
        <w:rPr>
          <w:sz w:val="18"/>
          <w:szCs w:val="18"/>
          <w:lang w:val="en-GB"/>
        </w:rPr>
        <w:t>UNEP/POPS/COP.10/INF/28.</w:t>
      </w:r>
    </w:p>
  </w:footnote>
  <w:footnote w:id="4">
    <w:p w14:paraId="62456E42" w14:textId="77777777" w:rsidR="00700627" w:rsidRPr="00DA1296" w:rsidRDefault="00700627" w:rsidP="0070062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DA1296">
        <w:rPr>
          <w:sz w:val="18"/>
          <w:szCs w:val="18"/>
          <w:vertAlign w:val="superscript"/>
        </w:rPr>
        <w:footnoteRef/>
      </w:r>
      <w:r w:rsidRPr="00DA1296">
        <w:rPr>
          <w:sz w:val="18"/>
          <w:szCs w:val="18"/>
          <w:lang w:val="en-GB"/>
        </w:rPr>
        <w:t xml:space="preserve"> </w:t>
      </w:r>
      <w:r>
        <w:rPr>
          <w:sz w:val="18"/>
          <w:szCs w:val="18"/>
          <w:lang w:val="en-GB"/>
        </w:rPr>
        <w:tab/>
      </w:r>
      <w:r w:rsidRPr="00DA1296">
        <w:rPr>
          <w:sz w:val="18"/>
          <w:szCs w:val="18"/>
          <w:lang w:val="en-GB"/>
        </w:rPr>
        <w:t>UNEP/CHW.15/INF/29</w:t>
      </w:r>
      <w:r>
        <w:rPr>
          <w:sz w:val="18"/>
          <w:szCs w:val="18"/>
          <w:lang w:val="en-GB"/>
        </w:rPr>
        <w:t>-</w:t>
      </w:r>
      <w:r w:rsidRPr="00DA1296">
        <w:rPr>
          <w:sz w:val="18"/>
          <w:szCs w:val="18"/>
          <w:lang w:val="en-GB"/>
        </w:rPr>
        <w:t>UNEP/FAO/RC/COP.10/INF/17</w:t>
      </w:r>
      <w:r>
        <w:rPr>
          <w:sz w:val="18"/>
          <w:szCs w:val="18"/>
          <w:lang w:val="en-GB"/>
        </w:rPr>
        <w:t>-</w:t>
      </w:r>
      <w:r w:rsidRPr="00DA1296">
        <w:rPr>
          <w:sz w:val="18"/>
          <w:szCs w:val="18"/>
          <w:lang w:val="en-GB"/>
        </w:rPr>
        <w:t>UNEP/POPS/COP.10/INF/29.</w:t>
      </w:r>
    </w:p>
  </w:footnote>
  <w:footnote w:id="5">
    <w:p w14:paraId="1CA3D7B5" w14:textId="77777777" w:rsidR="00700627" w:rsidRPr="00DA1296" w:rsidRDefault="00700627" w:rsidP="0070062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DA1296">
        <w:rPr>
          <w:sz w:val="18"/>
          <w:szCs w:val="18"/>
          <w:vertAlign w:val="superscript"/>
        </w:rPr>
        <w:footnoteRef/>
      </w:r>
      <w:r w:rsidRPr="00DA1296">
        <w:rPr>
          <w:sz w:val="18"/>
          <w:szCs w:val="18"/>
          <w:lang w:val="en-GB"/>
        </w:rPr>
        <w:t xml:space="preserve"> </w:t>
      </w:r>
      <w:r>
        <w:rPr>
          <w:sz w:val="18"/>
          <w:szCs w:val="18"/>
          <w:lang w:val="en-GB"/>
        </w:rPr>
        <w:tab/>
      </w:r>
      <w:r w:rsidRPr="00DA1296">
        <w:rPr>
          <w:sz w:val="18"/>
          <w:szCs w:val="18"/>
          <w:lang w:val="en-GB"/>
        </w:rPr>
        <w:t>UNEP/CHW.15/INF/31</w:t>
      </w:r>
      <w:r>
        <w:rPr>
          <w:sz w:val="18"/>
          <w:szCs w:val="18"/>
          <w:lang w:val="en-GB"/>
        </w:rPr>
        <w:t>-</w:t>
      </w:r>
      <w:r w:rsidRPr="00DA1296">
        <w:rPr>
          <w:sz w:val="18"/>
          <w:szCs w:val="18"/>
          <w:lang w:val="en-GB"/>
        </w:rPr>
        <w:t>UNEP/FAO/RC/COP.10/INF/19</w:t>
      </w:r>
      <w:r>
        <w:rPr>
          <w:sz w:val="18"/>
          <w:szCs w:val="18"/>
          <w:lang w:val="en-GB"/>
        </w:rPr>
        <w:t>-</w:t>
      </w:r>
      <w:r w:rsidRPr="00DA1296">
        <w:rPr>
          <w:sz w:val="18"/>
          <w:szCs w:val="18"/>
          <w:lang w:val="en-GB"/>
        </w:rPr>
        <w:t xml:space="preserve">UNEP/POPS/COP.10/INF/68. </w:t>
      </w:r>
      <w:bookmarkStart w:id="1" w:name="_Hlk64555445"/>
      <w:bookmarkEnd w:id="1"/>
    </w:p>
  </w:footnote>
  <w:footnote w:id="6">
    <w:p w14:paraId="54970CA6" w14:textId="77777777" w:rsidR="00700627" w:rsidRPr="000E6B9A" w:rsidRDefault="00700627" w:rsidP="0070062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E6B9A">
        <w:rPr>
          <w:sz w:val="18"/>
          <w:szCs w:val="18"/>
          <w:vertAlign w:val="superscript"/>
        </w:rPr>
        <w:footnoteRef/>
      </w:r>
      <w:r w:rsidRPr="000E6B9A">
        <w:rPr>
          <w:sz w:val="18"/>
          <w:szCs w:val="18"/>
          <w:lang w:val="en-GB"/>
        </w:rPr>
        <w:t xml:space="preserve"> </w:t>
      </w:r>
      <w:r>
        <w:rPr>
          <w:sz w:val="18"/>
          <w:szCs w:val="18"/>
          <w:lang w:val="en-GB"/>
        </w:rPr>
        <w:tab/>
      </w:r>
      <w:r w:rsidRPr="000E6B9A">
        <w:rPr>
          <w:sz w:val="18"/>
          <w:szCs w:val="18"/>
          <w:lang w:val="en-GB"/>
        </w:rPr>
        <w:t>www.basel.int/Partners/RegionalCentres/ActivityReports/tabid/2992/Default.aspx.</w:t>
      </w:r>
    </w:p>
  </w:footnote>
  <w:footnote w:id="7">
    <w:p w14:paraId="41CD2A99" w14:textId="77777777" w:rsidR="00700627" w:rsidRPr="000E6B9A" w:rsidRDefault="00700627" w:rsidP="0070062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E6B9A">
        <w:rPr>
          <w:sz w:val="18"/>
          <w:szCs w:val="18"/>
          <w:vertAlign w:val="superscript"/>
        </w:rPr>
        <w:footnoteRef/>
      </w:r>
      <w:r w:rsidRPr="000E6B9A">
        <w:rPr>
          <w:sz w:val="18"/>
          <w:szCs w:val="18"/>
          <w:lang w:val="en-GB"/>
        </w:rPr>
        <w:t xml:space="preserve"> </w:t>
      </w:r>
      <w:r>
        <w:rPr>
          <w:sz w:val="18"/>
          <w:szCs w:val="18"/>
          <w:lang w:val="en-GB"/>
        </w:rPr>
        <w:tab/>
      </w:r>
      <w:r w:rsidRPr="000E6B9A">
        <w:rPr>
          <w:sz w:val="18"/>
          <w:szCs w:val="18"/>
          <w:lang w:val="en-GB"/>
        </w:rPr>
        <w:t>www.basel.int/Partners/RegionalCentres/BusinessPlans/tabid/2336/Default.aspx.</w:t>
      </w:r>
    </w:p>
  </w:footnote>
  <w:footnote w:id="8">
    <w:p w14:paraId="76E817CE" w14:textId="77777777" w:rsidR="00700627" w:rsidRPr="000E6B9A" w:rsidRDefault="00700627" w:rsidP="00700627">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E6B9A">
        <w:rPr>
          <w:sz w:val="18"/>
          <w:szCs w:val="18"/>
          <w:vertAlign w:val="superscript"/>
        </w:rPr>
        <w:footnoteRef/>
      </w:r>
      <w:r w:rsidRPr="000E6B9A">
        <w:rPr>
          <w:sz w:val="18"/>
          <w:szCs w:val="18"/>
          <w:lang w:val="en-GB"/>
        </w:rPr>
        <w:t xml:space="preserve"> </w:t>
      </w:r>
      <w:r>
        <w:rPr>
          <w:sz w:val="18"/>
          <w:szCs w:val="18"/>
          <w:lang w:val="en-GB"/>
        </w:rPr>
        <w:tab/>
      </w:r>
      <w:r w:rsidRPr="000E6B9A">
        <w:rPr>
          <w:sz w:val="18"/>
          <w:szCs w:val="18"/>
          <w:lang w:val="en-GB"/>
        </w:rPr>
        <w:t>UNEP/CHW.15/INF/32–UNEP/POPS/COP.10/INF/31.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 w15:restartNumberingAfterBreak="0">
    <w:nsid w:val="206B7153"/>
    <w:multiLevelType w:val="hybridMultilevel"/>
    <w:tmpl w:val="787C92EC"/>
    <w:lvl w:ilvl="0" w:tplc="BA6C3C0C">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37A615AF"/>
    <w:multiLevelType w:val="hybridMultilevel"/>
    <w:tmpl w:val="0E7281F6"/>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695031C"/>
    <w:multiLevelType w:val="hybridMultilevel"/>
    <w:tmpl w:val="F22AE4D0"/>
    <w:lvl w:ilvl="0" w:tplc="0B82E394">
      <w:start w:val="1"/>
      <w:numFmt w:val="lowerLetter"/>
      <w:lvlText w:val="%1)"/>
      <w:lvlJc w:val="left"/>
      <w:pPr>
        <w:ind w:left="2062"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8" w15:restartNumberingAfterBreak="0">
    <w:nsid w:val="7C5B024A"/>
    <w:multiLevelType w:val="hybridMultilevel"/>
    <w:tmpl w:val="0EDE96B6"/>
    <w:lvl w:ilvl="0" w:tplc="6FA444FC">
      <w:start w:val="1"/>
      <w:numFmt w:val="decimal"/>
      <w:lvlText w:val="%1."/>
      <w:lvlJc w:val="left"/>
      <w:pPr>
        <w:ind w:left="360"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380400344">
    <w:abstractNumId w:val="0"/>
  </w:num>
  <w:num w:numId="2" w16cid:durableId="564267273">
    <w:abstractNumId w:val="7"/>
  </w:num>
  <w:num w:numId="3" w16cid:durableId="1390229554">
    <w:abstractNumId w:val="4"/>
  </w:num>
  <w:num w:numId="4" w16cid:durableId="1231387698">
    <w:abstractNumId w:val="8"/>
  </w:num>
  <w:num w:numId="5" w16cid:durableId="1631549399">
    <w:abstractNumId w:val="2"/>
  </w:num>
  <w:num w:numId="6" w16cid:durableId="1062219743">
    <w:abstractNumId w:val="5"/>
  </w:num>
  <w:num w:numId="7" w16cid:durableId="1025211859">
    <w:abstractNumId w:val="6"/>
  </w:num>
  <w:num w:numId="8" w16cid:durableId="1811946306">
    <w:abstractNumId w:val="1"/>
  </w:num>
  <w:num w:numId="9" w16cid:durableId="1851528727">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B2CB7"/>
    <w:rsid w:val="002B66BF"/>
    <w:rsid w:val="00322FE3"/>
    <w:rsid w:val="003C0A29"/>
    <w:rsid w:val="003C25AF"/>
    <w:rsid w:val="00447FD6"/>
    <w:rsid w:val="00475395"/>
    <w:rsid w:val="005B1C5E"/>
    <w:rsid w:val="00617E26"/>
    <w:rsid w:val="006A2E46"/>
    <w:rsid w:val="00700627"/>
    <w:rsid w:val="007A72EB"/>
    <w:rsid w:val="00836B73"/>
    <w:rsid w:val="00872B69"/>
    <w:rsid w:val="009B16ED"/>
    <w:rsid w:val="00C84536"/>
    <w:rsid w:val="00CA40F2"/>
    <w:rsid w:val="00D167FF"/>
    <w:rsid w:val="00E75C1B"/>
    <w:rsid w:val="00F226BC"/>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
      </w:numPr>
    </w:pPr>
  </w:style>
  <w:style w:type="numbering" w:customStyle="1" w:styleId="EstiloImportado111">
    <w:name w:val="Estilo Importado 111"/>
    <w:rsid w:val="006A2E46"/>
    <w:pPr>
      <w:numPr>
        <w:numId w:val="1"/>
      </w:numPr>
    </w:pPr>
  </w:style>
  <w:style w:type="numbering" w:customStyle="1" w:styleId="EstiloImportado211">
    <w:name w:val="Estilo Importado 211"/>
    <w:rsid w:val="006A2E46"/>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1177</Words>
  <Characters>6712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2023-05-22T13:00:00Z</dcterms:created>
  <dcterms:modified xsi:type="dcterms:W3CDTF">2023-05-22T13:00:00Z</dcterms:modified>
</cp:coreProperties>
</file>