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0DB74" w14:textId="77777777" w:rsidR="006F0658" w:rsidRPr="00447994" w:rsidRDefault="006F0658" w:rsidP="006F0658">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15/21: Asistencia técnica</w:t>
      </w:r>
    </w:p>
    <w:p w14:paraId="557FC50F" w14:textId="77777777" w:rsidR="006F0658" w:rsidRPr="00447994" w:rsidRDefault="006F0658" w:rsidP="006F0658">
      <w:pPr>
        <w:pStyle w:val="CH2"/>
        <w:ind w:firstLine="0"/>
        <w:jc w:val="center"/>
        <w:rPr>
          <w:lang w:val="es-ES_tradnl"/>
        </w:rPr>
      </w:pPr>
      <w:r w:rsidRPr="00447994">
        <w:rPr>
          <w:bCs/>
          <w:lang w:val="es-ES_tradnl"/>
        </w:rPr>
        <w:t>I</w:t>
      </w:r>
    </w:p>
    <w:p w14:paraId="21B7BB13" w14:textId="77777777" w:rsidR="006F0658" w:rsidRPr="00447994" w:rsidRDefault="006F0658" w:rsidP="006F0658">
      <w:pPr>
        <w:pStyle w:val="CH2"/>
        <w:spacing w:before="80"/>
        <w:ind w:firstLine="0"/>
        <w:jc w:val="center"/>
        <w:rPr>
          <w:lang w:val="es-ES_tradnl"/>
        </w:rPr>
      </w:pPr>
      <w:r w:rsidRPr="00447994">
        <w:rPr>
          <w:bCs/>
          <w:lang w:val="es-ES_tradnl"/>
        </w:rPr>
        <w:t>Asistencia técnica</w:t>
      </w:r>
    </w:p>
    <w:p w14:paraId="20908D97" w14:textId="77777777" w:rsidR="006F0658" w:rsidRPr="00447994" w:rsidRDefault="006F0658" w:rsidP="006F0658">
      <w:pPr>
        <w:pStyle w:val="Normal-pool"/>
        <w:spacing w:after="120"/>
        <w:ind w:left="1247" w:firstLine="624"/>
        <w:rPr>
          <w:i/>
          <w:iCs/>
          <w:lang w:val="es-ES_tradnl"/>
        </w:rPr>
      </w:pPr>
      <w:r w:rsidRPr="00447994">
        <w:rPr>
          <w:i/>
          <w:iCs/>
          <w:lang w:val="es-ES_tradnl"/>
        </w:rPr>
        <w:t>La Conferencia de las Partes</w:t>
      </w:r>
    </w:p>
    <w:p w14:paraId="64948A7B" w14:textId="77777777" w:rsidR="006F0658" w:rsidRPr="00447994" w:rsidRDefault="006F0658">
      <w:pPr>
        <w:pStyle w:val="Normal-pool"/>
        <w:numPr>
          <w:ilvl w:val="0"/>
          <w:numId w:val="1"/>
        </w:numPr>
        <w:tabs>
          <w:tab w:val="clear" w:pos="1247"/>
          <w:tab w:val="clear" w:pos="1814"/>
        </w:tabs>
        <w:spacing w:after="120"/>
        <w:ind w:left="1247" w:firstLine="624"/>
        <w:rPr>
          <w:lang w:val="es-ES_tradnl"/>
        </w:rPr>
      </w:pPr>
      <w:r w:rsidRPr="00447994">
        <w:rPr>
          <w:i/>
          <w:iCs/>
          <w:lang w:val="es-ES_tradnl"/>
        </w:rPr>
        <w:t>Toma nota</w:t>
      </w:r>
      <w:r w:rsidRPr="00447994">
        <w:rPr>
          <w:lang w:val="es-ES_tradnl"/>
        </w:rPr>
        <w:t xml:space="preserve"> del informe sobre las necesidades en materia de asistencia técnica y transferencia de tecnología de las Partes que son países en desarrollo y países con economías en transición</w:t>
      </w:r>
      <w:r w:rsidRPr="00447994">
        <w:rPr>
          <w:vertAlign w:val="superscript"/>
          <w:lang w:val="es-ES_tradnl"/>
        </w:rPr>
        <w:footnoteReference w:id="1"/>
      </w:r>
      <w:r w:rsidRPr="00447994">
        <w:rPr>
          <w:lang w:val="es-ES_tradnl"/>
        </w:rPr>
        <w:t>, y de la base de datos en que se resumen las necesidades en materia de asistencia técnica</w:t>
      </w:r>
      <w:r w:rsidRPr="00447994">
        <w:rPr>
          <w:vertAlign w:val="superscript"/>
          <w:lang w:val="es-ES_tradnl"/>
        </w:rPr>
        <w:footnoteReference w:id="2"/>
      </w:r>
      <w:r w:rsidRPr="00447994">
        <w:rPr>
          <w:lang w:val="es-ES_tradnl"/>
        </w:rPr>
        <w:t>;</w:t>
      </w:r>
    </w:p>
    <w:p w14:paraId="31918C77" w14:textId="77777777" w:rsidR="006F0658" w:rsidRPr="00447994" w:rsidRDefault="006F0658">
      <w:pPr>
        <w:pStyle w:val="Normal-pool"/>
        <w:numPr>
          <w:ilvl w:val="0"/>
          <w:numId w:val="1"/>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todos los proveedores de asistencia técnica pertinentes </w:t>
      </w:r>
      <w:proofErr w:type="gramStart"/>
      <w:r w:rsidRPr="00447994">
        <w:rPr>
          <w:lang w:val="es-ES_tradnl"/>
        </w:rPr>
        <w:t>a</w:t>
      </w:r>
      <w:proofErr w:type="gramEnd"/>
      <w:r w:rsidRPr="00447994">
        <w:rPr>
          <w:lang w:val="es-ES_tradnl"/>
        </w:rPr>
        <w:t xml:space="preserve"> tener en cuenta la información disponible en esa base de datos;</w:t>
      </w:r>
    </w:p>
    <w:p w14:paraId="37C68DC5" w14:textId="77777777" w:rsidR="006F0658" w:rsidRPr="00447994" w:rsidRDefault="006F0658">
      <w:pPr>
        <w:pStyle w:val="Normal-pool"/>
        <w:numPr>
          <w:ilvl w:val="0"/>
          <w:numId w:val="1"/>
        </w:numPr>
        <w:tabs>
          <w:tab w:val="clear" w:pos="1247"/>
          <w:tab w:val="clear" w:pos="1814"/>
        </w:tabs>
        <w:spacing w:after="120"/>
        <w:ind w:left="1247" w:firstLine="624"/>
        <w:rPr>
          <w:lang w:val="es-ES_tradnl"/>
        </w:rPr>
      </w:pPr>
      <w:r w:rsidRPr="00447994">
        <w:rPr>
          <w:i/>
          <w:iCs/>
          <w:lang w:val="es-ES_tradnl"/>
        </w:rPr>
        <w:t>Solicita</w:t>
      </w:r>
      <w:r w:rsidRPr="00447994">
        <w:rPr>
          <w:lang w:val="es-ES_tradnl"/>
        </w:rPr>
        <w:t xml:space="preserve"> a la Secretaría que prepare el próximo informe sobre las necesidades en materia de asistencia técnica y transferencia de tecnología de las Partes que son países en desarrollo y países con economías en transición para presentarlo a la Conferencia de las Partes en su reunión de 2025; </w:t>
      </w:r>
    </w:p>
    <w:p w14:paraId="57397E8E" w14:textId="77777777" w:rsidR="006F0658" w:rsidRPr="00447994" w:rsidRDefault="006F0658">
      <w:pPr>
        <w:pStyle w:val="Normal-pool"/>
        <w:numPr>
          <w:ilvl w:val="0"/>
          <w:numId w:val="1"/>
        </w:numPr>
        <w:tabs>
          <w:tab w:val="clear" w:pos="1247"/>
          <w:tab w:val="clear" w:pos="1814"/>
        </w:tabs>
        <w:spacing w:after="120"/>
        <w:ind w:left="1247" w:firstLine="624"/>
        <w:rPr>
          <w:color w:val="000000"/>
          <w:lang w:val="es-ES_tradnl"/>
        </w:rPr>
      </w:pPr>
      <w:bookmarkStart w:id="0" w:name="_Hlk60218582"/>
      <w:r w:rsidRPr="00447994">
        <w:rPr>
          <w:i/>
          <w:iCs/>
          <w:lang w:val="es-ES_tradnl"/>
        </w:rPr>
        <w:t>Toma nota</w:t>
      </w:r>
      <w:r w:rsidRPr="00447994">
        <w:rPr>
          <w:lang w:val="es-ES_tradnl"/>
        </w:rPr>
        <w:t xml:space="preserve"> del informe sobre la aplicación del plan de asistencia técnica para el período 2018</w:t>
      </w:r>
      <w:r w:rsidRPr="00447994">
        <w:rPr>
          <w:lang w:val="es-ES_tradnl"/>
        </w:rPr>
        <w:noBreakHyphen/>
        <w:t>2021</w:t>
      </w:r>
      <w:r w:rsidRPr="00447994">
        <w:rPr>
          <w:vertAlign w:val="superscript"/>
          <w:lang w:val="es-ES_tradnl"/>
        </w:rPr>
        <w:footnoteReference w:id="3"/>
      </w:r>
      <w:r w:rsidRPr="00447994">
        <w:rPr>
          <w:lang w:val="es-ES_tradnl"/>
        </w:rPr>
        <w:t>, incluidas las actividades de creación de capacidad para la aplicación del Convenio de Basilea sobre el Control de los Movimientos Transfronterizos de los Desechos Peligrosos y su Eliminación, el Convenio de Estocolmo sobre Contaminantes Orgánicos Persistentes y el Convenio de Rotterdam sobre el Procedimiento de Consentimiento Fundamentado Previo Aplicable a Ciertos Plaguicidas y Productos Químicos Peligrosos Objeto de Comercio Internacional;</w:t>
      </w:r>
      <w:bookmarkEnd w:id="0"/>
    </w:p>
    <w:p w14:paraId="53B8EC12" w14:textId="77777777" w:rsidR="006F0658" w:rsidRPr="00447994" w:rsidRDefault="006F0658">
      <w:pPr>
        <w:pStyle w:val="Normal-pool"/>
        <w:numPr>
          <w:ilvl w:val="0"/>
          <w:numId w:val="1"/>
        </w:numPr>
        <w:tabs>
          <w:tab w:val="clear" w:pos="1247"/>
          <w:tab w:val="clear" w:pos="1814"/>
        </w:tabs>
        <w:spacing w:after="120"/>
        <w:ind w:left="1247" w:firstLine="624"/>
        <w:rPr>
          <w:color w:val="000000"/>
          <w:lang w:val="es-ES_tradnl"/>
        </w:rPr>
      </w:pPr>
      <w:r w:rsidRPr="00447994">
        <w:rPr>
          <w:i/>
          <w:iCs/>
          <w:lang w:val="es-ES_tradnl"/>
        </w:rPr>
        <w:t>Acoge con beneplácito</w:t>
      </w:r>
      <w:r w:rsidRPr="00447994">
        <w:rPr>
          <w:lang w:val="es-ES_tradnl"/>
        </w:rPr>
        <w:t xml:space="preserve"> el plan de asistencia técnica para la aplicación de los Convenios de Basilea, Estocolmo y Rotterdam para el período 2022</w:t>
      </w:r>
      <w:r w:rsidRPr="00447994">
        <w:rPr>
          <w:lang w:val="es-ES_tradnl"/>
        </w:rPr>
        <w:noBreakHyphen/>
        <w:t>2025</w:t>
      </w:r>
      <w:r w:rsidRPr="00447994">
        <w:rPr>
          <w:iCs/>
          <w:vertAlign w:val="superscript"/>
          <w:lang w:val="es-ES_tradnl"/>
        </w:rPr>
        <w:footnoteReference w:id="4"/>
      </w:r>
      <w:r w:rsidRPr="00447994">
        <w:rPr>
          <w:lang w:val="es-ES_tradnl"/>
        </w:rPr>
        <w:t>;</w:t>
      </w:r>
    </w:p>
    <w:p w14:paraId="78454A40" w14:textId="77777777" w:rsidR="006F0658" w:rsidRPr="00447994" w:rsidRDefault="006F0658">
      <w:pPr>
        <w:pStyle w:val="Normal-pool"/>
        <w:numPr>
          <w:ilvl w:val="0"/>
          <w:numId w:val="1"/>
        </w:numPr>
        <w:tabs>
          <w:tab w:val="clear" w:pos="1247"/>
          <w:tab w:val="clear" w:pos="1814"/>
        </w:tabs>
        <w:spacing w:after="120"/>
        <w:ind w:left="1247" w:firstLine="624"/>
        <w:rPr>
          <w:color w:val="000000"/>
          <w:lang w:val="es-ES_tradnl"/>
        </w:rPr>
      </w:pPr>
      <w:r w:rsidRPr="00447994">
        <w:rPr>
          <w:i/>
          <w:iCs/>
          <w:lang w:val="es-ES_tradnl"/>
        </w:rPr>
        <w:t>Solicita</w:t>
      </w:r>
      <w:r w:rsidRPr="00447994">
        <w:rPr>
          <w:lang w:val="es-ES_tradnl"/>
        </w:rPr>
        <w:t xml:space="preserve"> a la Secretaría que difunda el plan por diversos medios y lo dé a conocer a los actores pertinentes;</w:t>
      </w:r>
    </w:p>
    <w:p w14:paraId="153E5FAE" w14:textId="77777777" w:rsidR="006F0658" w:rsidRPr="00447994" w:rsidRDefault="006F0658">
      <w:pPr>
        <w:pStyle w:val="Normal-pool"/>
        <w:numPr>
          <w:ilvl w:val="0"/>
          <w:numId w:val="1"/>
        </w:numPr>
        <w:tabs>
          <w:tab w:val="clear" w:pos="1247"/>
          <w:tab w:val="clear" w:pos="1814"/>
        </w:tabs>
        <w:spacing w:after="120"/>
        <w:ind w:left="1247" w:firstLine="624"/>
        <w:rPr>
          <w:lang w:val="es-ES_tradnl"/>
        </w:rPr>
      </w:pPr>
      <w:r w:rsidRPr="00447994">
        <w:rPr>
          <w:i/>
          <w:iCs/>
          <w:lang w:val="es-ES_tradnl"/>
        </w:rPr>
        <w:t>Toma nota</w:t>
      </w:r>
      <w:r w:rsidRPr="00447994">
        <w:rPr>
          <w:lang w:val="es-ES_tradnl"/>
        </w:rPr>
        <w:t xml:space="preserve"> de la información suministrada en el informe titulado “</w:t>
      </w:r>
      <w:proofErr w:type="spellStart"/>
      <w:r w:rsidRPr="00447994">
        <w:rPr>
          <w:lang w:val="es-ES_tradnl"/>
        </w:rPr>
        <w:t>Environmental</w:t>
      </w:r>
      <w:proofErr w:type="spellEnd"/>
      <w:r w:rsidRPr="00447994">
        <w:rPr>
          <w:lang w:val="es-ES_tradnl"/>
        </w:rPr>
        <w:t xml:space="preserve"> and </w:t>
      </w:r>
      <w:proofErr w:type="spellStart"/>
      <w:r w:rsidRPr="00447994">
        <w:rPr>
          <w:lang w:val="es-ES_tradnl"/>
        </w:rPr>
        <w:t>health</w:t>
      </w:r>
      <w:proofErr w:type="spellEnd"/>
      <w:r w:rsidRPr="00447994">
        <w:rPr>
          <w:lang w:val="es-ES_tradnl"/>
        </w:rPr>
        <w:t xml:space="preserve"> </w:t>
      </w:r>
      <w:proofErr w:type="spellStart"/>
      <w:r w:rsidRPr="00447994">
        <w:rPr>
          <w:lang w:val="es-ES_tradnl"/>
        </w:rPr>
        <w:t>emergencies</w:t>
      </w:r>
      <w:proofErr w:type="spellEnd"/>
      <w:r w:rsidRPr="00447994">
        <w:rPr>
          <w:lang w:val="es-ES_tradnl"/>
        </w:rPr>
        <w:t xml:space="preserve"> – </w:t>
      </w:r>
      <w:proofErr w:type="spellStart"/>
      <w:r w:rsidRPr="00447994">
        <w:rPr>
          <w:lang w:val="es-ES_tradnl"/>
        </w:rPr>
        <w:t>the</w:t>
      </w:r>
      <w:proofErr w:type="spellEnd"/>
      <w:r w:rsidRPr="00447994">
        <w:rPr>
          <w:lang w:val="es-ES_tradnl"/>
        </w:rPr>
        <w:t xml:space="preserve"> role </w:t>
      </w:r>
      <w:proofErr w:type="spellStart"/>
      <w:r w:rsidRPr="00447994">
        <w:rPr>
          <w:lang w:val="es-ES_tradnl"/>
        </w:rPr>
        <w:t>of</w:t>
      </w:r>
      <w:proofErr w:type="spellEnd"/>
      <w:r w:rsidRPr="00447994">
        <w:rPr>
          <w:lang w:val="es-ES_tradnl"/>
        </w:rPr>
        <w:t xml:space="preserve"> </w:t>
      </w:r>
      <w:proofErr w:type="spellStart"/>
      <w:r w:rsidRPr="00447994">
        <w:rPr>
          <w:lang w:val="es-ES_tradnl"/>
        </w:rPr>
        <w:t>the</w:t>
      </w:r>
      <w:proofErr w:type="spellEnd"/>
      <w:r w:rsidRPr="00447994">
        <w:rPr>
          <w:lang w:val="es-ES_tradnl"/>
        </w:rPr>
        <w:t xml:space="preserve"> </w:t>
      </w:r>
      <w:proofErr w:type="spellStart"/>
      <w:r w:rsidRPr="00447994">
        <w:rPr>
          <w:lang w:val="es-ES_tradnl"/>
        </w:rPr>
        <w:t>Basel</w:t>
      </w:r>
      <w:proofErr w:type="spellEnd"/>
      <w:r w:rsidRPr="00447994">
        <w:rPr>
          <w:lang w:val="es-ES_tradnl"/>
        </w:rPr>
        <w:t xml:space="preserve">, Rotterdam and </w:t>
      </w:r>
      <w:proofErr w:type="spellStart"/>
      <w:r w:rsidRPr="00447994">
        <w:rPr>
          <w:lang w:val="es-ES_tradnl"/>
        </w:rPr>
        <w:t>Stockholm</w:t>
      </w:r>
      <w:proofErr w:type="spellEnd"/>
      <w:r w:rsidRPr="00447994">
        <w:rPr>
          <w:lang w:val="es-ES_tradnl"/>
        </w:rPr>
        <w:t xml:space="preserve"> </w:t>
      </w:r>
      <w:proofErr w:type="spellStart"/>
      <w:r w:rsidRPr="00447994">
        <w:rPr>
          <w:lang w:val="es-ES_tradnl"/>
        </w:rPr>
        <w:t>conventions</w:t>
      </w:r>
      <w:proofErr w:type="spellEnd"/>
      <w:r w:rsidRPr="00447994">
        <w:rPr>
          <w:lang w:val="es-ES_tradnl"/>
        </w:rPr>
        <w:t xml:space="preserve"> in </w:t>
      </w:r>
      <w:proofErr w:type="spellStart"/>
      <w:r w:rsidRPr="00447994">
        <w:rPr>
          <w:lang w:val="es-ES_tradnl"/>
        </w:rPr>
        <w:t>supporting</w:t>
      </w:r>
      <w:proofErr w:type="spellEnd"/>
      <w:r w:rsidRPr="00447994">
        <w:rPr>
          <w:lang w:val="es-ES_tradnl"/>
        </w:rPr>
        <w:t xml:space="preserve"> </w:t>
      </w:r>
      <w:proofErr w:type="spellStart"/>
      <w:r w:rsidRPr="00447994">
        <w:rPr>
          <w:lang w:val="es-ES_tradnl"/>
        </w:rPr>
        <w:t>Parties</w:t>
      </w:r>
      <w:proofErr w:type="spellEnd"/>
      <w:r w:rsidRPr="00447994">
        <w:rPr>
          <w:lang w:val="es-ES_tradnl"/>
        </w:rPr>
        <w:t xml:space="preserve"> in </w:t>
      </w:r>
      <w:proofErr w:type="spellStart"/>
      <w:r w:rsidRPr="00447994">
        <w:rPr>
          <w:lang w:val="es-ES_tradnl"/>
        </w:rPr>
        <w:t>prevention</w:t>
      </w:r>
      <w:proofErr w:type="spellEnd"/>
      <w:r w:rsidRPr="00447994">
        <w:rPr>
          <w:lang w:val="es-ES_tradnl"/>
        </w:rPr>
        <w:t xml:space="preserve">, </w:t>
      </w:r>
      <w:proofErr w:type="spellStart"/>
      <w:r w:rsidRPr="00447994">
        <w:rPr>
          <w:lang w:val="es-ES_tradnl"/>
        </w:rPr>
        <w:t>preparedness</w:t>
      </w:r>
      <w:proofErr w:type="spellEnd"/>
      <w:r w:rsidRPr="00447994">
        <w:rPr>
          <w:lang w:val="es-ES_tradnl"/>
        </w:rPr>
        <w:t xml:space="preserve">, response, and </w:t>
      </w:r>
      <w:proofErr w:type="spellStart"/>
      <w:r w:rsidRPr="00447994">
        <w:rPr>
          <w:lang w:val="es-ES_tradnl"/>
        </w:rPr>
        <w:t>recovery</w:t>
      </w:r>
      <w:proofErr w:type="spellEnd"/>
      <w:r w:rsidRPr="00447994">
        <w:rPr>
          <w:lang w:val="es-ES_tradnl"/>
        </w:rPr>
        <w:t>”</w:t>
      </w:r>
      <w:r w:rsidRPr="00447994">
        <w:rPr>
          <w:iCs/>
          <w:vertAlign w:val="superscript"/>
          <w:lang w:val="es-ES_tradnl"/>
        </w:rPr>
        <w:footnoteReference w:id="5"/>
      </w:r>
      <w:r w:rsidRPr="00447994">
        <w:rPr>
          <w:lang w:val="es-ES_tradnl"/>
        </w:rPr>
        <w:t>;</w:t>
      </w:r>
    </w:p>
    <w:p w14:paraId="14E95561" w14:textId="77777777" w:rsidR="006F0658" w:rsidRPr="00447994" w:rsidRDefault="006F0658">
      <w:pPr>
        <w:pStyle w:val="Normal-pool"/>
        <w:numPr>
          <w:ilvl w:val="0"/>
          <w:numId w:val="1"/>
        </w:numPr>
        <w:tabs>
          <w:tab w:val="clear" w:pos="1247"/>
          <w:tab w:val="clear" w:pos="1814"/>
        </w:tabs>
        <w:spacing w:after="120"/>
        <w:ind w:left="1247" w:firstLine="624"/>
        <w:rPr>
          <w:i/>
          <w:color w:val="000000"/>
          <w:lang w:val="es-ES_tradnl"/>
        </w:rPr>
      </w:pPr>
      <w:r w:rsidRPr="00447994">
        <w:rPr>
          <w:i/>
          <w:iCs/>
          <w:lang w:val="es-ES_tradnl"/>
        </w:rPr>
        <w:t>Alienta</w:t>
      </w:r>
      <w:r w:rsidRPr="00447994">
        <w:rPr>
          <w:lang w:val="es-ES_tradnl"/>
        </w:rPr>
        <w:t xml:space="preserve"> a las Partes, al Programa de las Naciones Unidas para el Medio Ambiente, a la Organización de las Naciones Unidas para la Alimentación y la Agricultura, al Fondo para el Medio Ambiente Mundial, al Programa especial de apoyo al fortalecimiento institucional a nivel nacional para la aplicación de los Convenios de Basilea, Estocolmo y Rotterdam, el Convenio de Minamata sobre el Mercurio y el Enfoque Estratégico para la Gestión de Productos Químicos a Nivel Internacional y a los centros regionales de los Convenios de Basilea y Estocolmo a que tengan en cuenta el plan de asistencia técnica para la aplicación de los Convenios de Basilea, Estocolmo y Rotterdam en el período 2022</w:t>
      </w:r>
      <w:r w:rsidRPr="00447994">
        <w:rPr>
          <w:lang w:val="es-ES_tradnl"/>
        </w:rPr>
        <w:noBreakHyphen/>
        <w:t>2025;</w:t>
      </w:r>
    </w:p>
    <w:p w14:paraId="567D226F" w14:textId="77777777" w:rsidR="006F0658" w:rsidRPr="00447994" w:rsidRDefault="006F0658">
      <w:pPr>
        <w:pStyle w:val="Normal-pool"/>
        <w:numPr>
          <w:ilvl w:val="0"/>
          <w:numId w:val="1"/>
        </w:numPr>
        <w:tabs>
          <w:tab w:val="clear" w:pos="1247"/>
          <w:tab w:val="clear" w:pos="1814"/>
        </w:tabs>
        <w:spacing w:after="120"/>
        <w:ind w:left="1247" w:firstLine="624"/>
        <w:rPr>
          <w:lang w:val="es-ES_tradnl"/>
        </w:rPr>
      </w:pPr>
      <w:r w:rsidRPr="00447994">
        <w:rPr>
          <w:i/>
          <w:iCs/>
          <w:lang w:val="es-ES_tradnl"/>
        </w:rPr>
        <w:t>Alienta</w:t>
      </w:r>
      <w:r w:rsidRPr="00447994">
        <w:rPr>
          <w:lang w:val="es-ES_tradnl"/>
        </w:rPr>
        <w:t xml:space="preserve"> a las Partes pertinentes, de conformidad con el artículo 10 del Convenio de Basilea, el artículo 16 del Convenio de Estocolmo y el artículo 12 del Convenio de Rotterdam, e invita a otros interesados que estén en condiciones de hacerlo, a que apoyen la aplicación del plan de asistencia técnica para el período 2022</w:t>
      </w:r>
      <w:r w:rsidRPr="00447994">
        <w:rPr>
          <w:lang w:val="es-ES_tradnl"/>
        </w:rPr>
        <w:noBreakHyphen/>
        <w:t>2025;</w:t>
      </w:r>
    </w:p>
    <w:p w14:paraId="199EDF02" w14:textId="77777777" w:rsidR="006F0658" w:rsidRPr="00447994" w:rsidRDefault="006F0658">
      <w:pPr>
        <w:pStyle w:val="Normal-pool"/>
        <w:numPr>
          <w:ilvl w:val="0"/>
          <w:numId w:val="1"/>
        </w:numPr>
        <w:tabs>
          <w:tab w:val="clear" w:pos="1247"/>
          <w:tab w:val="clear" w:pos="1814"/>
        </w:tabs>
        <w:spacing w:after="120"/>
        <w:ind w:left="1247" w:firstLine="624"/>
        <w:rPr>
          <w:i/>
          <w:color w:val="000000"/>
          <w:lang w:val="es-ES_tradnl"/>
        </w:rPr>
      </w:pPr>
      <w:r w:rsidRPr="00447994">
        <w:rPr>
          <w:i/>
          <w:iCs/>
          <w:lang w:val="es-ES_tradnl"/>
        </w:rPr>
        <w:t>Solicita</w:t>
      </w:r>
      <w:r w:rsidRPr="00447994">
        <w:rPr>
          <w:lang w:val="es-ES_tradnl"/>
        </w:rPr>
        <w:t xml:space="preserve"> a la Secretaría que, en función de los recursos disponibles:</w:t>
      </w:r>
    </w:p>
    <w:p w14:paraId="7EDE0BAA" w14:textId="77777777" w:rsidR="006F0658" w:rsidRPr="00447994" w:rsidRDefault="006F0658">
      <w:pPr>
        <w:pStyle w:val="Normal-pool"/>
        <w:numPr>
          <w:ilvl w:val="1"/>
          <w:numId w:val="2"/>
        </w:numPr>
        <w:tabs>
          <w:tab w:val="clear" w:pos="1247"/>
          <w:tab w:val="clear" w:pos="1814"/>
        </w:tabs>
        <w:spacing w:after="120"/>
        <w:ind w:left="1247" w:firstLine="624"/>
        <w:rPr>
          <w:color w:val="000000"/>
          <w:lang w:val="es-ES_tradnl"/>
        </w:rPr>
      </w:pPr>
      <w:r w:rsidRPr="00447994">
        <w:rPr>
          <w:lang w:val="es-ES_tradnl"/>
        </w:rPr>
        <w:lastRenderedPageBreak/>
        <w:t>Aplique, en cooperación con los actores pertinentes, el plan de asistencia técnica para el período 2022</w:t>
      </w:r>
      <w:r w:rsidRPr="00447994">
        <w:rPr>
          <w:lang w:val="es-ES_tradnl"/>
        </w:rPr>
        <w:noBreakHyphen/>
        <w:t>2025 de conformidad con las decisiones sobre el asunto aprobadas por la Conferencia de las Partes;</w:t>
      </w:r>
    </w:p>
    <w:p w14:paraId="277284F3" w14:textId="77777777" w:rsidR="006F0658" w:rsidRPr="00447994" w:rsidRDefault="006F0658">
      <w:pPr>
        <w:pStyle w:val="Normal-pool"/>
        <w:numPr>
          <w:ilvl w:val="1"/>
          <w:numId w:val="2"/>
        </w:numPr>
        <w:tabs>
          <w:tab w:val="clear" w:pos="1247"/>
          <w:tab w:val="clear" w:pos="1814"/>
        </w:tabs>
        <w:spacing w:after="120"/>
        <w:ind w:left="1247" w:firstLine="624"/>
        <w:rPr>
          <w:color w:val="000000"/>
          <w:lang w:val="es-ES_tradnl"/>
        </w:rPr>
      </w:pPr>
      <w:r w:rsidRPr="00447994">
        <w:rPr>
          <w:lang w:val="es-ES_tradnl"/>
        </w:rPr>
        <w:t>Mantenga actualizada la base de datos mencionada en el párrafo 1 de la presente decisión y vele por que siga siendo accesible en los sitios web de los Convenios;</w:t>
      </w:r>
    </w:p>
    <w:p w14:paraId="6F63326B" w14:textId="77777777" w:rsidR="006F0658" w:rsidRPr="00447994" w:rsidRDefault="006F0658">
      <w:pPr>
        <w:pStyle w:val="Normal-pool"/>
        <w:numPr>
          <w:ilvl w:val="1"/>
          <w:numId w:val="2"/>
        </w:numPr>
        <w:tabs>
          <w:tab w:val="clear" w:pos="1247"/>
          <w:tab w:val="clear" w:pos="1814"/>
        </w:tabs>
        <w:spacing w:after="120"/>
        <w:ind w:left="1247" w:firstLine="624"/>
        <w:rPr>
          <w:color w:val="000000"/>
          <w:lang w:val="es-ES_tradnl"/>
        </w:rPr>
      </w:pPr>
      <w:r w:rsidRPr="00447994">
        <w:rPr>
          <w:lang w:val="es-ES_tradnl"/>
        </w:rPr>
        <w:t>Siga incluyendo información sobre la supervisión y la evaluación de los proyectos realizados en el marco del plan de asistencia técnica para el período 2022</w:t>
      </w:r>
      <w:r w:rsidRPr="00447994">
        <w:rPr>
          <w:lang w:val="es-ES_tradnl"/>
        </w:rPr>
        <w:noBreakHyphen/>
        <w:t>2025 en el informe solicitado en el párrafo 12 de la presente decisión;</w:t>
      </w:r>
    </w:p>
    <w:p w14:paraId="4B923266" w14:textId="77777777" w:rsidR="006F0658" w:rsidRPr="00447994" w:rsidRDefault="006F0658">
      <w:pPr>
        <w:pStyle w:val="Normal-pool"/>
        <w:numPr>
          <w:ilvl w:val="0"/>
          <w:numId w:val="1"/>
        </w:numPr>
        <w:tabs>
          <w:tab w:val="clear" w:pos="1247"/>
          <w:tab w:val="clear" w:pos="1814"/>
        </w:tabs>
        <w:spacing w:after="120"/>
        <w:ind w:left="1247" w:firstLine="624"/>
        <w:rPr>
          <w:color w:val="000000"/>
          <w:lang w:val="es-ES_tradnl"/>
        </w:rPr>
      </w:pPr>
      <w:r w:rsidRPr="00447994">
        <w:rPr>
          <w:i/>
          <w:iCs/>
          <w:lang w:val="es-ES_tradnl"/>
        </w:rPr>
        <w:t>Pone de relieve</w:t>
      </w:r>
      <w:r w:rsidRPr="00447994">
        <w:rPr>
          <w:lang w:val="es-ES_tradnl"/>
        </w:rPr>
        <w:t xml:space="preserve"> el papel fundamental que desempeñan los centros regionales, descrito en las disposiciones del Convenio de Basilea y del Convenio de Estocolmo, y las oficinas regionales, subregionales y nacionales de la Organización de las Naciones Unidas para la Alimentación y la Agricultura, el Programa de las Naciones Unidas para el Medio Ambiente y otras organizaciones participantes en el Programa Interinstitucional para la Gestión Racional de los Productos Químicos, en la prestación de asistencia técnica para los Convenios de Basilea, Estocolmo y Rotterdam a solicitud de los interesados, particularmente a nivel regional, así como en la creación de capacidad y la facilitación de la transferencia de tecnología a las Partes que tienen derecho a solicitarla; </w:t>
      </w:r>
    </w:p>
    <w:p w14:paraId="42A452E3" w14:textId="77777777" w:rsidR="006F0658" w:rsidRPr="00447994" w:rsidRDefault="006F0658">
      <w:pPr>
        <w:pStyle w:val="Normal-pool"/>
        <w:numPr>
          <w:ilvl w:val="0"/>
          <w:numId w:val="1"/>
        </w:numPr>
        <w:tabs>
          <w:tab w:val="clear" w:pos="1247"/>
          <w:tab w:val="clear" w:pos="1814"/>
        </w:tabs>
        <w:spacing w:after="120"/>
        <w:ind w:left="1247" w:firstLine="624"/>
        <w:rPr>
          <w:i/>
          <w:color w:val="000000"/>
          <w:lang w:val="es-ES_tradnl"/>
        </w:rPr>
      </w:pPr>
      <w:r w:rsidRPr="00447994">
        <w:rPr>
          <w:i/>
          <w:iCs/>
          <w:lang w:val="es-ES_tradnl"/>
        </w:rPr>
        <w:t>Solicita</w:t>
      </w:r>
      <w:r w:rsidRPr="00447994">
        <w:rPr>
          <w:lang w:val="es-ES_tradnl"/>
        </w:rPr>
        <w:t xml:space="preserve"> a la Secretaría que informe a la Conferencia de las Partes, en su 16ª reunión, sobre la aplicación de la presente decisión.</w:t>
      </w:r>
    </w:p>
    <w:p w14:paraId="350CB485" w14:textId="77777777" w:rsidR="006F0658" w:rsidRPr="00447994" w:rsidRDefault="006F0658" w:rsidP="006F0658">
      <w:pPr>
        <w:pStyle w:val="CH2"/>
        <w:ind w:firstLine="0"/>
        <w:jc w:val="center"/>
        <w:rPr>
          <w:rFonts w:eastAsia="Times New Roman"/>
          <w:b w:val="0"/>
          <w:bCs/>
          <w:lang w:val="es-ES_tradnl"/>
        </w:rPr>
      </w:pPr>
      <w:r w:rsidRPr="00447994">
        <w:rPr>
          <w:bCs/>
          <w:lang w:val="es-ES_tradnl"/>
        </w:rPr>
        <w:t>II</w:t>
      </w:r>
    </w:p>
    <w:p w14:paraId="437614EE" w14:textId="77777777" w:rsidR="006F0658" w:rsidRPr="00447994" w:rsidRDefault="006F0658" w:rsidP="006F0658">
      <w:pPr>
        <w:pStyle w:val="CH2"/>
        <w:spacing w:before="80"/>
        <w:ind w:firstLine="0"/>
        <w:jc w:val="center"/>
        <w:rPr>
          <w:rFonts w:eastAsia="Times New Roman"/>
          <w:b w:val="0"/>
          <w:bCs/>
          <w:lang w:val="es-ES_tradnl"/>
        </w:rPr>
      </w:pPr>
      <w:r w:rsidRPr="00447994">
        <w:rPr>
          <w:bCs/>
          <w:lang w:val="es-ES_tradnl"/>
        </w:rPr>
        <w:t>Centros regionales y de coordinación del Convenio de Basilea</w:t>
      </w:r>
      <w:r w:rsidRPr="00447994">
        <w:rPr>
          <w:lang w:val="es-ES_tradnl"/>
        </w:rPr>
        <w:t xml:space="preserve"> </w:t>
      </w:r>
    </w:p>
    <w:p w14:paraId="240DB44C" w14:textId="77777777" w:rsidR="006F0658" w:rsidRPr="00447994" w:rsidRDefault="006F0658">
      <w:pPr>
        <w:pStyle w:val="Normal-pool"/>
        <w:numPr>
          <w:ilvl w:val="0"/>
          <w:numId w:val="1"/>
        </w:numPr>
        <w:tabs>
          <w:tab w:val="clear" w:pos="1247"/>
          <w:tab w:val="clear" w:pos="1814"/>
        </w:tabs>
        <w:spacing w:after="120"/>
        <w:ind w:left="1247" w:firstLine="624"/>
        <w:rPr>
          <w:rFonts w:eastAsia="SimSun"/>
          <w:lang w:val="es-ES_tradnl"/>
        </w:rPr>
      </w:pPr>
      <w:r w:rsidRPr="00447994">
        <w:rPr>
          <w:i/>
          <w:iCs/>
          <w:lang w:val="es-ES_tradnl"/>
        </w:rPr>
        <w:t>Pone de relieve</w:t>
      </w:r>
      <w:r w:rsidRPr="00447994">
        <w:rPr>
          <w:lang w:val="es-ES_tradnl"/>
        </w:rPr>
        <w:t xml:space="preserve"> el papel desempeñado por los centros regionales y de coordinación del Convenio de Basilea en la prestación de más asistencia técnica para la creación de capacidad a fin de apoyar la labor que realizan los países en desarrollo y los países con economías en transición a escala nacional para aplicar los convenios sobre productos químicos y desechos, de conformidad con sus funciones esenciales;</w:t>
      </w:r>
    </w:p>
    <w:p w14:paraId="3CCA862D" w14:textId="77777777" w:rsidR="006F0658" w:rsidRPr="00447994" w:rsidRDefault="006F0658">
      <w:pPr>
        <w:pStyle w:val="Normal-pool"/>
        <w:numPr>
          <w:ilvl w:val="0"/>
          <w:numId w:val="1"/>
        </w:numPr>
        <w:tabs>
          <w:tab w:val="clear" w:pos="1247"/>
          <w:tab w:val="clear" w:pos="1814"/>
        </w:tabs>
        <w:spacing w:after="120"/>
        <w:ind w:left="1247" w:firstLine="624"/>
        <w:rPr>
          <w:rFonts w:eastAsia="SimSun"/>
          <w:lang w:val="es-ES_tradnl"/>
        </w:rPr>
      </w:pPr>
      <w:r w:rsidRPr="00447994">
        <w:rPr>
          <w:i/>
          <w:iCs/>
          <w:lang w:val="es-ES_tradnl"/>
        </w:rPr>
        <w:t>Pone de relieve también</w:t>
      </w:r>
      <w:r w:rsidRPr="00447994">
        <w:rPr>
          <w:lang w:val="es-ES_tradnl"/>
        </w:rPr>
        <w:t xml:space="preserve"> el papel desempeñado por los centros regionales y de coordinación del Convenio de Basilea en el fomento de la transferencia de tecnología relacionada con la aplicación del Convenio de Basilea y los invita a cooperar y coordinarse entre sí y con los asociados pertinentes en las esferas de competencia en que puedan prestar asistencia;</w:t>
      </w:r>
    </w:p>
    <w:p w14:paraId="408A3986" w14:textId="77777777" w:rsidR="006F0658" w:rsidRPr="00447994" w:rsidRDefault="006F0658">
      <w:pPr>
        <w:pStyle w:val="Normal-pool"/>
        <w:numPr>
          <w:ilvl w:val="0"/>
          <w:numId w:val="1"/>
        </w:numPr>
        <w:tabs>
          <w:tab w:val="clear" w:pos="1247"/>
          <w:tab w:val="clear" w:pos="1814"/>
        </w:tabs>
        <w:spacing w:after="120"/>
        <w:ind w:left="1247" w:firstLine="624"/>
        <w:rPr>
          <w:rFonts w:eastAsia="SimSun"/>
          <w:lang w:val="es-ES_tradnl"/>
        </w:rPr>
      </w:pPr>
      <w:r w:rsidRPr="00447994">
        <w:rPr>
          <w:i/>
          <w:iCs/>
          <w:lang w:val="es-ES_tradnl"/>
        </w:rPr>
        <w:t xml:space="preserve">Toma nota </w:t>
      </w:r>
      <w:r w:rsidRPr="00447994">
        <w:rPr>
          <w:lang w:val="es-ES_tradnl"/>
        </w:rPr>
        <w:t>de lo siguiente:</w:t>
      </w:r>
    </w:p>
    <w:p w14:paraId="11CDA6F8" w14:textId="77777777" w:rsidR="006F0658" w:rsidRPr="00447994" w:rsidRDefault="006F0658">
      <w:pPr>
        <w:numPr>
          <w:ilvl w:val="0"/>
          <w:numId w:val="4"/>
        </w:numPr>
        <w:tabs>
          <w:tab w:val="left" w:pos="624"/>
        </w:tabs>
        <w:spacing w:after="120"/>
        <w:ind w:left="1247" w:firstLine="624"/>
        <w:rPr>
          <w:rFonts w:eastAsia="Times New Roman"/>
          <w:iCs/>
          <w:lang w:val="es-ES_tradnl"/>
        </w:rPr>
      </w:pPr>
      <w:r w:rsidRPr="00447994">
        <w:rPr>
          <w:lang w:val="es-ES_tradnl"/>
        </w:rPr>
        <w:t>Los informes de actividades</w:t>
      </w:r>
      <w:r w:rsidRPr="00447994">
        <w:rPr>
          <w:rFonts w:eastAsia="Times New Roman"/>
          <w:szCs w:val="18"/>
          <w:vertAlign w:val="superscript"/>
          <w:lang w:val="es-ES_tradnl"/>
        </w:rPr>
        <w:footnoteReference w:id="6"/>
      </w:r>
      <w:r w:rsidRPr="00447994">
        <w:rPr>
          <w:lang w:val="es-ES_tradnl"/>
        </w:rPr>
        <w:t xml:space="preserve"> del período comprendido entre enero de 2019 y diciembre de 2020 presentados por los centros regionales y de coordinación del Convenio de Basilea y los planes de actividades vigentes</w:t>
      </w:r>
      <w:r w:rsidRPr="00447994">
        <w:rPr>
          <w:rFonts w:eastAsia="Times New Roman"/>
          <w:szCs w:val="18"/>
          <w:vertAlign w:val="superscript"/>
          <w:lang w:val="es-ES_tradnl"/>
        </w:rPr>
        <w:footnoteReference w:id="7"/>
      </w:r>
      <w:r w:rsidRPr="00447994">
        <w:rPr>
          <w:lang w:val="es-ES_tradnl"/>
        </w:rPr>
        <w:t xml:space="preserve"> para el período comprendido entre enero de 2020 y diciembre de 2023;</w:t>
      </w:r>
    </w:p>
    <w:p w14:paraId="198B310B" w14:textId="77777777" w:rsidR="006F0658" w:rsidRPr="00447994" w:rsidRDefault="006F0658">
      <w:pPr>
        <w:numPr>
          <w:ilvl w:val="0"/>
          <w:numId w:val="4"/>
        </w:numPr>
        <w:tabs>
          <w:tab w:val="left" w:pos="624"/>
        </w:tabs>
        <w:spacing w:after="120"/>
        <w:ind w:left="1247" w:firstLine="624"/>
        <w:rPr>
          <w:rFonts w:eastAsia="Times New Roman"/>
          <w:lang w:val="es-ES_tradnl"/>
        </w:rPr>
      </w:pPr>
      <w:r w:rsidRPr="00447994">
        <w:rPr>
          <w:lang w:val="es-ES_tradnl"/>
        </w:rPr>
        <w:t>El informe sobre las actividades de los centros regionales de los Convenios de Basilea y Estocolmo</w:t>
      </w:r>
      <w:r w:rsidRPr="00447994">
        <w:rPr>
          <w:rFonts w:eastAsia="Times New Roman"/>
          <w:vertAlign w:val="superscript"/>
          <w:lang w:val="es-ES_tradnl"/>
        </w:rPr>
        <w:footnoteReference w:id="8"/>
      </w:r>
      <w:r w:rsidRPr="00447994">
        <w:rPr>
          <w:lang w:val="es-ES_tradnl"/>
        </w:rPr>
        <w:t>;</w:t>
      </w:r>
      <w:bookmarkStart w:id="2" w:name="_Hlk528246183"/>
    </w:p>
    <w:bookmarkEnd w:id="2"/>
    <w:p w14:paraId="0BE52846" w14:textId="77777777" w:rsidR="006F0658" w:rsidRPr="00447994" w:rsidRDefault="006F0658">
      <w:pPr>
        <w:pStyle w:val="Normal-pool"/>
        <w:numPr>
          <w:ilvl w:val="0"/>
          <w:numId w:val="1"/>
        </w:numPr>
        <w:tabs>
          <w:tab w:val="clear" w:pos="1247"/>
          <w:tab w:val="clear" w:pos="1814"/>
        </w:tabs>
        <w:spacing w:after="120"/>
        <w:ind w:left="1247" w:firstLine="624"/>
        <w:rPr>
          <w:rFonts w:eastAsia="SimSun"/>
          <w:lang w:val="es-ES_tradnl"/>
        </w:rPr>
      </w:pPr>
      <w:r w:rsidRPr="00447994">
        <w:rPr>
          <w:i/>
          <w:iCs/>
          <w:lang w:val="es-ES_tradnl"/>
        </w:rPr>
        <w:t>Solicita</w:t>
      </w:r>
      <w:r w:rsidRPr="00447994">
        <w:rPr>
          <w:lang w:val="es-ES_tradnl"/>
        </w:rPr>
        <w:t xml:space="preserve"> a los centros regionales y de coordinación del Convenio de Basilea que presenten a la Secretaría lo siguiente:</w:t>
      </w:r>
    </w:p>
    <w:p w14:paraId="7146BE86" w14:textId="77777777" w:rsidR="006F0658" w:rsidRPr="00447994" w:rsidRDefault="006F0658">
      <w:pPr>
        <w:numPr>
          <w:ilvl w:val="0"/>
          <w:numId w:val="3"/>
        </w:numPr>
        <w:tabs>
          <w:tab w:val="left" w:pos="624"/>
        </w:tabs>
        <w:spacing w:after="120"/>
        <w:ind w:left="1247" w:firstLine="624"/>
        <w:rPr>
          <w:rFonts w:eastAsia="Times New Roman"/>
          <w:lang w:val="es-ES_tradnl"/>
        </w:rPr>
      </w:pPr>
      <w:r w:rsidRPr="00447994">
        <w:rPr>
          <w:lang w:val="es-ES_tradnl"/>
        </w:rPr>
        <w:t>Sus informes de actividades del período comprendido entre el 1 de enero de 2021 y el 31 de diciembre de 2022, antes del 31 de diciembre de 2022, para su examen por la Conferencia de las Partes en su 16ª reunión;</w:t>
      </w:r>
    </w:p>
    <w:p w14:paraId="42080441" w14:textId="77777777" w:rsidR="006F0658" w:rsidRPr="00447994" w:rsidRDefault="006F0658">
      <w:pPr>
        <w:numPr>
          <w:ilvl w:val="0"/>
          <w:numId w:val="3"/>
        </w:numPr>
        <w:tabs>
          <w:tab w:val="left" w:pos="624"/>
        </w:tabs>
        <w:spacing w:after="120"/>
        <w:ind w:left="1247" w:firstLine="624"/>
        <w:rPr>
          <w:rFonts w:eastAsia="Times New Roman"/>
          <w:lang w:val="es-ES_tradnl"/>
        </w:rPr>
      </w:pPr>
      <w:r w:rsidRPr="00447994">
        <w:rPr>
          <w:lang w:val="es-ES_tradnl"/>
        </w:rPr>
        <w:lastRenderedPageBreak/>
        <w:t>Sus planes de actividades del período comprendido entre el 1 de enero de 2024 y el 31 de diciembre de 2027, antes del 30 de septiembre de 2023, para su examen por la Conferencia de las Partes en su 17ª reunión;</w:t>
      </w:r>
    </w:p>
    <w:p w14:paraId="489808E8" w14:textId="77777777" w:rsidR="006F0658" w:rsidRPr="00447994" w:rsidRDefault="006F0658">
      <w:pPr>
        <w:pStyle w:val="Normal-pool"/>
        <w:numPr>
          <w:ilvl w:val="0"/>
          <w:numId w:val="1"/>
        </w:numPr>
        <w:tabs>
          <w:tab w:val="clear" w:pos="1247"/>
          <w:tab w:val="clear" w:pos="1814"/>
        </w:tabs>
        <w:spacing w:after="120"/>
        <w:ind w:left="1247" w:firstLine="624"/>
        <w:rPr>
          <w:rFonts w:eastAsia="SimSun"/>
          <w:i/>
          <w:iCs/>
          <w:lang w:val="es-ES_tradnl"/>
        </w:rPr>
      </w:pPr>
      <w:r w:rsidRPr="00447994">
        <w:rPr>
          <w:i/>
          <w:iCs/>
          <w:lang w:val="es-ES_tradnl"/>
        </w:rPr>
        <w:t>Solicita</w:t>
      </w:r>
      <w:r w:rsidRPr="00447994">
        <w:rPr>
          <w:lang w:val="es-ES_tradnl"/>
        </w:rPr>
        <w:t xml:space="preserve"> a la Secretaría que: </w:t>
      </w:r>
    </w:p>
    <w:p w14:paraId="0B9A7737" w14:textId="77777777" w:rsidR="006F0658" w:rsidRPr="00447994" w:rsidRDefault="006F0658">
      <w:pPr>
        <w:numPr>
          <w:ilvl w:val="0"/>
          <w:numId w:val="6"/>
        </w:numPr>
        <w:tabs>
          <w:tab w:val="left" w:pos="624"/>
        </w:tabs>
        <w:spacing w:after="120"/>
        <w:ind w:left="1276" w:firstLine="567"/>
        <w:rPr>
          <w:rFonts w:eastAsia="Times New Roman"/>
          <w:lang w:val="es-ES_tradnl"/>
        </w:rPr>
      </w:pPr>
      <w:r w:rsidRPr="00447994">
        <w:rPr>
          <w:lang w:val="es-ES_tradnl"/>
        </w:rPr>
        <w:t>Prepare un informe sobre las actividades de los centros regionales y de coordinación para su examen por la Conferencia de las Partes en su 16ª reunión;</w:t>
      </w:r>
    </w:p>
    <w:p w14:paraId="3FDC1EAB" w14:textId="77777777" w:rsidR="006F0658" w:rsidRPr="00447994" w:rsidRDefault="006F0658">
      <w:pPr>
        <w:numPr>
          <w:ilvl w:val="0"/>
          <w:numId w:val="6"/>
        </w:numPr>
        <w:tabs>
          <w:tab w:val="left" w:pos="624"/>
        </w:tabs>
        <w:spacing w:after="120"/>
        <w:ind w:left="1247" w:firstLine="624"/>
        <w:rPr>
          <w:rFonts w:eastAsia="Times New Roman"/>
          <w:lang w:val="es-ES_tradnl"/>
        </w:rPr>
      </w:pPr>
      <w:bookmarkStart w:id="3" w:name="_Hlk65843060"/>
      <w:r w:rsidRPr="00447994">
        <w:rPr>
          <w:lang w:val="es-ES_tradnl"/>
        </w:rPr>
        <w:t>Elabore los proyectos de informe de evaluación sobre el desempeño y la sostenibilidad de los 14 centros regionales y de coordinación del Convenio de Basilea, de conformidad con los criterios y los métodos provisionales a que se hace referencia en los anexos I y II de la decisión BC</w:t>
      </w:r>
      <w:r w:rsidRPr="00447994">
        <w:rPr>
          <w:lang w:val="es-ES_tradnl"/>
        </w:rPr>
        <w:noBreakHyphen/>
        <w:t>11/13, para su examen por la Conferencia de las Partes en su 16ª reunión;</w:t>
      </w:r>
      <w:bookmarkEnd w:id="3"/>
    </w:p>
    <w:p w14:paraId="7A916DF8" w14:textId="77777777" w:rsidR="006F0658" w:rsidRPr="00447994" w:rsidRDefault="006F0658">
      <w:pPr>
        <w:keepNext/>
        <w:numPr>
          <w:ilvl w:val="0"/>
          <w:numId w:val="6"/>
        </w:numPr>
        <w:tabs>
          <w:tab w:val="left" w:pos="624"/>
        </w:tabs>
        <w:spacing w:after="120"/>
        <w:ind w:left="1247" w:firstLine="624"/>
        <w:rPr>
          <w:rFonts w:eastAsia="Times New Roman"/>
          <w:lang w:val="es-ES_tradnl"/>
        </w:rPr>
      </w:pPr>
      <w:r w:rsidRPr="00447994">
        <w:rPr>
          <w:lang w:val="es-ES_tradnl"/>
        </w:rPr>
        <w:t>Emprenda las tareas siguientes para facilitar la labor de los centros regionales:</w:t>
      </w:r>
    </w:p>
    <w:p w14:paraId="3834B9DB" w14:textId="77777777" w:rsidR="006F0658" w:rsidRPr="00447994" w:rsidRDefault="006F0658">
      <w:pPr>
        <w:keepNext/>
        <w:numPr>
          <w:ilvl w:val="0"/>
          <w:numId w:val="5"/>
        </w:numPr>
        <w:tabs>
          <w:tab w:val="left" w:pos="624"/>
        </w:tabs>
        <w:spacing w:after="120"/>
        <w:ind w:left="3119" w:hanging="624"/>
        <w:rPr>
          <w:rFonts w:eastAsia="Times New Roman"/>
          <w:iCs/>
          <w:lang w:val="es-ES_tradnl"/>
        </w:rPr>
      </w:pPr>
      <w:r w:rsidRPr="00447994">
        <w:rPr>
          <w:lang w:val="es-ES_tradnl"/>
        </w:rPr>
        <w:t>Organizar dos reuniones anuales de los coordinadores de los centros regionales del Convenio de Estocolmo sobre Contaminantes Orgánicos Persistentes y de los directores de los centros regionales del Convenio de Basilea sobre el Control de los Movimientos Transfronterizos de los Desechos Peligrosos y su Eliminación, con vistas a mejorar el desempeño de los centros regionales y promover la cooperación y la colaboración entre ellos, y participar en las reuniones de los comités directivos de los centros regionales;</w:t>
      </w:r>
      <w:bookmarkStart w:id="4" w:name="_Hlk65843220"/>
      <w:bookmarkEnd w:id="4"/>
    </w:p>
    <w:p w14:paraId="59CADCA6" w14:textId="77777777" w:rsidR="006F0658" w:rsidRPr="00447994" w:rsidRDefault="006F0658">
      <w:pPr>
        <w:numPr>
          <w:ilvl w:val="0"/>
          <w:numId w:val="5"/>
        </w:numPr>
        <w:tabs>
          <w:tab w:val="left" w:pos="624"/>
        </w:tabs>
        <w:spacing w:after="120"/>
        <w:ind w:left="3119" w:hanging="624"/>
        <w:rPr>
          <w:rFonts w:eastAsia="Times New Roman"/>
          <w:iCs/>
          <w:lang w:val="es-ES_tradnl"/>
        </w:rPr>
      </w:pPr>
      <w:r w:rsidRPr="00447994">
        <w:rPr>
          <w:lang w:val="es-ES_tradnl"/>
        </w:rPr>
        <w:t>Seguir facilitando la ejecución de proyectos nacionales, subregionales y regionales basados en los planes de actividades o planes de trabajo de los centros regionales mediante el Programa de Pequeñas Donaciones, en función de los recursos disponibles;</w:t>
      </w:r>
    </w:p>
    <w:p w14:paraId="567FC131" w14:textId="77777777" w:rsidR="006F0658" w:rsidRPr="00447994" w:rsidRDefault="006F0658">
      <w:pPr>
        <w:numPr>
          <w:ilvl w:val="0"/>
          <w:numId w:val="5"/>
        </w:numPr>
        <w:tabs>
          <w:tab w:val="left" w:pos="624"/>
        </w:tabs>
        <w:spacing w:after="120"/>
        <w:ind w:left="3119" w:hanging="624"/>
        <w:rPr>
          <w:rFonts w:eastAsia="Times New Roman"/>
          <w:iCs/>
          <w:lang w:val="es-ES_tradnl"/>
        </w:rPr>
      </w:pPr>
      <w:r w:rsidRPr="00447994">
        <w:rPr>
          <w:lang w:val="es-ES_tradnl"/>
        </w:rPr>
        <w:t xml:space="preserve">Fomentar las actividades de los centros regionales para aumentar su visibilidad y ayudarlos a cumplir su mandato; </w:t>
      </w:r>
    </w:p>
    <w:p w14:paraId="7E235C6C" w14:textId="77777777" w:rsidR="006F0658" w:rsidRPr="00447994" w:rsidRDefault="006F0658">
      <w:pPr>
        <w:pStyle w:val="Normal-pool"/>
        <w:numPr>
          <w:ilvl w:val="0"/>
          <w:numId w:val="1"/>
        </w:numPr>
        <w:tabs>
          <w:tab w:val="clear" w:pos="1247"/>
          <w:tab w:val="clear" w:pos="1814"/>
        </w:tabs>
        <w:spacing w:after="120"/>
        <w:ind w:left="1247" w:firstLine="624"/>
        <w:rPr>
          <w:rFonts w:eastAsia="SimSun"/>
          <w:lang w:val="es-ES_tradnl"/>
        </w:rPr>
      </w:pPr>
      <w:r w:rsidRPr="00447994">
        <w:rPr>
          <w:i/>
          <w:iCs/>
          <w:lang w:val="es-ES_tradnl"/>
        </w:rPr>
        <w:t>Acoge con beneplácito</w:t>
      </w:r>
      <w:r w:rsidRPr="00447994">
        <w:rPr>
          <w:lang w:val="es-ES_tradnl"/>
        </w:rPr>
        <w:t xml:space="preserve"> la firma de un acuerdo marco entre la Secretaría y el Gobierno de Panamá para el establecimiento en este país del Centro Regional del Convenio de Basilea para la subregión de Centroamérica y México; </w:t>
      </w:r>
    </w:p>
    <w:p w14:paraId="2D9DA375" w14:textId="77777777" w:rsidR="006F0658" w:rsidRPr="00447994" w:rsidRDefault="006F0658">
      <w:pPr>
        <w:pStyle w:val="Normal-pool"/>
        <w:numPr>
          <w:ilvl w:val="0"/>
          <w:numId w:val="1"/>
        </w:numPr>
        <w:tabs>
          <w:tab w:val="clear" w:pos="1247"/>
          <w:tab w:val="clear" w:pos="1814"/>
        </w:tabs>
        <w:spacing w:after="120"/>
        <w:ind w:left="1247" w:firstLine="624"/>
        <w:rPr>
          <w:rFonts w:eastAsia="SimSun"/>
          <w:lang w:val="es-ES_tradnl"/>
        </w:rPr>
      </w:pPr>
      <w:r w:rsidRPr="00447994">
        <w:rPr>
          <w:i/>
          <w:iCs/>
          <w:lang w:val="es-ES_tradnl"/>
        </w:rPr>
        <w:t>Invita</w:t>
      </w:r>
      <w:r w:rsidRPr="00447994">
        <w:rPr>
          <w:lang w:val="es-ES_tradnl"/>
        </w:rPr>
        <w:t xml:space="preserve"> a las Partes, los observadores y las instituciones que estén en condiciones de hacerlo a que presten apoyo financiero para que los centros regionales y de coordinación del Convenio de Basilea puedan ejecutar sus planes de trabajo con el objeto de ayudar a las Partes a cumplir las obligaciones que les impone el Convenio.</w:t>
      </w:r>
    </w:p>
    <w:p w14:paraId="5E5F9B2A" w14:textId="1995B014" w:rsidR="00F935A6" w:rsidRPr="00AD56CA" w:rsidRDefault="00F935A6" w:rsidP="006F0658">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D1CFE" w14:textId="77777777" w:rsidR="00CC3432" w:rsidRDefault="00CC3432" w:rsidP="00162093">
      <w:r>
        <w:separator/>
      </w:r>
    </w:p>
  </w:endnote>
  <w:endnote w:type="continuationSeparator" w:id="0">
    <w:p w14:paraId="728616CE" w14:textId="77777777" w:rsidR="00CC3432" w:rsidRDefault="00CC3432"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2FF19" w14:textId="77777777" w:rsidR="00CC3432" w:rsidRDefault="00CC3432" w:rsidP="00162093">
      <w:r>
        <w:separator/>
      </w:r>
    </w:p>
  </w:footnote>
  <w:footnote w:type="continuationSeparator" w:id="0">
    <w:p w14:paraId="15188DBE" w14:textId="77777777" w:rsidR="00CC3432" w:rsidRDefault="00CC3432" w:rsidP="00162093">
      <w:r>
        <w:continuationSeparator/>
      </w:r>
    </w:p>
  </w:footnote>
  <w:footnote w:id="1">
    <w:p w14:paraId="425949DB"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UNEP/CHW.15/INF/30-UNEP/FAO/RC/COP.10/INF/18-UNEP/POPS/COP.10/INF/30. </w:t>
      </w:r>
    </w:p>
  </w:footnote>
  <w:footnote w:id="2">
    <w:p w14:paraId="76731E43"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hyperlink r:id="rId1" w:history="1">
        <w:r w:rsidRPr="00122920">
          <w:rPr>
            <w:rStyle w:val="Hyperlink"/>
            <w:sz w:val="18"/>
            <w:szCs w:val="18"/>
            <w:lang w:val="es-ES_tradnl"/>
          </w:rPr>
          <w:t>http://www.brsmeas.org/tabid/4898</w:t>
        </w:r>
      </w:hyperlink>
      <w:r w:rsidRPr="00122920">
        <w:rPr>
          <w:sz w:val="18"/>
          <w:szCs w:val="18"/>
          <w:lang w:val="es-ES_tradnl"/>
        </w:rPr>
        <w:t>.</w:t>
      </w:r>
    </w:p>
  </w:footnote>
  <w:footnote w:id="3">
    <w:p w14:paraId="395CEA06"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UNEP/CHW.15/INF/28-UNEP/FAO/RC/COP.10/INF/16-UNEP/POPS/COP.10/INF/28.</w:t>
      </w:r>
    </w:p>
  </w:footnote>
  <w:footnote w:id="4">
    <w:p w14:paraId="3C8AC16B"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UNEP/CHW.15/INF/29-UNEP/FAO/RC/COP.10/INF/17-UNEP/POPS/COP.10/INF/29.</w:t>
      </w:r>
    </w:p>
  </w:footnote>
  <w:footnote w:id="5">
    <w:p w14:paraId="322B0C86"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UNEP/CHW.15/INF/31-UNEP/FAO/RC/COP.10/INF/19-UNEP/POPS/COP.10/INF/68. </w:t>
      </w:r>
      <w:bookmarkStart w:id="1" w:name="_Hlk64555445"/>
      <w:bookmarkEnd w:id="1"/>
    </w:p>
  </w:footnote>
  <w:footnote w:id="6">
    <w:p w14:paraId="388C44AD"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hyperlink r:id="rId2" w:history="1">
        <w:r w:rsidRPr="00122920">
          <w:rPr>
            <w:rStyle w:val="Hyperlink"/>
            <w:sz w:val="18"/>
            <w:szCs w:val="18"/>
            <w:lang w:val="es-ES_tradnl"/>
          </w:rPr>
          <w:t>http://www.basel.int/Partners/RegionalCentres/ActivityReports/tabid/2992/Default.aspx</w:t>
        </w:r>
      </w:hyperlink>
      <w:r w:rsidRPr="00122920">
        <w:rPr>
          <w:sz w:val="18"/>
          <w:szCs w:val="18"/>
          <w:lang w:val="es-ES_tradnl"/>
        </w:rPr>
        <w:t>.</w:t>
      </w:r>
    </w:p>
  </w:footnote>
  <w:footnote w:id="7">
    <w:p w14:paraId="78336C13"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w:t>
      </w:r>
      <w:hyperlink r:id="rId3" w:history="1">
        <w:r w:rsidRPr="00122920">
          <w:rPr>
            <w:rStyle w:val="Hyperlink"/>
            <w:sz w:val="18"/>
            <w:szCs w:val="18"/>
            <w:lang w:val="es-ES_tradnl"/>
          </w:rPr>
          <w:t>http://www.basel.int/Partners/RegionalCentres/BusinessPlans/tabid/2336/Default.aspx</w:t>
        </w:r>
      </w:hyperlink>
      <w:r w:rsidRPr="00122920">
        <w:rPr>
          <w:sz w:val="18"/>
          <w:szCs w:val="18"/>
          <w:lang w:val="es-ES_tradnl"/>
        </w:rPr>
        <w:t>.</w:t>
      </w:r>
    </w:p>
  </w:footnote>
  <w:footnote w:id="8">
    <w:p w14:paraId="67C5FCD3" w14:textId="77777777" w:rsidR="006F0658" w:rsidRPr="00122920" w:rsidRDefault="006F0658" w:rsidP="006F065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UNEP/CHW.15/INF/32-UNEP/POPS/COP.10/INF/31.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B7153"/>
    <w:multiLevelType w:val="hybridMultilevel"/>
    <w:tmpl w:val="0FDCDE14"/>
    <w:lvl w:ilvl="0" w:tplc="AD5C50D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37A615AF"/>
    <w:multiLevelType w:val="hybridMultilevel"/>
    <w:tmpl w:val="A7C23F2C"/>
    <w:lvl w:ilvl="0" w:tplc="0B82E394">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2" w15:restartNumberingAfterBreak="0">
    <w:nsid w:val="53DE2173"/>
    <w:multiLevelType w:val="hybridMultilevel"/>
    <w:tmpl w:val="C0224AFE"/>
    <w:lvl w:ilvl="0" w:tplc="040A0017">
      <w:start w:val="1"/>
      <w:numFmt w:val="lowerLetter"/>
      <w:lvlText w:val="%1)"/>
      <w:lvlJc w:val="left"/>
      <w:pPr>
        <w:ind w:left="2505" w:hanging="360"/>
      </w:pPr>
    </w:lvl>
    <w:lvl w:ilvl="1" w:tplc="FFFFFFFF">
      <w:start w:val="1"/>
      <w:numFmt w:val="lowerLetter"/>
      <w:lvlText w:val="%2."/>
      <w:lvlJc w:val="left"/>
      <w:pPr>
        <w:ind w:left="3225" w:hanging="360"/>
      </w:pPr>
    </w:lvl>
    <w:lvl w:ilvl="2" w:tplc="FFFFFFFF">
      <w:start w:val="1"/>
      <w:numFmt w:val="lowerRoman"/>
      <w:lvlText w:val="%3."/>
      <w:lvlJc w:val="right"/>
      <w:pPr>
        <w:ind w:left="3945" w:hanging="180"/>
      </w:pPr>
    </w:lvl>
    <w:lvl w:ilvl="3" w:tplc="FFFFFFFF">
      <w:start w:val="1"/>
      <w:numFmt w:val="decimal"/>
      <w:lvlText w:val="%4."/>
      <w:lvlJc w:val="left"/>
      <w:pPr>
        <w:ind w:left="4665" w:hanging="360"/>
      </w:pPr>
    </w:lvl>
    <w:lvl w:ilvl="4" w:tplc="FFFFFFFF">
      <w:start w:val="1"/>
      <w:numFmt w:val="lowerLetter"/>
      <w:lvlText w:val="%5."/>
      <w:lvlJc w:val="left"/>
      <w:pPr>
        <w:ind w:left="5385" w:hanging="360"/>
      </w:pPr>
    </w:lvl>
    <w:lvl w:ilvl="5" w:tplc="FFFFFFFF">
      <w:start w:val="1"/>
      <w:numFmt w:val="lowerRoman"/>
      <w:lvlText w:val="%6."/>
      <w:lvlJc w:val="right"/>
      <w:pPr>
        <w:ind w:left="6105" w:hanging="180"/>
      </w:pPr>
    </w:lvl>
    <w:lvl w:ilvl="6" w:tplc="FFFFFFFF">
      <w:start w:val="1"/>
      <w:numFmt w:val="decimal"/>
      <w:lvlText w:val="%7."/>
      <w:lvlJc w:val="left"/>
      <w:pPr>
        <w:ind w:left="6825" w:hanging="360"/>
      </w:pPr>
    </w:lvl>
    <w:lvl w:ilvl="7" w:tplc="FFFFFFFF">
      <w:start w:val="1"/>
      <w:numFmt w:val="lowerLetter"/>
      <w:lvlText w:val="%8."/>
      <w:lvlJc w:val="left"/>
      <w:pPr>
        <w:ind w:left="7545" w:hanging="360"/>
      </w:pPr>
    </w:lvl>
    <w:lvl w:ilvl="8" w:tplc="FFFFFFFF">
      <w:start w:val="1"/>
      <w:numFmt w:val="lowerRoman"/>
      <w:lvlText w:val="%9."/>
      <w:lvlJc w:val="right"/>
      <w:pPr>
        <w:ind w:left="8265" w:hanging="180"/>
      </w:pPr>
    </w:lvl>
  </w:abstractNum>
  <w:abstractNum w:abstractNumId="3" w15:restartNumberingAfterBreak="0">
    <w:nsid w:val="7695031C"/>
    <w:multiLevelType w:val="hybridMultilevel"/>
    <w:tmpl w:val="A536B906"/>
    <w:lvl w:ilvl="0" w:tplc="040A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77B76735"/>
    <w:multiLevelType w:val="hybridMultilevel"/>
    <w:tmpl w:val="E116A2AE"/>
    <w:lvl w:ilvl="0" w:tplc="040A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7C5B024A"/>
    <w:multiLevelType w:val="hybridMultilevel"/>
    <w:tmpl w:val="0EDE96B6"/>
    <w:lvl w:ilvl="0" w:tplc="6FA444FC">
      <w:start w:val="1"/>
      <w:numFmt w:val="decimal"/>
      <w:lvlText w:val="%1."/>
      <w:lvlJc w:val="left"/>
      <w:pPr>
        <w:ind w:left="2591" w:hanging="360"/>
      </w:pPr>
      <w:rPr>
        <w:i w:val="0"/>
        <w:iCs/>
      </w:rPr>
    </w:lvl>
    <w:lvl w:ilvl="1" w:tplc="29CAA252">
      <w:start w:val="1"/>
      <w:numFmt w:val="lowerLetter"/>
      <w:lvlText w:val="(%2)"/>
      <w:lvlJc w:val="left"/>
      <w:pPr>
        <w:ind w:left="3566" w:hanging="615"/>
      </w:pPr>
      <w:rPr>
        <w:rFonts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16cid:durableId="1486554646">
    <w:abstractNumId w:val="5"/>
  </w:num>
  <w:num w:numId="2" w16cid:durableId="394740531">
    <w:abstractNumId w:val="1"/>
  </w:num>
  <w:num w:numId="3" w16cid:durableId="1064261251">
    <w:abstractNumId w:val="3"/>
  </w:num>
  <w:num w:numId="4" w16cid:durableId="387657091">
    <w:abstractNumId w:val="4"/>
  </w:num>
  <w:num w:numId="5" w16cid:durableId="891355342">
    <w:abstractNumId w:val="0"/>
  </w:num>
  <w:num w:numId="6" w16cid:durableId="11017563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62093"/>
    <w:rsid w:val="002403A2"/>
    <w:rsid w:val="00245BBD"/>
    <w:rsid w:val="002F78B7"/>
    <w:rsid w:val="003C0CF7"/>
    <w:rsid w:val="003E56FA"/>
    <w:rsid w:val="0067579D"/>
    <w:rsid w:val="006F0658"/>
    <w:rsid w:val="007B69C9"/>
    <w:rsid w:val="00836B73"/>
    <w:rsid w:val="00A077D7"/>
    <w:rsid w:val="00A20275"/>
    <w:rsid w:val="00A83FA0"/>
    <w:rsid w:val="00AD56CA"/>
    <w:rsid w:val="00B909A9"/>
    <w:rsid w:val="00C803C5"/>
    <w:rsid w:val="00C84536"/>
    <w:rsid w:val="00CC3432"/>
    <w:rsid w:val="00D07464"/>
    <w:rsid w:val="00E066A0"/>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www.basel.int/Partners/RegionalCentres/BusinessPlans/tabid/2336/Default.aspx" TargetMode="External"/><Relationship Id="rId2" Type="http://schemas.openxmlformats.org/officeDocument/2006/relationships/hyperlink" Target="http://www.basel.int/Partners/RegionalCentres/ActivityReports/tabid/2992/Default.aspx" TargetMode="External"/><Relationship Id="rId1" Type="http://schemas.openxmlformats.org/officeDocument/2006/relationships/hyperlink" Target="http://www.brsmeas.org/tabid/48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1233</Words>
  <Characters>7034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2023-05-22T13:29:00Z</dcterms:created>
  <dcterms:modified xsi:type="dcterms:W3CDTF">2023-05-22T13:29:00Z</dcterms:modified>
</cp:coreProperties>
</file>