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676241" w14:textId="77777777" w:rsidR="00A9304F" w:rsidRPr="00B831E7" w:rsidRDefault="00A9304F" w:rsidP="00A9304F">
      <w:pPr>
        <w:pStyle w:val="CH1"/>
        <w:spacing w:before="0"/>
        <w:rPr>
          <w:i/>
          <w:iCs/>
          <w:sz w:val="20"/>
          <w:szCs w:val="20"/>
        </w:rPr>
      </w:pPr>
      <w:bookmarkStart w:id="0" w:name="_Hlk106798434"/>
      <w:r w:rsidRPr="00B831E7">
        <w:tab/>
      </w:r>
      <w:r w:rsidRPr="00B831E7">
        <w:tab/>
        <w:t xml:space="preserve">BC-15/22: Basel Convention Partnership Programme </w:t>
      </w:r>
    </w:p>
    <w:bookmarkEnd w:id="0"/>
    <w:p w14:paraId="58312995" w14:textId="77777777" w:rsidR="00A9304F" w:rsidRPr="00B831E7" w:rsidRDefault="00A9304F" w:rsidP="00A9304F">
      <w:pPr>
        <w:pStyle w:val="Normal-pool"/>
        <w:spacing w:after="120"/>
        <w:ind w:left="1247" w:firstLine="624"/>
        <w:rPr>
          <w:i/>
          <w:iCs/>
        </w:rPr>
      </w:pPr>
      <w:r w:rsidRPr="00B831E7">
        <w:rPr>
          <w:i/>
          <w:iCs/>
        </w:rPr>
        <w:t>The Conference of the Parties</w:t>
      </w:r>
    </w:p>
    <w:p w14:paraId="71152E64" w14:textId="77777777" w:rsidR="00A9304F" w:rsidRPr="00B831E7" w:rsidRDefault="00A9304F" w:rsidP="00A9304F">
      <w:pPr>
        <w:pStyle w:val="CH2"/>
        <w:ind w:left="2494"/>
        <w:jc w:val="center"/>
        <w:rPr>
          <w:b w:val="0"/>
          <w:bCs/>
        </w:rPr>
      </w:pPr>
      <w:r w:rsidRPr="00B831E7">
        <w:rPr>
          <w:bCs/>
        </w:rPr>
        <w:t>I</w:t>
      </w:r>
    </w:p>
    <w:p w14:paraId="54A1966E" w14:textId="77777777" w:rsidR="00A9304F" w:rsidRPr="00B831E7" w:rsidRDefault="00A9304F" w:rsidP="00A9304F">
      <w:pPr>
        <w:pStyle w:val="CH2"/>
        <w:spacing w:before="80"/>
        <w:ind w:firstLine="0"/>
        <w:jc w:val="center"/>
        <w:rPr>
          <w:b w:val="0"/>
          <w:bCs/>
        </w:rPr>
      </w:pPr>
      <w:r w:rsidRPr="00B831E7">
        <w:rPr>
          <w:bCs/>
        </w:rPr>
        <w:t>Follow-up partnership to the Partnership for Action on Computing Equipment</w:t>
      </w:r>
    </w:p>
    <w:p w14:paraId="5614ED93" w14:textId="77777777" w:rsidR="00A9304F" w:rsidRPr="00B831E7" w:rsidRDefault="00A9304F" w:rsidP="00A9304F">
      <w:pPr>
        <w:numPr>
          <w:ilvl w:val="6"/>
          <w:numId w:val="44"/>
        </w:numPr>
        <w:tabs>
          <w:tab w:val="left" w:pos="624"/>
          <w:tab w:val="left" w:pos="1247"/>
          <w:tab w:val="left" w:pos="1814"/>
          <w:tab w:val="left" w:pos="2381"/>
          <w:tab w:val="left" w:pos="2948"/>
          <w:tab w:val="left" w:pos="3515"/>
        </w:tabs>
        <w:spacing w:after="120"/>
        <w:ind w:left="1247" w:firstLine="624"/>
        <w:rPr>
          <w:rFonts w:eastAsia="Times New Roman"/>
          <w:i/>
          <w:iCs/>
          <w:lang w:val="en-GB"/>
        </w:rPr>
      </w:pPr>
      <w:r w:rsidRPr="00B831E7">
        <w:rPr>
          <w:rFonts w:eastAsia="Times New Roman"/>
          <w:i/>
          <w:iCs/>
          <w:lang w:val="en-GB"/>
        </w:rPr>
        <w:t xml:space="preserve">Welcomes </w:t>
      </w:r>
      <w:r w:rsidRPr="00B831E7">
        <w:rPr>
          <w:rFonts w:eastAsia="Times New Roman"/>
          <w:lang w:val="en-GB"/>
        </w:rPr>
        <w:t>the activities undertaken by Basel Convention regional and coordinating centres and other members of the working group of the Follow-up Partnership to the Partnership for Action on Computing Equipment (hereinafter “the Partnership”) to implement its programme of work;</w:t>
      </w:r>
      <w:r w:rsidRPr="00B831E7">
        <w:rPr>
          <w:rFonts w:eastAsia="Times New Roman"/>
          <w:szCs w:val="18"/>
          <w:vertAlign w:val="superscript"/>
          <w:lang w:val="en-GB"/>
        </w:rPr>
        <w:footnoteReference w:id="1"/>
      </w:r>
      <w:r w:rsidRPr="00B831E7">
        <w:rPr>
          <w:rFonts w:eastAsia="Times New Roman"/>
          <w:lang w:val="en-GB"/>
        </w:rPr>
        <w:t xml:space="preserve"> </w:t>
      </w:r>
    </w:p>
    <w:p w14:paraId="7BEB04A7" w14:textId="77777777" w:rsidR="00A9304F" w:rsidRPr="00B831E7" w:rsidRDefault="00A9304F" w:rsidP="00A9304F">
      <w:pPr>
        <w:numPr>
          <w:ilvl w:val="6"/>
          <w:numId w:val="44"/>
        </w:numPr>
        <w:tabs>
          <w:tab w:val="left" w:pos="624"/>
          <w:tab w:val="left" w:pos="1247"/>
          <w:tab w:val="left" w:pos="1814"/>
          <w:tab w:val="left" w:pos="2381"/>
          <w:tab w:val="left" w:pos="2948"/>
          <w:tab w:val="left" w:pos="3515"/>
        </w:tabs>
        <w:spacing w:after="120"/>
        <w:ind w:left="1247" w:firstLine="624"/>
        <w:rPr>
          <w:rFonts w:eastAsia="Times New Roman"/>
          <w:lang w:val="en-GB"/>
        </w:rPr>
      </w:pPr>
      <w:r w:rsidRPr="00B831E7">
        <w:rPr>
          <w:rFonts w:eastAsia="Times New Roman"/>
          <w:i/>
          <w:iCs/>
          <w:lang w:val="en-GB"/>
        </w:rPr>
        <w:t xml:space="preserve">Adopts </w:t>
      </w:r>
      <w:r w:rsidRPr="00B831E7">
        <w:rPr>
          <w:rFonts w:eastAsia="Times New Roman"/>
          <w:lang w:val="en-GB"/>
        </w:rPr>
        <w:t>the amendments to the terms of reference of the Partnership,</w:t>
      </w:r>
      <w:r w:rsidRPr="00B831E7">
        <w:rPr>
          <w:rFonts w:eastAsia="Times New Roman"/>
          <w:bCs/>
          <w:szCs w:val="18"/>
          <w:vertAlign w:val="superscript"/>
          <w:lang w:val="en-GB"/>
        </w:rPr>
        <w:footnoteReference w:id="2"/>
      </w:r>
      <w:r w:rsidRPr="00B831E7">
        <w:rPr>
          <w:rFonts w:eastAsia="Times New Roman"/>
          <w:lang w:val="en-GB"/>
        </w:rPr>
        <w:t xml:space="preserve"> including the new name of the Partnership, and the programme of work for the biennium 2022–2023 of the working group of the Partnership;</w:t>
      </w:r>
      <w:r w:rsidRPr="00B831E7">
        <w:rPr>
          <w:rFonts w:eastAsia="Times New Roman"/>
          <w:szCs w:val="18"/>
          <w:vertAlign w:val="superscript"/>
          <w:lang w:val="en-GB"/>
        </w:rPr>
        <w:footnoteReference w:id="3"/>
      </w:r>
    </w:p>
    <w:p w14:paraId="021E7C39" w14:textId="77777777" w:rsidR="00A9304F" w:rsidRPr="00B831E7" w:rsidRDefault="00A9304F" w:rsidP="00A9304F">
      <w:pPr>
        <w:numPr>
          <w:ilvl w:val="6"/>
          <w:numId w:val="44"/>
        </w:numPr>
        <w:tabs>
          <w:tab w:val="left" w:pos="624"/>
          <w:tab w:val="left" w:pos="1247"/>
          <w:tab w:val="left" w:pos="1814"/>
          <w:tab w:val="left" w:pos="2381"/>
          <w:tab w:val="left" w:pos="2948"/>
          <w:tab w:val="left" w:pos="3515"/>
        </w:tabs>
        <w:spacing w:after="120"/>
        <w:ind w:left="1247" w:firstLine="624"/>
        <w:rPr>
          <w:rFonts w:eastAsia="Times New Roman"/>
          <w:vanish/>
          <w:color w:val="000000"/>
          <w:lang w:val="en-GB"/>
        </w:rPr>
      </w:pPr>
      <w:bookmarkStart w:id="1" w:name="_Hlk106798468"/>
      <w:r w:rsidRPr="00B831E7">
        <w:rPr>
          <w:rFonts w:eastAsia="Times New Roman"/>
          <w:i/>
          <w:iCs/>
          <w:lang w:val="en-GB"/>
        </w:rPr>
        <w:t xml:space="preserve">Invites </w:t>
      </w:r>
      <w:r w:rsidRPr="00B831E7">
        <w:rPr>
          <w:rFonts w:eastAsia="Times New Roman"/>
          <w:lang w:val="en-GB"/>
        </w:rPr>
        <w:t xml:space="preserve">Parties, </w:t>
      </w:r>
      <w:proofErr w:type="gramStart"/>
      <w:r w:rsidRPr="00B831E7">
        <w:rPr>
          <w:rFonts w:eastAsia="Times New Roman"/>
          <w:lang w:val="en-GB"/>
        </w:rPr>
        <w:t>signatories</w:t>
      </w:r>
      <w:proofErr w:type="gramEnd"/>
      <w:r w:rsidRPr="00B831E7">
        <w:rPr>
          <w:rFonts w:eastAsia="Times New Roman"/>
          <w:lang w:val="en-GB"/>
        </w:rPr>
        <w:t xml:space="preserve"> and all other stakeholders, including manufacturers, recyclers, </w:t>
      </w:r>
      <w:proofErr w:type="spellStart"/>
      <w:r w:rsidRPr="00B831E7">
        <w:rPr>
          <w:rFonts w:eastAsia="Times New Roman"/>
          <w:lang w:val="en-GB"/>
        </w:rPr>
        <w:t>refurbishers</w:t>
      </w:r>
      <w:proofErr w:type="spellEnd"/>
      <w:r w:rsidRPr="00B831E7">
        <w:rPr>
          <w:rFonts w:eastAsia="Times New Roman"/>
          <w:lang w:val="en-GB"/>
        </w:rPr>
        <w:t>, academia, relevant e-waste platforms, non-governmental and intergovernmental organizations and former partners of the Partnership for Action on Computing Equipment to communicate to the Secretariat no later than 31 August 2022 their wish to be admitted as a member of the working group of the Partnership;</w:t>
      </w:r>
    </w:p>
    <w:bookmarkEnd w:id="1"/>
    <w:p w14:paraId="66904C6E" w14:textId="77777777" w:rsidR="00A9304F" w:rsidRPr="008524D9" w:rsidRDefault="00A9304F" w:rsidP="00A9304F">
      <w:pPr>
        <w:numPr>
          <w:ilvl w:val="6"/>
          <w:numId w:val="44"/>
        </w:numPr>
        <w:tabs>
          <w:tab w:val="left" w:pos="624"/>
          <w:tab w:val="left" w:pos="1247"/>
          <w:tab w:val="left" w:pos="1814"/>
          <w:tab w:val="left" w:pos="2381"/>
          <w:tab w:val="left" w:pos="2948"/>
          <w:tab w:val="left" w:pos="3515"/>
        </w:tabs>
        <w:spacing w:after="120"/>
        <w:ind w:left="1247" w:firstLine="624"/>
        <w:rPr>
          <w:rFonts w:eastAsia="Times New Roman"/>
          <w:lang w:val="en-GB"/>
        </w:rPr>
      </w:pPr>
    </w:p>
    <w:p w14:paraId="48D0FADE" w14:textId="77777777" w:rsidR="00A9304F" w:rsidRPr="00B831E7" w:rsidRDefault="00A9304F" w:rsidP="00A9304F">
      <w:pPr>
        <w:numPr>
          <w:ilvl w:val="0"/>
          <w:numId w:val="46"/>
        </w:numPr>
        <w:tabs>
          <w:tab w:val="left" w:pos="624"/>
          <w:tab w:val="left" w:pos="1247"/>
          <w:tab w:val="left" w:pos="1814"/>
          <w:tab w:val="left" w:pos="2381"/>
          <w:tab w:val="left" w:pos="2948"/>
          <w:tab w:val="left" w:pos="3515"/>
        </w:tabs>
        <w:spacing w:after="120"/>
        <w:ind w:left="1276" w:firstLine="567"/>
        <w:rPr>
          <w:rFonts w:eastAsia="Times New Roman"/>
          <w:lang w:val="en-GB"/>
        </w:rPr>
      </w:pPr>
      <w:r w:rsidRPr="00B831E7">
        <w:rPr>
          <w:rFonts w:eastAsia="Times New Roman"/>
          <w:i/>
          <w:iCs/>
          <w:lang w:val="en-GB"/>
        </w:rPr>
        <w:t xml:space="preserve">Requests </w:t>
      </w:r>
      <w:r w:rsidRPr="00B831E7">
        <w:rPr>
          <w:rFonts w:eastAsia="Times New Roman"/>
          <w:lang w:val="en-GB"/>
        </w:rPr>
        <w:t>the working group of the Partnership to implement the activities in the programme of work for the biennium 2022–</w:t>
      </w:r>
      <w:proofErr w:type="gramStart"/>
      <w:r w:rsidRPr="00B831E7">
        <w:rPr>
          <w:rFonts w:eastAsia="Times New Roman"/>
          <w:lang w:val="en-GB"/>
        </w:rPr>
        <w:t>2023;</w:t>
      </w:r>
      <w:proofErr w:type="gramEnd"/>
    </w:p>
    <w:p w14:paraId="1434FE81" w14:textId="77777777" w:rsidR="00A9304F" w:rsidRPr="00B831E7" w:rsidRDefault="00A9304F" w:rsidP="00A9304F">
      <w:pPr>
        <w:numPr>
          <w:ilvl w:val="0"/>
          <w:numId w:val="46"/>
        </w:numPr>
        <w:tabs>
          <w:tab w:val="left" w:pos="624"/>
          <w:tab w:val="left" w:pos="1247"/>
          <w:tab w:val="left" w:pos="1814"/>
          <w:tab w:val="left" w:pos="2381"/>
          <w:tab w:val="left" w:pos="2948"/>
          <w:tab w:val="left" w:pos="3515"/>
        </w:tabs>
        <w:spacing w:after="120"/>
        <w:ind w:left="1276" w:firstLine="567"/>
        <w:rPr>
          <w:rFonts w:eastAsia="Times New Roman"/>
          <w:i/>
          <w:iCs/>
          <w:lang w:val="en-GB"/>
        </w:rPr>
      </w:pPr>
      <w:r w:rsidRPr="00B831E7">
        <w:rPr>
          <w:rFonts w:eastAsia="Times New Roman"/>
          <w:i/>
          <w:iCs/>
          <w:lang w:val="en-GB"/>
        </w:rPr>
        <w:t xml:space="preserve">Requests </w:t>
      </w:r>
      <w:r w:rsidRPr="00B831E7">
        <w:rPr>
          <w:rFonts w:eastAsia="Times New Roman"/>
          <w:lang w:val="en-GB"/>
        </w:rPr>
        <w:t xml:space="preserve">the Secretariat to report on progress in the implementation of the present decision to the Open-ended Working Group at its thirteenth meeting and to the Conference of the Parties at its sixteenth </w:t>
      </w:r>
      <w:proofErr w:type="gramStart"/>
      <w:r w:rsidRPr="00B831E7">
        <w:rPr>
          <w:rFonts w:eastAsia="Times New Roman"/>
          <w:lang w:val="en-GB"/>
        </w:rPr>
        <w:t>meeting;</w:t>
      </w:r>
      <w:proofErr w:type="gramEnd"/>
    </w:p>
    <w:p w14:paraId="501444E6" w14:textId="77777777" w:rsidR="00A9304F" w:rsidRPr="00B831E7" w:rsidRDefault="00A9304F" w:rsidP="00A9304F">
      <w:pPr>
        <w:pStyle w:val="CH2"/>
        <w:ind w:left="2494"/>
        <w:jc w:val="center"/>
        <w:rPr>
          <w:b w:val="0"/>
          <w:bCs/>
        </w:rPr>
      </w:pPr>
      <w:r w:rsidRPr="00B831E7">
        <w:rPr>
          <w:bCs/>
        </w:rPr>
        <w:t>II</w:t>
      </w:r>
    </w:p>
    <w:p w14:paraId="34A40193" w14:textId="77777777" w:rsidR="00A9304F" w:rsidRPr="00B831E7" w:rsidRDefault="00A9304F" w:rsidP="00A9304F">
      <w:pPr>
        <w:pStyle w:val="CH2"/>
        <w:spacing w:before="80"/>
        <w:ind w:firstLine="0"/>
        <w:jc w:val="center"/>
        <w:rPr>
          <w:b w:val="0"/>
          <w:bCs/>
        </w:rPr>
      </w:pPr>
      <w:r w:rsidRPr="00B831E7">
        <w:rPr>
          <w:bCs/>
        </w:rPr>
        <w:t>Environmental Network for Optimizing Regulatory Compliance on Illegal Traffic</w:t>
      </w:r>
    </w:p>
    <w:p w14:paraId="12DD2BF6" w14:textId="77777777" w:rsidR="00A9304F" w:rsidRPr="00B831E7" w:rsidRDefault="00A9304F" w:rsidP="00A9304F">
      <w:pPr>
        <w:numPr>
          <w:ilvl w:val="0"/>
          <w:numId w:val="46"/>
        </w:numPr>
        <w:tabs>
          <w:tab w:val="left" w:pos="624"/>
          <w:tab w:val="left" w:pos="1247"/>
          <w:tab w:val="left" w:pos="1814"/>
          <w:tab w:val="left" w:pos="2381"/>
          <w:tab w:val="left" w:pos="2948"/>
          <w:tab w:val="left" w:pos="3515"/>
        </w:tabs>
        <w:spacing w:after="120"/>
        <w:ind w:left="1276" w:firstLine="567"/>
        <w:rPr>
          <w:rFonts w:eastAsia="Times New Roman"/>
          <w:color w:val="000000"/>
          <w:lang w:val="en-GB"/>
        </w:rPr>
      </w:pPr>
      <w:r w:rsidRPr="00B831E7">
        <w:rPr>
          <w:rFonts w:eastAsia="Times New Roman"/>
          <w:i/>
          <w:iCs/>
          <w:color w:val="000000"/>
          <w:lang w:val="en-GB"/>
        </w:rPr>
        <w:t xml:space="preserve">Takes note </w:t>
      </w:r>
      <w:r w:rsidRPr="00B831E7">
        <w:rPr>
          <w:rFonts w:eastAsia="Times New Roman"/>
          <w:color w:val="000000"/>
          <w:lang w:val="en-GB"/>
        </w:rPr>
        <w:t xml:space="preserve">of decision BC-15/17 on the Committee Administering the Mechanism for Promoting </w:t>
      </w:r>
      <w:r w:rsidRPr="008524D9">
        <w:rPr>
          <w:rFonts w:eastAsia="Times New Roman"/>
          <w:lang w:val="en-GB"/>
        </w:rPr>
        <w:t>Implementation</w:t>
      </w:r>
      <w:r w:rsidRPr="00B831E7">
        <w:rPr>
          <w:rFonts w:eastAsia="Times New Roman"/>
          <w:color w:val="000000"/>
          <w:lang w:val="en-GB"/>
        </w:rPr>
        <w:t xml:space="preserve"> and </w:t>
      </w:r>
      <w:proofErr w:type="gramStart"/>
      <w:r w:rsidRPr="00B831E7">
        <w:rPr>
          <w:rFonts w:eastAsia="Times New Roman"/>
          <w:color w:val="000000"/>
          <w:lang w:val="en-GB"/>
        </w:rPr>
        <w:t>Compliance;</w:t>
      </w:r>
      <w:proofErr w:type="gramEnd"/>
    </w:p>
    <w:p w14:paraId="49EC41C0" w14:textId="77777777" w:rsidR="00A9304F" w:rsidRPr="00B831E7" w:rsidRDefault="00A9304F" w:rsidP="00A9304F">
      <w:pPr>
        <w:numPr>
          <w:ilvl w:val="0"/>
          <w:numId w:val="46"/>
        </w:numPr>
        <w:tabs>
          <w:tab w:val="left" w:pos="624"/>
          <w:tab w:val="left" w:pos="1247"/>
          <w:tab w:val="left" w:pos="1814"/>
          <w:tab w:val="left" w:pos="2381"/>
          <w:tab w:val="left" w:pos="2948"/>
          <w:tab w:val="left" w:pos="3515"/>
        </w:tabs>
        <w:spacing w:after="120"/>
        <w:ind w:left="1276" w:firstLine="567"/>
        <w:rPr>
          <w:rFonts w:eastAsia="Times New Roman"/>
          <w:color w:val="000000"/>
          <w:lang w:val="en-GB"/>
        </w:rPr>
      </w:pPr>
      <w:r w:rsidRPr="00B831E7">
        <w:rPr>
          <w:rFonts w:eastAsia="Times New Roman"/>
          <w:i/>
          <w:iCs/>
          <w:color w:val="000000"/>
          <w:lang w:val="en-GB"/>
        </w:rPr>
        <w:t xml:space="preserve">Also takes note </w:t>
      </w:r>
      <w:r w:rsidRPr="00B831E7">
        <w:rPr>
          <w:rFonts w:eastAsia="Times New Roman"/>
          <w:color w:val="000000"/>
          <w:lang w:val="en-GB"/>
        </w:rPr>
        <w:t>of the progress report of the Environmental Network for Optimizing Regulatory Compliance on Illegal Traffic</w:t>
      </w:r>
      <w:r w:rsidRPr="00B831E7">
        <w:rPr>
          <w:rFonts w:eastAsia="Times New Roman"/>
          <w:szCs w:val="18"/>
          <w:vertAlign w:val="superscript"/>
          <w:lang w:val="en-GB"/>
        </w:rPr>
        <w:footnoteReference w:id="4"/>
      </w:r>
      <w:r w:rsidRPr="00B831E7">
        <w:rPr>
          <w:rFonts w:eastAsia="Times New Roman"/>
          <w:color w:val="000000"/>
          <w:lang w:val="en-GB"/>
        </w:rPr>
        <w:t xml:space="preserve"> </w:t>
      </w:r>
      <w:r w:rsidRPr="00B831E7">
        <w:rPr>
          <w:rFonts w:eastAsia="Times New Roman"/>
          <w:lang w:val="en-GB"/>
        </w:rPr>
        <w:t xml:space="preserve">and acknowledges the progress made by the Network since the fourteenth meeting of the Conference of the </w:t>
      </w:r>
      <w:proofErr w:type="gramStart"/>
      <w:r w:rsidRPr="00B831E7">
        <w:rPr>
          <w:rFonts w:eastAsia="Times New Roman"/>
          <w:lang w:val="en-GB"/>
        </w:rPr>
        <w:t>Parties;</w:t>
      </w:r>
      <w:proofErr w:type="gramEnd"/>
    </w:p>
    <w:p w14:paraId="07A3443C" w14:textId="77777777" w:rsidR="00A9304F" w:rsidRPr="00B831E7" w:rsidRDefault="00A9304F" w:rsidP="00A9304F">
      <w:pPr>
        <w:numPr>
          <w:ilvl w:val="0"/>
          <w:numId w:val="46"/>
        </w:numPr>
        <w:tabs>
          <w:tab w:val="left" w:pos="624"/>
          <w:tab w:val="left" w:pos="1247"/>
          <w:tab w:val="left" w:pos="1814"/>
          <w:tab w:val="left" w:pos="2381"/>
          <w:tab w:val="left" w:pos="2948"/>
          <w:tab w:val="left" w:pos="3515"/>
        </w:tabs>
        <w:spacing w:after="120"/>
        <w:ind w:left="1276" w:firstLine="567"/>
        <w:rPr>
          <w:rFonts w:eastAsia="Times New Roman"/>
          <w:color w:val="000000"/>
          <w:lang w:val="en-GB"/>
        </w:rPr>
      </w:pPr>
      <w:r w:rsidRPr="00B831E7">
        <w:rPr>
          <w:rFonts w:eastAsia="Times New Roman"/>
          <w:i/>
          <w:iCs/>
          <w:color w:val="000000"/>
          <w:lang w:val="en-GB"/>
        </w:rPr>
        <w:t xml:space="preserve">Invites </w:t>
      </w:r>
      <w:r w:rsidRPr="00B831E7">
        <w:rPr>
          <w:rFonts w:eastAsia="Times New Roman"/>
          <w:color w:val="000000"/>
          <w:lang w:val="en-GB"/>
        </w:rPr>
        <w:t xml:space="preserve">entities with a specific mandate to deliver implementation and enforcement capacity-building activities that could assist Parties to the Basel Convention in preventing and combating illegal traffic of hazardous wastes and other wastes to consider sending a duly motivated request to the Chair of the Network regarding admission as members of the </w:t>
      </w:r>
      <w:proofErr w:type="gramStart"/>
      <w:r w:rsidRPr="00B831E7">
        <w:rPr>
          <w:rFonts w:eastAsia="Times New Roman"/>
          <w:color w:val="000000"/>
          <w:lang w:val="en-GB"/>
        </w:rPr>
        <w:t>Network;</w:t>
      </w:r>
      <w:proofErr w:type="gramEnd"/>
    </w:p>
    <w:p w14:paraId="1D7D7157" w14:textId="77777777" w:rsidR="00A9304F" w:rsidRPr="00B831E7" w:rsidRDefault="00A9304F" w:rsidP="00A9304F">
      <w:pPr>
        <w:numPr>
          <w:ilvl w:val="0"/>
          <w:numId w:val="46"/>
        </w:numPr>
        <w:tabs>
          <w:tab w:val="left" w:pos="624"/>
          <w:tab w:val="left" w:pos="1247"/>
          <w:tab w:val="left" w:pos="1814"/>
          <w:tab w:val="left" w:pos="2381"/>
          <w:tab w:val="left" w:pos="2948"/>
          <w:tab w:val="left" w:pos="3515"/>
        </w:tabs>
        <w:spacing w:after="120"/>
        <w:ind w:left="1276" w:firstLine="567"/>
        <w:rPr>
          <w:rFonts w:eastAsia="Times New Roman"/>
          <w:color w:val="000000"/>
          <w:lang w:val="en-GB"/>
        </w:rPr>
      </w:pPr>
      <w:r w:rsidRPr="00B831E7">
        <w:rPr>
          <w:rFonts w:eastAsia="Times New Roman"/>
          <w:i/>
          <w:iCs/>
          <w:color w:val="000000"/>
          <w:lang w:val="en-GB"/>
        </w:rPr>
        <w:t xml:space="preserve">Elects </w:t>
      </w:r>
      <w:r w:rsidRPr="00B831E7">
        <w:rPr>
          <w:rFonts w:eastAsia="Times New Roman"/>
          <w:color w:val="000000"/>
          <w:lang w:val="en-GB"/>
        </w:rPr>
        <w:t>the following representatives of five Parties to the Basel Convention to serve as members of the Network:</w:t>
      </w:r>
    </w:p>
    <w:p w14:paraId="7071CB47" w14:textId="77777777" w:rsidR="00A9304F" w:rsidRPr="00B831E7" w:rsidRDefault="00A9304F" w:rsidP="00A9304F">
      <w:pPr>
        <w:pStyle w:val="Normal-pool"/>
        <w:tabs>
          <w:tab w:val="clear" w:pos="1247"/>
          <w:tab w:val="clear" w:pos="1814"/>
          <w:tab w:val="clear" w:pos="2381"/>
          <w:tab w:val="clear" w:pos="2948"/>
          <w:tab w:val="clear" w:pos="3515"/>
          <w:tab w:val="clear" w:pos="4082"/>
        </w:tabs>
        <w:spacing w:after="120"/>
        <w:ind w:left="1247"/>
        <w:rPr>
          <w:color w:val="000000"/>
        </w:rPr>
      </w:pPr>
      <w:r w:rsidRPr="00B831E7">
        <w:rPr>
          <w:color w:val="000000"/>
        </w:rPr>
        <w:t xml:space="preserve">From African States: Ms. Simeon </w:t>
      </w:r>
      <w:proofErr w:type="spellStart"/>
      <w:r w:rsidRPr="00B831E7">
        <w:rPr>
          <w:color w:val="000000"/>
        </w:rPr>
        <w:t>Pulchérie</w:t>
      </w:r>
      <w:proofErr w:type="spellEnd"/>
      <w:r w:rsidRPr="00B831E7">
        <w:rPr>
          <w:color w:val="000000"/>
        </w:rPr>
        <w:t xml:space="preserve"> (Benin), until the closure of the sixteenth meeting of the Conference of the </w:t>
      </w:r>
      <w:proofErr w:type="gramStart"/>
      <w:r w:rsidRPr="00B831E7">
        <w:rPr>
          <w:color w:val="000000"/>
        </w:rPr>
        <w:t>Parties;</w:t>
      </w:r>
      <w:proofErr w:type="gramEnd"/>
    </w:p>
    <w:p w14:paraId="5890573B" w14:textId="77777777" w:rsidR="00A9304F" w:rsidRPr="00B831E7" w:rsidRDefault="00A9304F" w:rsidP="00A9304F">
      <w:pPr>
        <w:pStyle w:val="Normal-pool"/>
        <w:tabs>
          <w:tab w:val="clear" w:pos="1247"/>
          <w:tab w:val="clear" w:pos="1814"/>
          <w:tab w:val="clear" w:pos="2381"/>
          <w:tab w:val="clear" w:pos="2948"/>
          <w:tab w:val="clear" w:pos="3515"/>
          <w:tab w:val="clear" w:pos="4082"/>
        </w:tabs>
        <w:spacing w:after="120"/>
        <w:ind w:left="1247"/>
        <w:rPr>
          <w:color w:val="000000"/>
        </w:rPr>
      </w:pPr>
      <w:r w:rsidRPr="00B831E7">
        <w:rPr>
          <w:color w:val="000000"/>
        </w:rPr>
        <w:lastRenderedPageBreak/>
        <w:t xml:space="preserve">From Asia-Pacific States: Mr. </w:t>
      </w:r>
      <w:proofErr w:type="spellStart"/>
      <w:r w:rsidRPr="00B831E7">
        <w:rPr>
          <w:color w:val="000000"/>
        </w:rPr>
        <w:t>Norhisham</w:t>
      </w:r>
      <w:proofErr w:type="spellEnd"/>
      <w:r w:rsidRPr="00B831E7">
        <w:rPr>
          <w:color w:val="000000"/>
        </w:rPr>
        <w:t xml:space="preserve"> Abdul Hamid (Malaysia), until the closure of the seventeenth meeting of the Conference of the </w:t>
      </w:r>
      <w:proofErr w:type="gramStart"/>
      <w:r w:rsidRPr="00B831E7">
        <w:rPr>
          <w:color w:val="000000"/>
        </w:rPr>
        <w:t>Parties;</w:t>
      </w:r>
      <w:proofErr w:type="gramEnd"/>
    </w:p>
    <w:p w14:paraId="346F56C3" w14:textId="77777777" w:rsidR="00A9304F" w:rsidRPr="00B831E7" w:rsidRDefault="00A9304F" w:rsidP="00A9304F">
      <w:pPr>
        <w:pStyle w:val="Normal-pool"/>
        <w:tabs>
          <w:tab w:val="clear" w:pos="1247"/>
          <w:tab w:val="clear" w:pos="1814"/>
          <w:tab w:val="clear" w:pos="2381"/>
          <w:tab w:val="clear" w:pos="2948"/>
          <w:tab w:val="clear" w:pos="3515"/>
          <w:tab w:val="clear" w:pos="4082"/>
        </w:tabs>
        <w:spacing w:after="120"/>
        <w:ind w:left="1247"/>
        <w:rPr>
          <w:color w:val="000000"/>
        </w:rPr>
      </w:pPr>
      <w:r w:rsidRPr="00B831E7">
        <w:rPr>
          <w:color w:val="000000"/>
        </w:rPr>
        <w:t xml:space="preserve">From Latin American and Caribbean States: Ms. Lael </w:t>
      </w:r>
      <w:proofErr w:type="spellStart"/>
      <w:r w:rsidRPr="00B831E7">
        <w:rPr>
          <w:color w:val="000000"/>
        </w:rPr>
        <w:t>Bertide</w:t>
      </w:r>
      <w:proofErr w:type="spellEnd"/>
      <w:r w:rsidRPr="00B831E7">
        <w:rPr>
          <w:color w:val="000000"/>
        </w:rPr>
        <w:t>-Josiah (Antigua and Barbuda), until the closure of the seventeenth</w:t>
      </w:r>
      <w:r w:rsidRPr="00B831E7" w:rsidDel="00BA4D04">
        <w:rPr>
          <w:color w:val="000000"/>
        </w:rPr>
        <w:t xml:space="preserve"> </w:t>
      </w:r>
      <w:r w:rsidRPr="00B831E7">
        <w:rPr>
          <w:color w:val="000000"/>
        </w:rPr>
        <w:t xml:space="preserve">meeting of the Conference of the </w:t>
      </w:r>
      <w:proofErr w:type="gramStart"/>
      <w:r w:rsidRPr="00B831E7">
        <w:rPr>
          <w:color w:val="000000"/>
        </w:rPr>
        <w:t>Parties;</w:t>
      </w:r>
      <w:proofErr w:type="gramEnd"/>
    </w:p>
    <w:p w14:paraId="2E6058FF" w14:textId="77777777" w:rsidR="00A9304F" w:rsidRPr="00B831E7" w:rsidRDefault="00A9304F" w:rsidP="00A9304F">
      <w:pPr>
        <w:pStyle w:val="Normal-pool"/>
        <w:tabs>
          <w:tab w:val="clear" w:pos="1247"/>
          <w:tab w:val="clear" w:pos="1814"/>
          <w:tab w:val="clear" w:pos="2381"/>
          <w:tab w:val="clear" w:pos="2948"/>
          <w:tab w:val="clear" w:pos="3515"/>
          <w:tab w:val="clear" w:pos="4082"/>
        </w:tabs>
        <w:spacing w:after="120"/>
        <w:ind w:left="1247"/>
        <w:rPr>
          <w:color w:val="000000"/>
        </w:rPr>
      </w:pPr>
      <w:r w:rsidRPr="00B831E7">
        <w:rPr>
          <w:color w:val="000000"/>
        </w:rPr>
        <w:t xml:space="preserve">From Western European and other States: Ms. Katie </w:t>
      </w:r>
      <w:proofErr w:type="spellStart"/>
      <w:r w:rsidRPr="00B831E7">
        <w:rPr>
          <w:color w:val="000000"/>
        </w:rPr>
        <w:t>Olley</w:t>
      </w:r>
      <w:proofErr w:type="spellEnd"/>
      <w:r w:rsidRPr="00B831E7">
        <w:rPr>
          <w:color w:val="000000"/>
        </w:rPr>
        <w:t xml:space="preserve"> (United Kingdom </w:t>
      </w:r>
      <w:r w:rsidRPr="00B831E7">
        <w:t>of Great Britain and Northern Ireland</w:t>
      </w:r>
      <w:r w:rsidRPr="00B831E7">
        <w:rPr>
          <w:color w:val="000000"/>
        </w:rPr>
        <w:t xml:space="preserve">), until the closure of the sixteenth meeting of the Conference of the </w:t>
      </w:r>
      <w:proofErr w:type="gramStart"/>
      <w:r w:rsidRPr="00B831E7">
        <w:rPr>
          <w:color w:val="000000"/>
        </w:rPr>
        <w:t>Parties;</w:t>
      </w:r>
      <w:proofErr w:type="gramEnd"/>
    </w:p>
    <w:p w14:paraId="41430687" w14:textId="77777777" w:rsidR="00A9304F" w:rsidRPr="00B831E7" w:rsidRDefault="00A9304F" w:rsidP="00A9304F">
      <w:pPr>
        <w:tabs>
          <w:tab w:val="left" w:pos="624"/>
        </w:tabs>
        <w:autoSpaceDE w:val="0"/>
        <w:autoSpaceDN w:val="0"/>
        <w:adjustRightInd w:val="0"/>
        <w:spacing w:after="120"/>
        <w:ind w:left="1247"/>
        <w:rPr>
          <w:rFonts w:eastAsia="Times New Roman"/>
          <w:color w:val="000000"/>
          <w:lang w:val="en-GB"/>
        </w:rPr>
      </w:pPr>
      <w:r w:rsidRPr="00B831E7">
        <w:rPr>
          <w:rFonts w:eastAsia="Times New Roman"/>
          <w:color w:val="000000"/>
          <w:lang w:val="en-GB"/>
        </w:rPr>
        <w:t xml:space="preserve">From Eastern European States: Ms. Kristine </w:t>
      </w:r>
      <w:proofErr w:type="spellStart"/>
      <w:r w:rsidRPr="00B831E7">
        <w:rPr>
          <w:rFonts w:eastAsia="Times New Roman"/>
          <w:color w:val="000000"/>
          <w:lang w:val="en-GB"/>
        </w:rPr>
        <w:t>Vardanashvili</w:t>
      </w:r>
      <w:proofErr w:type="spellEnd"/>
      <w:r w:rsidRPr="00B831E7">
        <w:rPr>
          <w:rFonts w:eastAsia="Times New Roman"/>
          <w:color w:val="000000"/>
          <w:lang w:val="en-GB"/>
        </w:rPr>
        <w:t xml:space="preserve"> (Georgia), until the closure of the sixteenth meeting of the Conference of the </w:t>
      </w:r>
      <w:proofErr w:type="gramStart"/>
      <w:r w:rsidRPr="00B831E7">
        <w:rPr>
          <w:rFonts w:eastAsia="Times New Roman"/>
          <w:color w:val="000000"/>
          <w:lang w:val="en-GB"/>
        </w:rPr>
        <w:t>Parties;</w:t>
      </w:r>
      <w:proofErr w:type="gramEnd"/>
    </w:p>
    <w:p w14:paraId="435E455B" w14:textId="77777777" w:rsidR="00A9304F" w:rsidRPr="00B831E7" w:rsidRDefault="00A9304F" w:rsidP="00A9304F">
      <w:pPr>
        <w:numPr>
          <w:ilvl w:val="0"/>
          <w:numId w:val="46"/>
        </w:numPr>
        <w:tabs>
          <w:tab w:val="left" w:pos="624"/>
          <w:tab w:val="left" w:pos="1247"/>
          <w:tab w:val="left" w:pos="1814"/>
          <w:tab w:val="left" w:pos="2381"/>
          <w:tab w:val="left" w:pos="2948"/>
          <w:tab w:val="left" w:pos="3515"/>
        </w:tabs>
        <w:spacing w:after="120"/>
        <w:ind w:left="1276" w:firstLine="567"/>
        <w:rPr>
          <w:rFonts w:eastAsia="Times New Roman"/>
          <w:color w:val="000000"/>
          <w:lang w:val="en-GB"/>
        </w:rPr>
      </w:pPr>
      <w:r w:rsidRPr="00B831E7">
        <w:rPr>
          <w:rFonts w:eastAsia="Times New Roman"/>
          <w:i/>
          <w:iCs/>
          <w:color w:val="000000"/>
          <w:lang w:val="en-GB"/>
        </w:rPr>
        <w:t xml:space="preserve">Designates </w:t>
      </w:r>
      <w:r w:rsidRPr="00B831E7">
        <w:rPr>
          <w:rFonts w:eastAsia="Times New Roman"/>
          <w:color w:val="000000"/>
          <w:lang w:val="en-GB"/>
        </w:rPr>
        <w:t>the following four representatives of the Basel Convention regional and coordinating centres to serve as members of the Network:</w:t>
      </w:r>
    </w:p>
    <w:p w14:paraId="12978582" w14:textId="77777777" w:rsidR="00A9304F" w:rsidRPr="00B831E7" w:rsidRDefault="00A9304F" w:rsidP="00A9304F">
      <w:pPr>
        <w:pStyle w:val="Normal-pool"/>
        <w:tabs>
          <w:tab w:val="clear" w:pos="1247"/>
          <w:tab w:val="clear" w:pos="1814"/>
          <w:tab w:val="clear" w:pos="2381"/>
          <w:tab w:val="clear" w:pos="2948"/>
          <w:tab w:val="clear" w:pos="3515"/>
          <w:tab w:val="clear" w:pos="4082"/>
        </w:tabs>
        <w:spacing w:after="120"/>
        <w:ind w:left="1247"/>
        <w:rPr>
          <w:color w:val="000000"/>
        </w:rPr>
      </w:pPr>
      <w:r w:rsidRPr="00B831E7">
        <w:rPr>
          <w:color w:val="000000"/>
        </w:rPr>
        <w:t xml:space="preserve">From the African region: </w:t>
      </w:r>
      <w:r w:rsidRPr="00B831E7">
        <w:t>Basel Convention Regional Centre for Training and Technology Transfer for the African Region</w:t>
      </w:r>
      <w:r w:rsidRPr="00B831E7" w:rsidDel="00564D57">
        <w:t xml:space="preserve"> </w:t>
      </w:r>
      <w:r w:rsidRPr="00B831E7">
        <w:t>located in Nigeria</w:t>
      </w:r>
      <w:r w:rsidRPr="00B831E7">
        <w:rPr>
          <w:color w:val="000000"/>
        </w:rPr>
        <w:t xml:space="preserve">, until the closure of the sixteenth meeting of the Conference of the </w:t>
      </w:r>
      <w:proofErr w:type="gramStart"/>
      <w:r w:rsidRPr="00B831E7">
        <w:rPr>
          <w:color w:val="000000"/>
        </w:rPr>
        <w:t>Parties;</w:t>
      </w:r>
      <w:proofErr w:type="gramEnd"/>
    </w:p>
    <w:p w14:paraId="59E990B6" w14:textId="77777777" w:rsidR="00A9304F" w:rsidRPr="00B831E7" w:rsidRDefault="00A9304F" w:rsidP="00A9304F">
      <w:pPr>
        <w:pStyle w:val="Normal-pool"/>
        <w:tabs>
          <w:tab w:val="clear" w:pos="1247"/>
          <w:tab w:val="clear" w:pos="1814"/>
          <w:tab w:val="clear" w:pos="2381"/>
          <w:tab w:val="clear" w:pos="2948"/>
          <w:tab w:val="clear" w:pos="3515"/>
          <w:tab w:val="clear" w:pos="4082"/>
        </w:tabs>
        <w:spacing w:after="120"/>
        <w:ind w:left="1247"/>
        <w:rPr>
          <w:color w:val="000000"/>
        </w:rPr>
      </w:pPr>
      <w:r w:rsidRPr="00B831E7">
        <w:rPr>
          <w:color w:val="000000"/>
        </w:rPr>
        <w:t>From the Asia-Pacific region: Basel Convention Regional Centre located in Iran (Islamic Republic of)</w:t>
      </w:r>
      <w:r w:rsidRPr="00B831E7" w:rsidDel="00564D57">
        <w:rPr>
          <w:color w:val="000000"/>
        </w:rPr>
        <w:t xml:space="preserve"> </w:t>
      </w:r>
      <w:r w:rsidRPr="00B831E7">
        <w:rPr>
          <w:color w:val="000000"/>
        </w:rPr>
        <w:t>Iran, until the closure of the seventeenth</w:t>
      </w:r>
      <w:r w:rsidRPr="00B831E7" w:rsidDel="00BA4D04">
        <w:rPr>
          <w:color w:val="000000"/>
        </w:rPr>
        <w:t xml:space="preserve"> </w:t>
      </w:r>
      <w:r w:rsidRPr="00B831E7">
        <w:rPr>
          <w:color w:val="000000"/>
        </w:rPr>
        <w:t xml:space="preserve">meeting of the Conference of the </w:t>
      </w:r>
      <w:proofErr w:type="gramStart"/>
      <w:r w:rsidRPr="00B831E7">
        <w:rPr>
          <w:color w:val="000000"/>
        </w:rPr>
        <w:t>Parties;</w:t>
      </w:r>
      <w:proofErr w:type="gramEnd"/>
    </w:p>
    <w:p w14:paraId="706170B4" w14:textId="77777777" w:rsidR="00A9304F" w:rsidRPr="00B831E7" w:rsidRDefault="00A9304F" w:rsidP="00A9304F">
      <w:pPr>
        <w:pStyle w:val="Normal-pool"/>
        <w:tabs>
          <w:tab w:val="clear" w:pos="1247"/>
          <w:tab w:val="clear" w:pos="1814"/>
          <w:tab w:val="clear" w:pos="2381"/>
          <w:tab w:val="clear" w:pos="2948"/>
          <w:tab w:val="clear" w:pos="3515"/>
          <w:tab w:val="clear" w:pos="4082"/>
        </w:tabs>
        <w:spacing w:after="120"/>
        <w:ind w:left="1247"/>
        <w:rPr>
          <w:color w:val="000000"/>
        </w:rPr>
      </w:pPr>
      <w:r w:rsidRPr="00B831E7">
        <w:rPr>
          <w:color w:val="000000"/>
        </w:rPr>
        <w:t xml:space="preserve">From the Eastern European region: Basel Convention Regional Centre located in Slovakia, until the closure of the sixteenth meeting of the Conference of the </w:t>
      </w:r>
      <w:proofErr w:type="gramStart"/>
      <w:r w:rsidRPr="00B831E7">
        <w:rPr>
          <w:color w:val="000000"/>
        </w:rPr>
        <w:t>Parties;</w:t>
      </w:r>
      <w:proofErr w:type="gramEnd"/>
    </w:p>
    <w:p w14:paraId="652D9A61" w14:textId="77777777" w:rsidR="00A9304F" w:rsidRPr="00B831E7" w:rsidRDefault="00A9304F" w:rsidP="00A9304F">
      <w:pPr>
        <w:pStyle w:val="Normal-pool"/>
        <w:tabs>
          <w:tab w:val="clear" w:pos="1247"/>
          <w:tab w:val="clear" w:pos="1814"/>
          <w:tab w:val="clear" w:pos="2381"/>
          <w:tab w:val="clear" w:pos="2948"/>
          <w:tab w:val="clear" w:pos="3515"/>
          <w:tab w:val="clear" w:pos="4082"/>
        </w:tabs>
        <w:spacing w:after="120"/>
        <w:ind w:left="1247"/>
        <w:rPr>
          <w:color w:val="000000"/>
        </w:rPr>
      </w:pPr>
      <w:r w:rsidRPr="00B831E7">
        <w:rPr>
          <w:color w:val="000000"/>
        </w:rPr>
        <w:t xml:space="preserve">From the Latin American and Caribbean region: Basel Convention Regional Centre located in Argentina, until the closure of the seventeenth meeting of the Conference of the </w:t>
      </w:r>
      <w:proofErr w:type="gramStart"/>
      <w:r w:rsidRPr="00B831E7">
        <w:rPr>
          <w:color w:val="000000"/>
        </w:rPr>
        <w:t>Parties;</w:t>
      </w:r>
      <w:proofErr w:type="gramEnd"/>
    </w:p>
    <w:p w14:paraId="21887825" w14:textId="77777777" w:rsidR="00A9304F" w:rsidRPr="00B831E7" w:rsidRDefault="00A9304F" w:rsidP="00A9304F">
      <w:pPr>
        <w:numPr>
          <w:ilvl w:val="0"/>
          <w:numId w:val="46"/>
        </w:numPr>
        <w:tabs>
          <w:tab w:val="left" w:pos="624"/>
          <w:tab w:val="left" w:pos="1247"/>
          <w:tab w:val="left" w:pos="1814"/>
          <w:tab w:val="left" w:pos="2381"/>
          <w:tab w:val="left" w:pos="2948"/>
          <w:tab w:val="left" w:pos="3515"/>
        </w:tabs>
        <w:spacing w:after="120"/>
        <w:ind w:left="1276" w:firstLine="567"/>
        <w:rPr>
          <w:rFonts w:eastAsia="Times New Roman"/>
          <w:color w:val="000000"/>
          <w:lang w:val="en-GB"/>
        </w:rPr>
      </w:pPr>
      <w:r w:rsidRPr="00B831E7">
        <w:rPr>
          <w:rFonts w:eastAsia="Times New Roman"/>
          <w:i/>
          <w:iCs/>
          <w:lang w:val="en-GB"/>
        </w:rPr>
        <w:t xml:space="preserve">Requests </w:t>
      </w:r>
      <w:r w:rsidRPr="00B831E7">
        <w:rPr>
          <w:rFonts w:eastAsia="Times New Roman"/>
          <w:lang w:val="en-GB"/>
        </w:rPr>
        <w:t xml:space="preserve">the Secretariat to report on </w:t>
      </w:r>
      <w:r w:rsidRPr="00B831E7">
        <w:rPr>
          <w:rFonts w:eastAsia="Times New Roman"/>
          <w:color w:val="000000"/>
          <w:lang w:val="en-GB"/>
        </w:rPr>
        <w:t>progress</w:t>
      </w:r>
      <w:r w:rsidRPr="00B831E7">
        <w:rPr>
          <w:rFonts w:eastAsia="Times New Roman"/>
          <w:lang w:val="en-GB"/>
        </w:rPr>
        <w:t xml:space="preserve"> in the implementation of the present decision to the Conference of the Parties at its sixteenth </w:t>
      </w:r>
      <w:proofErr w:type="gramStart"/>
      <w:r w:rsidRPr="00B831E7">
        <w:rPr>
          <w:rFonts w:eastAsia="Times New Roman"/>
          <w:lang w:val="en-GB"/>
        </w:rPr>
        <w:t>meeting;</w:t>
      </w:r>
      <w:proofErr w:type="gramEnd"/>
      <w:r w:rsidRPr="00B831E7">
        <w:rPr>
          <w:rFonts w:eastAsia="Times New Roman"/>
          <w:lang w:val="en-GB"/>
        </w:rPr>
        <w:t xml:space="preserve"> </w:t>
      </w:r>
    </w:p>
    <w:p w14:paraId="0B75F56B" w14:textId="77777777" w:rsidR="00A9304F" w:rsidRPr="00B831E7" w:rsidRDefault="00A9304F" w:rsidP="00A9304F">
      <w:pPr>
        <w:pStyle w:val="CH2"/>
        <w:ind w:left="2494"/>
        <w:jc w:val="center"/>
        <w:rPr>
          <w:b w:val="0"/>
        </w:rPr>
      </w:pPr>
      <w:bookmarkStart w:id="2" w:name="_Hlk106799833"/>
      <w:r w:rsidRPr="00B831E7">
        <w:t>III</w:t>
      </w:r>
    </w:p>
    <w:p w14:paraId="4754B268" w14:textId="77777777" w:rsidR="00A9304F" w:rsidRPr="00B831E7" w:rsidRDefault="00A9304F" w:rsidP="00A9304F">
      <w:pPr>
        <w:pStyle w:val="CH2"/>
        <w:spacing w:before="80"/>
        <w:ind w:firstLine="0"/>
        <w:jc w:val="center"/>
        <w:rPr>
          <w:bCs/>
        </w:rPr>
      </w:pPr>
      <w:bookmarkStart w:id="3" w:name="_Hlk106018363"/>
      <w:bookmarkStart w:id="4" w:name="_Hlk105951094"/>
      <w:r w:rsidRPr="00B831E7">
        <w:rPr>
          <w:bCs/>
        </w:rPr>
        <w:t>Household Waste Partnership</w:t>
      </w:r>
    </w:p>
    <w:bookmarkEnd w:id="3"/>
    <w:p w14:paraId="174D23E3" w14:textId="77777777" w:rsidR="00A9304F" w:rsidRPr="00B831E7" w:rsidRDefault="00A9304F" w:rsidP="00A9304F">
      <w:pPr>
        <w:numPr>
          <w:ilvl w:val="0"/>
          <w:numId w:val="46"/>
        </w:numPr>
        <w:tabs>
          <w:tab w:val="left" w:pos="624"/>
          <w:tab w:val="left" w:pos="1247"/>
          <w:tab w:val="left" w:pos="1814"/>
          <w:tab w:val="left" w:pos="2381"/>
          <w:tab w:val="left" w:pos="2948"/>
          <w:tab w:val="left" w:pos="3515"/>
        </w:tabs>
        <w:spacing w:after="120"/>
        <w:ind w:left="1276" w:firstLine="567"/>
        <w:rPr>
          <w:rFonts w:eastAsia="Times New Roman"/>
          <w:lang w:val="en-GB"/>
        </w:rPr>
      </w:pPr>
      <w:r w:rsidRPr="00B831E7">
        <w:rPr>
          <w:rFonts w:eastAsia="Times New Roman"/>
          <w:i/>
          <w:iCs/>
          <w:lang w:val="en-GB"/>
        </w:rPr>
        <w:t xml:space="preserve">Takes note </w:t>
      </w:r>
      <w:r w:rsidRPr="00B831E7">
        <w:rPr>
          <w:rFonts w:eastAsia="Times New Roman"/>
          <w:lang w:val="en-GB"/>
        </w:rPr>
        <w:t xml:space="preserve">of the draft overall guidance </w:t>
      </w:r>
      <w:r w:rsidRPr="00B831E7">
        <w:rPr>
          <w:rFonts w:eastAsia="Times New Roman"/>
          <w:color w:val="000000"/>
          <w:lang w:val="en-GB"/>
        </w:rPr>
        <w:t>document</w:t>
      </w:r>
      <w:r w:rsidRPr="00B831E7">
        <w:rPr>
          <w:rFonts w:eastAsia="Times New Roman"/>
          <w:lang w:val="en-GB"/>
        </w:rPr>
        <w:t xml:space="preserve"> on the environmentally sound management of household waste developed by the Household Waste Partnership working group;</w:t>
      </w:r>
      <w:r w:rsidRPr="00B831E7">
        <w:rPr>
          <w:rFonts w:eastAsia="Times New Roman"/>
          <w:vertAlign w:val="superscript"/>
          <w:lang w:val="en-GB"/>
        </w:rPr>
        <w:footnoteReference w:id="5"/>
      </w:r>
    </w:p>
    <w:p w14:paraId="056688B8" w14:textId="77777777" w:rsidR="00A9304F" w:rsidRPr="00B831E7" w:rsidRDefault="00A9304F" w:rsidP="00A9304F">
      <w:pPr>
        <w:numPr>
          <w:ilvl w:val="0"/>
          <w:numId w:val="46"/>
        </w:numPr>
        <w:tabs>
          <w:tab w:val="left" w:pos="624"/>
          <w:tab w:val="left" w:pos="1247"/>
          <w:tab w:val="left" w:pos="1814"/>
          <w:tab w:val="left" w:pos="2381"/>
          <w:tab w:val="left" w:pos="2948"/>
          <w:tab w:val="left" w:pos="3515"/>
        </w:tabs>
        <w:spacing w:after="120"/>
        <w:ind w:left="1276" w:firstLine="567"/>
        <w:rPr>
          <w:rFonts w:eastAsia="Times New Roman"/>
          <w:i/>
          <w:iCs/>
          <w:lang w:val="en-GB"/>
        </w:rPr>
      </w:pPr>
      <w:r w:rsidRPr="00B831E7">
        <w:rPr>
          <w:rFonts w:eastAsia="Times New Roman"/>
          <w:i/>
          <w:iCs/>
          <w:lang w:val="en-GB"/>
        </w:rPr>
        <w:t xml:space="preserve">Invites </w:t>
      </w:r>
      <w:r w:rsidRPr="00B831E7">
        <w:rPr>
          <w:rFonts w:eastAsia="Times New Roman"/>
          <w:lang w:val="en-GB"/>
        </w:rPr>
        <w:t xml:space="preserve">Parties and others to provide further comments on the draft overall guidance document referred to in </w:t>
      </w:r>
      <w:r w:rsidRPr="00B831E7">
        <w:rPr>
          <w:rFonts w:eastAsia="Times New Roman"/>
          <w:color w:val="000000"/>
          <w:lang w:val="en-GB"/>
        </w:rPr>
        <w:t>paragraph</w:t>
      </w:r>
      <w:r w:rsidRPr="00B831E7">
        <w:rPr>
          <w:rFonts w:eastAsia="Times New Roman"/>
          <w:lang w:val="en-GB"/>
        </w:rPr>
        <w:t xml:space="preserve"> 13 of the present decision to the Secretariat by 15 October </w:t>
      </w:r>
      <w:proofErr w:type="gramStart"/>
      <w:r w:rsidRPr="00B831E7">
        <w:rPr>
          <w:rFonts w:eastAsia="Times New Roman"/>
          <w:lang w:val="en-GB"/>
        </w:rPr>
        <w:t>2022;</w:t>
      </w:r>
      <w:proofErr w:type="gramEnd"/>
    </w:p>
    <w:p w14:paraId="4997B8BC" w14:textId="77777777" w:rsidR="00A9304F" w:rsidRPr="00B831E7" w:rsidRDefault="00A9304F" w:rsidP="00A9304F">
      <w:pPr>
        <w:numPr>
          <w:ilvl w:val="0"/>
          <w:numId w:val="46"/>
        </w:numPr>
        <w:tabs>
          <w:tab w:val="left" w:pos="624"/>
          <w:tab w:val="left" w:pos="1247"/>
          <w:tab w:val="left" w:pos="1814"/>
          <w:tab w:val="left" w:pos="2381"/>
          <w:tab w:val="left" w:pos="2948"/>
          <w:tab w:val="left" w:pos="3515"/>
        </w:tabs>
        <w:spacing w:after="120"/>
        <w:ind w:left="1276" w:firstLine="567"/>
        <w:rPr>
          <w:rFonts w:eastAsia="Times New Roman"/>
          <w:i/>
          <w:iCs/>
          <w:lang w:val="en-GB"/>
        </w:rPr>
      </w:pPr>
      <w:bookmarkStart w:id="6" w:name="_Hlk106800298"/>
      <w:bookmarkEnd w:id="2"/>
      <w:r w:rsidRPr="00B831E7">
        <w:rPr>
          <w:rFonts w:eastAsia="Times New Roman"/>
          <w:i/>
          <w:iCs/>
          <w:lang w:val="en-GB"/>
        </w:rPr>
        <w:t xml:space="preserve">Requests </w:t>
      </w:r>
      <w:r w:rsidRPr="00B831E7">
        <w:rPr>
          <w:rFonts w:eastAsia="Times New Roman"/>
          <w:lang w:val="en-GB"/>
        </w:rPr>
        <w:t xml:space="preserve">the working group to prepare, by 15 December 2022, a revised draft of the overall guidance document, taking </w:t>
      </w:r>
      <w:r w:rsidRPr="00B831E7">
        <w:rPr>
          <w:rFonts w:eastAsia="Times New Roman"/>
          <w:color w:val="000000"/>
          <w:lang w:val="en-GB"/>
        </w:rPr>
        <w:t>into</w:t>
      </w:r>
      <w:r w:rsidRPr="00B831E7">
        <w:rPr>
          <w:rFonts w:eastAsia="Times New Roman"/>
          <w:lang w:val="en-GB"/>
        </w:rPr>
        <w:t xml:space="preserve"> account (a) the comments received prior to the fifteenth meeting of the Conference of the Parties;</w:t>
      </w:r>
      <w:r w:rsidRPr="00B831E7">
        <w:rPr>
          <w:rFonts w:eastAsia="Times New Roman"/>
          <w:szCs w:val="18"/>
          <w:vertAlign w:val="superscript"/>
          <w:lang w:val="en-GB"/>
        </w:rPr>
        <w:footnoteReference w:id="6"/>
      </w:r>
      <w:r w:rsidRPr="00B831E7">
        <w:rPr>
          <w:rFonts w:eastAsia="Times New Roman"/>
          <w:lang w:val="en-GB"/>
        </w:rPr>
        <w:t xml:space="preserve"> (b) the discussions at the fifteenth meeting of the Conference of the Parties; (c) any additional comments received by 15 October 2022 pursuant to paragraph 14 of the present decision; and (d) the outcomes of pilot projects or testing of the draft overall guidance document undertaken by Parties, and taking into careful consideration existing guidance under the Convention, for consideration by the Conference of the Parties at its sixteenth meeting;</w:t>
      </w:r>
    </w:p>
    <w:p w14:paraId="5C96DF7C" w14:textId="77777777" w:rsidR="00A9304F" w:rsidRPr="00B831E7" w:rsidRDefault="00A9304F" w:rsidP="00A9304F">
      <w:pPr>
        <w:numPr>
          <w:ilvl w:val="0"/>
          <w:numId w:val="46"/>
        </w:numPr>
        <w:tabs>
          <w:tab w:val="left" w:pos="624"/>
          <w:tab w:val="left" w:pos="1247"/>
          <w:tab w:val="left" w:pos="1814"/>
          <w:tab w:val="left" w:pos="2381"/>
          <w:tab w:val="left" w:pos="2948"/>
          <w:tab w:val="left" w:pos="3515"/>
        </w:tabs>
        <w:spacing w:after="120"/>
        <w:ind w:left="1276" w:firstLine="567"/>
        <w:rPr>
          <w:rFonts w:eastAsia="Times New Roman"/>
          <w:lang w:val="en-GB"/>
        </w:rPr>
      </w:pPr>
      <w:r w:rsidRPr="00B831E7">
        <w:rPr>
          <w:rFonts w:eastAsia="Times New Roman"/>
          <w:i/>
          <w:iCs/>
          <w:lang w:val="en-GB"/>
        </w:rPr>
        <w:t>Invites</w:t>
      </w:r>
      <w:r w:rsidRPr="00B831E7">
        <w:rPr>
          <w:rFonts w:eastAsia="Times New Roman"/>
          <w:lang w:val="en-GB"/>
        </w:rPr>
        <w:t xml:space="preserve"> Parties and others </w:t>
      </w:r>
      <w:bookmarkStart w:id="7" w:name="_Hlk106800067"/>
      <w:r w:rsidRPr="00B831E7">
        <w:rPr>
          <w:rFonts w:eastAsia="Times New Roman"/>
          <w:lang w:val="en-GB"/>
        </w:rPr>
        <w:t xml:space="preserve">to provide comments on the revised draft of the overall guidance document prepared pursuant to paragraph 15 of the present decision to the Secretariat by 15 February </w:t>
      </w:r>
      <w:r w:rsidRPr="00B831E7">
        <w:rPr>
          <w:rFonts w:eastAsia="Times New Roman"/>
          <w:color w:val="000000"/>
          <w:lang w:val="en-GB"/>
        </w:rPr>
        <w:t>2023</w:t>
      </w:r>
      <w:r w:rsidRPr="00B831E7">
        <w:rPr>
          <w:rFonts w:eastAsia="Times New Roman"/>
          <w:lang w:val="en-GB"/>
        </w:rPr>
        <w:t xml:space="preserve">, and requests the Secretariat to publish the comments received on the Convention website and prepare a compilation of those comments for consideration by the Conference of the Parties at its sixteenth </w:t>
      </w:r>
      <w:proofErr w:type="gramStart"/>
      <w:r w:rsidRPr="00B831E7">
        <w:rPr>
          <w:rFonts w:eastAsia="Times New Roman"/>
          <w:lang w:val="en-GB"/>
        </w:rPr>
        <w:t>meeting;</w:t>
      </w:r>
      <w:proofErr w:type="gramEnd"/>
      <w:r w:rsidRPr="00B831E7">
        <w:rPr>
          <w:rFonts w:eastAsia="Times New Roman"/>
          <w:lang w:val="en-GB"/>
        </w:rPr>
        <w:t xml:space="preserve"> </w:t>
      </w:r>
    </w:p>
    <w:bookmarkEnd w:id="6"/>
    <w:bookmarkEnd w:id="7"/>
    <w:p w14:paraId="23087410" w14:textId="77777777" w:rsidR="00A9304F" w:rsidRPr="00B831E7" w:rsidRDefault="00A9304F" w:rsidP="00A9304F">
      <w:pPr>
        <w:numPr>
          <w:ilvl w:val="0"/>
          <w:numId w:val="46"/>
        </w:numPr>
        <w:tabs>
          <w:tab w:val="left" w:pos="624"/>
          <w:tab w:val="left" w:pos="1247"/>
          <w:tab w:val="left" w:pos="1814"/>
          <w:tab w:val="left" w:pos="2381"/>
          <w:tab w:val="left" w:pos="2948"/>
          <w:tab w:val="left" w:pos="3515"/>
        </w:tabs>
        <w:spacing w:after="120"/>
        <w:ind w:left="1276" w:firstLine="567"/>
        <w:rPr>
          <w:rFonts w:eastAsia="Times New Roman"/>
          <w:lang w:val="en-GB"/>
        </w:rPr>
      </w:pPr>
      <w:r w:rsidRPr="00B831E7">
        <w:rPr>
          <w:rFonts w:eastAsia="Times New Roman"/>
          <w:i/>
          <w:iCs/>
          <w:lang w:val="en-GB"/>
        </w:rPr>
        <w:lastRenderedPageBreak/>
        <w:t xml:space="preserve">Notes </w:t>
      </w:r>
      <w:r w:rsidRPr="00B831E7">
        <w:rPr>
          <w:rFonts w:eastAsia="Times New Roman"/>
          <w:lang w:val="en-GB"/>
        </w:rPr>
        <w:t xml:space="preserve">the progress made in the implementation of the workplan of the Household Waste Partnership for the </w:t>
      </w:r>
      <w:r w:rsidRPr="00B831E7">
        <w:rPr>
          <w:rFonts w:eastAsia="Times New Roman"/>
          <w:color w:val="000000"/>
          <w:lang w:val="en-GB"/>
        </w:rPr>
        <w:t>biennium</w:t>
      </w:r>
      <w:r w:rsidRPr="00B831E7">
        <w:rPr>
          <w:rFonts w:eastAsia="Times New Roman"/>
          <w:lang w:val="en-GB"/>
        </w:rPr>
        <w:t xml:space="preserve"> 2020–2021;</w:t>
      </w:r>
      <w:r w:rsidRPr="00B831E7">
        <w:rPr>
          <w:rFonts w:eastAsia="Times New Roman"/>
          <w:szCs w:val="18"/>
          <w:vertAlign w:val="superscript"/>
          <w:lang w:val="en-GB"/>
        </w:rPr>
        <w:footnoteReference w:id="7"/>
      </w:r>
    </w:p>
    <w:p w14:paraId="16593F64" w14:textId="77777777" w:rsidR="00A9304F" w:rsidRPr="00B831E7" w:rsidRDefault="00A9304F" w:rsidP="00A9304F">
      <w:pPr>
        <w:numPr>
          <w:ilvl w:val="0"/>
          <w:numId w:val="46"/>
        </w:numPr>
        <w:tabs>
          <w:tab w:val="left" w:pos="624"/>
          <w:tab w:val="left" w:pos="1247"/>
          <w:tab w:val="left" w:pos="1814"/>
          <w:tab w:val="left" w:pos="2381"/>
          <w:tab w:val="left" w:pos="2948"/>
          <w:tab w:val="left" w:pos="3515"/>
        </w:tabs>
        <w:spacing w:after="120"/>
        <w:ind w:left="1276" w:firstLine="567"/>
        <w:rPr>
          <w:rFonts w:eastAsia="Times New Roman"/>
          <w:color w:val="000000"/>
          <w:lang w:val="en-GB"/>
        </w:rPr>
      </w:pPr>
      <w:r w:rsidRPr="00B831E7">
        <w:rPr>
          <w:rFonts w:eastAsia="Times New Roman"/>
          <w:i/>
          <w:iCs/>
          <w:lang w:val="en-GB"/>
        </w:rPr>
        <w:t xml:space="preserve">Requests </w:t>
      </w:r>
      <w:r w:rsidRPr="00B831E7">
        <w:rPr>
          <w:rFonts w:eastAsia="Times New Roman"/>
          <w:lang w:val="en-GB"/>
        </w:rPr>
        <w:t xml:space="preserve">the working group to implement the following activities, </w:t>
      </w:r>
      <w:r w:rsidRPr="00B831E7">
        <w:rPr>
          <w:rFonts w:eastAsia="Times New Roman"/>
          <w:color w:val="000000"/>
          <w:lang w:val="en-GB"/>
        </w:rPr>
        <w:t>which</w:t>
      </w:r>
      <w:r w:rsidRPr="00B831E7">
        <w:rPr>
          <w:rFonts w:eastAsia="Times New Roman"/>
          <w:lang w:val="en-GB"/>
        </w:rPr>
        <w:t xml:space="preserve"> constitute the </w:t>
      </w:r>
      <w:r w:rsidRPr="00B831E7">
        <w:rPr>
          <w:rFonts w:eastAsia="Times New Roman"/>
          <w:color w:val="000000"/>
          <w:lang w:val="en-GB"/>
        </w:rPr>
        <w:t xml:space="preserve">workplan of the </w:t>
      </w:r>
      <w:r w:rsidRPr="008524D9">
        <w:rPr>
          <w:rFonts w:eastAsia="Times New Roman"/>
          <w:lang w:val="en-GB"/>
        </w:rPr>
        <w:t>Household</w:t>
      </w:r>
      <w:r w:rsidRPr="00B831E7">
        <w:rPr>
          <w:rFonts w:eastAsia="Times New Roman"/>
          <w:color w:val="000000"/>
          <w:lang w:val="en-GB"/>
        </w:rPr>
        <w:t xml:space="preserve"> Waste </w:t>
      </w:r>
      <w:r w:rsidRPr="00B831E7">
        <w:rPr>
          <w:rFonts w:eastAsia="Times New Roman"/>
          <w:lang w:val="en-GB"/>
        </w:rPr>
        <w:t>Partnership</w:t>
      </w:r>
      <w:r w:rsidRPr="00B831E7">
        <w:rPr>
          <w:rFonts w:eastAsia="Times New Roman"/>
          <w:color w:val="000000"/>
          <w:lang w:val="en-GB"/>
        </w:rPr>
        <w:t xml:space="preserve"> for the biennium 2022–2023: </w:t>
      </w:r>
    </w:p>
    <w:p w14:paraId="78E18DEE" w14:textId="77777777" w:rsidR="00A9304F" w:rsidRPr="00B831E7" w:rsidRDefault="00A9304F" w:rsidP="00A9304F">
      <w:pPr>
        <w:numPr>
          <w:ilvl w:val="1"/>
          <w:numId w:val="45"/>
        </w:numPr>
        <w:tabs>
          <w:tab w:val="num" w:pos="1134"/>
          <w:tab w:val="left" w:pos="1247"/>
          <w:tab w:val="left" w:pos="1814"/>
          <w:tab w:val="left" w:pos="2381"/>
          <w:tab w:val="left" w:pos="2948"/>
          <w:tab w:val="left" w:pos="3515"/>
        </w:tabs>
        <w:spacing w:after="120"/>
        <w:ind w:left="1247" w:firstLine="624"/>
        <w:rPr>
          <w:rFonts w:eastAsia="Times New Roman"/>
          <w:lang w:val="en-GB"/>
        </w:rPr>
      </w:pPr>
      <w:r w:rsidRPr="00B831E7">
        <w:rPr>
          <w:rFonts w:eastAsia="Times New Roman"/>
          <w:lang w:val="en-GB"/>
        </w:rPr>
        <w:t xml:space="preserve">Activities for awareness-raising and training relating to the environmentally sound management of household waste, coordination of outreach activities, and cooperation with other organizations working on household waste </w:t>
      </w:r>
      <w:proofErr w:type="gramStart"/>
      <w:r w:rsidRPr="00B831E7">
        <w:rPr>
          <w:rFonts w:eastAsia="Times New Roman"/>
          <w:lang w:val="en-GB"/>
        </w:rPr>
        <w:t>management;</w:t>
      </w:r>
      <w:proofErr w:type="gramEnd"/>
    </w:p>
    <w:p w14:paraId="000EE2EB" w14:textId="77777777" w:rsidR="00A9304F" w:rsidRPr="00B831E7" w:rsidRDefault="00A9304F" w:rsidP="00A9304F">
      <w:pPr>
        <w:numPr>
          <w:ilvl w:val="1"/>
          <w:numId w:val="45"/>
        </w:numPr>
        <w:tabs>
          <w:tab w:val="num" w:pos="1134"/>
          <w:tab w:val="left" w:pos="1247"/>
          <w:tab w:val="left" w:pos="1814"/>
          <w:tab w:val="left" w:pos="2381"/>
          <w:tab w:val="left" w:pos="2948"/>
          <w:tab w:val="left" w:pos="3515"/>
        </w:tabs>
        <w:spacing w:after="120"/>
        <w:ind w:left="1247" w:firstLine="624"/>
        <w:rPr>
          <w:rFonts w:eastAsia="Times New Roman"/>
          <w:lang w:val="en-GB"/>
        </w:rPr>
      </w:pPr>
      <w:r w:rsidRPr="00B831E7">
        <w:rPr>
          <w:rFonts w:eastAsia="Times New Roman"/>
          <w:lang w:val="en-GB"/>
        </w:rPr>
        <w:t xml:space="preserve">Further development of the draft overall guidance document on the environmentally sound management of household waste pursuant to paragraph 15 of the present </w:t>
      </w:r>
      <w:proofErr w:type="gramStart"/>
      <w:r w:rsidRPr="00B831E7">
        <w:rPr>
          <w:rFonts w:eastAsia="Times New Roman"/>
          <w:lang w:val="en-GB"/>
        </w:rPr>
        <w:t>decision;</w:t>
      </w:r>
      <w:proofErr w:type="gramEnd"/>
    </w:p>
    <w:p w14:paraId="562403CC" w14:textId="77777777" w:rsidR="00A9304F" w:rsidRPr="00B831E7" w:rsidRDefault="00A9304F" w:rsidP="00A9304F">
      <w:pPr>
        <w:numPr>
          <w:ilvl w:val="1"/>
          <w:numId w:val="45"/>
        </w:numPr>
        <w:tabs>
          <w:tab w:val="num" w:pos="1134"/>
          <w:tab w:val="left" w:pos="1247"/>
          <w:tab w:val="left" w:pos="1814"/>
          <w:tab w:val="left" w:pos="2381"/>
          <w:tab w:val="left" w:pos="2948"/>
          <w:tab w:val="left" w:pos="3515"/>
        </w:tabs>
        <w:spacing w:after="120"/>
        <w:ind w:left="1247" w:firstLine="624"/>
        <w:rPr>
          <w:rFonts w:eastAsia="Times New Roman"/>
          <w:iCs/>
          <w:color w:val="000000"/>
          <w:lang w:val="en-GB"/>
        </w:rPr>
      </w:pPr>
      <w:r w:rsidRPr="00B831E7">
        <w:rPr>
          <w:rFonts w:eastAsia="Times New Roman"/>
          <w:lang w:val="en-GB"/>
        </w:rPr>
        <w:t>Continued coordination of outreach activities and cooperation with other organizations working</w:t>
      </w:r>
      <w:r w:rsidRPr="00B831E7">
        <w:rPr>
          <w:rFonts w:eastAsia="Times New Roman"/>
          <w:iCs/>
          <w:color w:val="000000"/>
          <w:lang w:val="en-GB"/>
        </w:rPr>
        <w:t xml:space="preserve"> on household waste </w:t>
      </w:r>
      <w:r w:rsidRPr="00B831E7">
        <w:rPr>
          <w:rFonts w:eastAsia="Times New Roman"/>
          <w:lang w:val="en-GB"/>
        </w:rPr>
        <w:t>management</w:t>
      </w:r>
      <w:r w:rsidRPr="00B831E7">
        <w:rPr>
          <w:rFonts w:eastAsia="Times New Roman"/>
          <w:iCs/>
          <w:color w:val="000000"/>
          <w:lang w:val="en-GB"/>
        </w:rPr>
        <w:t xml:space="preserve">, including the Partnership on Plastic Waste, to prevent overlap between programmes and to share lessons </w:t>
      </w:r>
      <w:proofErr w:type="gramStart"/>
      <w:r w:rsidRPr="00B831E7">
        <w:rPr>
          <w:rFonts w:eastAsia="Times New Roman"/>
          <w:iCs/>
          <w:color w:val="000000"/>
          <w:lang w:val="en-GB"/>
        </w:rPr>
        <w:t>learned;</w:t>
      </w:r>
      <w:proofErr w:type="gramEnd"/>
    </w:p>
    <w:p w14:paraId="3EB28C51" w14:textId="77777777" w:rsidR="00A9304F" w:rsidRPr="00B831E7" w:rsidRDefault="00A9304F" w:rsidP="00A9304F">
      <w:pPr>
        <w:numPr>
          <w:ilvl w:val="0"/>
          <w:numId w:val="46"/>
        </w:numPr>
        <w:tabs>
          <w:tab w:val="left" w:pos="624"/>
          <w:tab w:val="left" w:pos="1247"/>
          <w:tab w:val="left" w:pos="1814"/>
          <w:tab w:val="left" w:pos="2381"/>
          <w:tab w:val="left" w:pos="2948"/>
          <w:tab w:val="left" w:pos="3515"/>
        </w:tabs>
        <w:spacing w:after="120"/>
        <w:ind w:left="1276" w:firstLine="567"/>
        <w:rPr>
          <w:rFonts w:eastAsia="Times New Roman"/>
          <w:lang w:val="en-GB"/>
        </w:rPr>
      </w:pPr>
      <w:r w:rsidRPr="00B831E7">
        <w:rPr>
          <w:rFonts w:eastAsia="Times New Roman"/>
          <w:i/>
          <w:iCs/>
          <w:color w:val="000000"/>
          <w:lang w:val="en-GB"/>
        </w:rPr>
        <w:t xml:space="preserve">Requests </w:t>
      </w:r>
      <w:r w:rsidRPr="00B831E7">
        <w:rPr>
          <w:rFonts w:eastAsia="Times New Roman"/>
          <w:color w:val="000000"/>
          <w:lang w:val="en-GB"/>
        </w:rPr>
        <w:t xml:space="preserve">the Secretariat to report </w:t>
      </w:r>
      <w:r w:rsidRPr="00B831E7">
        <w:rPr>
          <w:rFonts w:eastAsia="Times New Roman"/>
          <w:lang w:val="en-GB"/>
        </w:rPr>
        <w:t>on progress in the implementation of the present decision to the Open-ended Working Group at its thirteenth meeting and to the Conference of the Parties at its sixteenth meeting.</w:t>
      </w:r>
    </w:p>
    <w:bookmarkEnd w:id="4"/>
    <w:p w14:paraId="62BDD36B" w14:textId="77777777" w:rsidR="00A9304F" w:rsidRPr="00B831E7" w:rsidRDefault="00A9304F" w:rsidP="00A9304F">
      <w:pPr>
        <w:pStyle w:val="CH2"/>
        <w:ind w:left="2494"/>
        <w:jc w:val="center"/>
        <w:rPr>
          <w:b w:val="0"/>
          <w:bCs/>
        </w:rPr>
      </w:pPr>
      <w:r w:rsidRPr="00B831E7">
        <w:rPr>
          <w:bCs/>
        </w:rPr>
        <w:t>IV</w:t>
      </w:r>
    </w:p>
    <w:p w14:paraId="2764A177" w14:textId="77777777" w:rsidR="00A9304F" w:rsidRPr="00B831E7" w:rsidRDefault="00A9304F" w:rsidP="00A9304F">
      <w:pPr>
        <w:pStyle w:val="CH2"/>
        <w:spacing w:before="80"/>
        <w:ind w:firstLine="0"/>
        <w:jc w:val="center"/>
        <w:rPr>
          <w:bCs/>
        </w:rPr>
      </w:pPr>
      <w:r w:rsidRPr="00B831E7">
        <w:rPr>
          <w:bCs/>
        </w:rPr>
        <w:t xml:space="preserve">Plastic Waste Partnership </w:t>
      </w:r>
    </w:p>
    <w:p w14:paraId="5A9313CB" w14:textId="77777777" w:rsidR="00A9304F" w:rsidRPr="00B831E7" w:rsidRDefault="00A9304F" w:rsidP="00A9304F">
      <w:pPr>
        <w:numPr>
          <w:ilvl w:val="0"/>
          <w:numId w:val="46"/>
        </w:numPr>
        <w:tabs>
          <w:tab w:val="left" w:pos="624"/>
          <w:tab w:val="left" w:pos="1247"/>
          <w:tab w:val="left" w:pos="1814"/>
          <w:tab w:val="left" w:pos="2381"/>
          <w:tab w:val="left" w:pos="2948"/>
          <w:tab w:val="left" w:pos="3515"/>
        </w:tabs>
        <w:spacing w:after="120"/>
        <w:ind w:left="1276" w:firstLine="567"/>
        <w:rPr>
          <w:rFonts w:eastAsia="Times New Roman"/>
          <w:color w:val="000000"/>
          <w:lang w:val="en-GB"/>
        </w:rPr>
      </w:pPr>
      <w:r w:rsidRPr="00B831E7">
        <w:rPr>
          <w:rFonts w:eastAsia="Times New Roman"/>
          <w:i/>
          <w:iCs/>
          <w:color w:val="000000"/>
          <w:lang w:val="en-GB"/>
        </w:rPr>
        <w:t xml:space="preserve">Welcomes </w:t>
      </w:r>
      <w:r w:rsidRPr="00B831E7">
        <w:rPr>
          <w:rFonts w:eastAsia="Times New Roman"/>
          <w:color w:val="000000"/>
          <w:lang w:val="en-GB"/>
        </w:rPr>
        <w:t xml:space="preserve">resolution 5/14 adopted by the United Nations Environment Assembly of the United Nations Environment Programme at its fifth session entitled “End plastic pollution: towards an international legally </w:t>
      </w:r>
      <w:r w:rsidRPr="008524D9">
        <w:rPr>
          <w:rFonts w:eastAsia="Times New Roman"/>
          <w:lang w:val="en-GB"/>
        </w:rPr>
        <w:t>binding</w:t>
      </w:r>
      <w:r w:rsidRPr="00B831E7">
        <w:rPr>
          <w:rFonts w:eastAsia="Times New Roman"/>
          <w:color w:val="000000"/>
          <w:lang w:val="en-GB"/>
        </w:rPr>
        <w:t xml:space="preserve"> instrument</w:t>
      </w:r>
      <w:proofErr w:type="gramStart"/>
      <w:r w:rsidRPr="00B831E7">
        <w:rPr>
          <w:rFonts w:eastAsia="Times New Roman"/>
          <w:color w:val="000000"/>
          <w:lang w:val="en-GB"/>
        </w:rPr>
        <w:t>”;</w:t>
      </w:r>
      <w:proofErr w:type="gramEnd"/>
      <w:r w:rsidRPr="00B831E7">
        <w:rPr>
          <w:rFonts w:eastAsia="Times New Roman"/>
          <w:color w:val="000000"/>
          <w:lang w:val="en-GB"/>
        </w:rPr>
        <w:t xml:space="preserve"> </w:t>
      </w:r>
    </w:p>
    <w:p w14:paraId="576B2A1D" w14:textId="77777777" w:rsidR="00A9304F" w:rsidRPr="00B831E7" w:rsidRDefault="00A9304F" w:rsidP="00A9304F">
      <w:pPr>
        <w:numPr>
          <w:ilvl w:val="0"/>
          <w:numId w:val="46"/>
        </w:numPr>
        <w:tabs>
          <w:tab w:val="left" w:pos="624"/>
          <w:tab w:val="left" w:pos="1247"/>
          <w:tab w:val="left" w:pos="1814"/>
          <w:tab w:val="left" w:pos="2381"/>
          <w:tab w:val="left" w:pos="2948"/>
          <w:tab w:val="left" w:pos="3515"/>
        </w:tabs>
        <w:spacing w:after="120"/>
        <w:ind w:left="1276" w:firstLine="567"/>
        <w:rPr>
          <w:i/>
          <w:iCs/>
          <w:lang w:val="en-GB"/>
        </w:rPr>
      </w:pPr>
      <w:r w:rsidRPr="00B831E7">
        <w:rPr>
          <w:i/>
          <w:iCs/>
          <w:lang w:val="en-GB"/>
        </w:rPr>
        <w:t xml:space="preserve">Notes with appreciation </w:t>
      </w:r>
      <w:r w:rsidRPr="00B831E7">
        <w:rPr>
          <w:lang w:val="en-GB"/>
        </w:rPr>
        <w:t>the progress made in the implementation of the workplan for the working group of the Plastic Waste Partnership for the biennium 2020–2021;</w:t>
      </w:r>
      <w:r w:rsidRPr="00B831E7">
        <w:rPr>
          <w:vertAlign w:val="superscript"/>
          <w:lang w:val="en-GB"/>
        </w:rPr>
        <w:footnoteReference w:id="8"/>
      </w:r>
    </w:p>
    <w:p w14:paraId="453B6C6F" w14:textId="77777777" w:rsidR="00A9304F" w:rsidRPr="00B831E7" w:rsidRDefault="00A9304F" w:rsidP="00A9304F">
      <w:pPr>
        <w:numPr>
          <w:ilvl w:val="0"/>
          <w:numId w:val="46"/>
        </w:numPr>
        <w:tabs>
          <w:tab w:val="left" w:pos="624"/>
          <w:tab w:val="left" w:pos="1247"/>
          <w:tab w:val="left" w:pos="1814"/>
          <w:tab w:val="left" w:pos="2381"/>
          <w:tab w:val="left" w:pos="2948"/>
          <w:tab w:val="left" w:pos="3515"/>
        </w:tabs>
        <w:spacing w:after="120"/>
        <w:ind w:left="1276" w:firstLine="567"/>
        <w:rPr>
          <w:lang w:val="en-GB"/>
        </w:rPr>
      </w:pPr>
      <w:r w:rsidRPr="00B831E7">
        <w:rPr>
          <w:i/>
          <w:iCs/>
          <w:lang w:val="en-GB"/>
        </w:rPr>
        <w:t>Invites</w:t>
      </w:r>
      <w:r w:rsidRPr="00B831E7">
        <w:rPr>
          <w:lang w:val="en-GB"/>
        </w:rPr>
        <w:t xml:space="preserve"> Parties and others who have not yet nominated members to the working group and who wish to do so to inform the Secretariat of their </w:t>
      </w:r>
      <w:proofErr w:type="gramStart"/>
      <w:r w:rsidRPr="00B831E7">
        <w:rPr>
          <w:lang w:val="en-GB"/>
        </w:rPr>
        <w:t>nominations;</w:t>
      </w:r>
      <w:proofErr w:type="gramEnd"/>
    </w:p>
    <w:p w14:paraId="13BBA642" w14:textId="77777777" w:rsidR="00A9304F" w:rsidRPr="00B831E7" w:rsidRDefault="00A9304F" w:rsidP="00A9304F">
      <w:pPr>
        <w:numPr>
          <w:ilvl w:val="0"/>
          <w:numId w:val="46"/>
        </w:numPr>
        <w:tabs>
          <w:tab w:val="left" w:pos="624"/>
          <w:tab w:val="left" w:pos="1247"/>
          <w:tab w:val="left" w:pos="1814"/>
          <w:tab w:val="left" w:pos="2381"/>
          <w:tab w:val="left" w:pos="2948"/>
          <w:tab w:val="left" w:pos="3515"/>
        </w:tabs>
        <w:spacing w:after="120"/>
        <w:ind w:left="1276" w:firstLine="567"/>
        <w:rPr>
          <w:lang w:val="en-GB"/>
        </w:rPr>
      </w:pPr>
      <w:r w:rsidRPr="00B831E7">
        <w:rPr>
          <w:i/>
          <w:iCs/>
          <w:lang w:val="en-GB"/>
        </w:rPr>
        <w:t xml:space="preserve">Requests </w:t>
      </w:r>
      <w:r w:rsidRPr="00B831E7">
        <w:rPr>
          <w:lang w:val="en-GB"/>
        </w:rPr>
        <w:t>the working group</w:t>
      </w:r>
      <w:r w:rsidRPr="00B831E7">
        <w:rPr>
          <w:i/>
          <w:iCs/>
          <w:lang w:val="en-GB"/>
        </w:rPr>
        <w:t xml:space="preserve"> </w:t>
      </w:r>
      <w:r w:rsidRPr="00B831E7">
        <w:rPr>
          <w:lang w:val="en-GB"/>
        </w:rPr>
        <w:t>to continue to implement the workplan for the biennium 2020–2021</w:t>
      </w:r>
      <w:r w:rsidRPr="00B831E7">
        <w:rPr>
          <w:rStyle w:val="FootnoteReference"/>
          <w:lang w:val="en-GB"/>
        </w:rPr>
        <w:footnoteReference w:id="9"/>
      </w:r>
      <w:r w:rsidRPr="00B831E7">
        <w:rPr>
          <w:lang w:val="en-GB"/>
        </w:rPr>
        <w:t xml:space="preserve"> during the biennium 2022–</w:t>
      </w:r>
      <w:proofErr w:type="gramStart"/>
      <w:r w:rsidRPr="00B831E7">
        <w:rPr>
          <w:lang w:val="en-GB"/>
        </w:rPr>
        <w:t>2023</w:t>
      </w:r>
      <w:r w:rsidRPr="00B831E7">
        <w:rPr>
          <w:iCs/>
          <w:lang w:val="en-GB"/>
        </w:rPr>
        <w:t>;</w:t>
      </w:r>
      <w:proofErr w:type="gramEnd"/>
    </w:p>
    <w:p w14:paraId="20E5F3D7" w14:textId="77777777" w:rsidR="00A9304F" w:rsidRPr="00B831E7" w:rsidRDefault="00A9304F" w:rsidP="00A9304F">
      <w:pPr>
        <w:numPr>
          <w:ilvl w:val="0"/>
          <w:numId w:val="46"/>
        </w:numPr>
        <w:tabs>
          <w:tab w:val="left" w:pos="624"/>
          <w:tab w:val="left" w:pos="1247"/>
          <w:tab w:val="left" w:pos="1814"/>
          <w:tab w:val="left" w:pos="2381"/>
          <w:tab w:val="left" w:pos="2948"/>
          <w:tab w:val="left" w:pos="3515"/>
        </w:tabs>
        <w:spacing w:after="120"/>
        <w:ind w:left="1276" w:firstLine="567"/>
        <w:rPr>
          <w:lang w:val="en-GB"/>
        </w:rPr>
      </w:pPr>
      <w:r w:rsidRPr="00B831E7">
        <w:rPr>
          <w:i/>
          <w:iCs/>
          <w:lang w:val="en-GB"/>
        </w:rPr>
        <w:t xml:space="preserve">Requests </w:t>
      </w:r>
      <w:r w:rsidRPr="00B831E7">
        <w:rPr>
          <w:lang w:val="en-GB"/>
        </w:rPr>
        <w:t>the Secretariat to report on progress in the implementation of the present decision to the Open-ended Working Group at its thirteenth meeting and to the Conference of the Parties at its sixteenth meeting.</w:t>
      </w:r>
    </w:p>
    <w:p w14:paraId="1D7F4CB3" w14:textId="44E48CA9" w:rsidR="00F935A6" w:rsidRPr="00A9304F" w:rsidRDefault="00F935A6" w:rsidP="00A9304F">
      <w:pPr>
        <w:spacing w:after="120"/>
        <w:rPr>
          <w:lang w:val="en-GB"/>
        </w:rPr>
      </w:pPr>
    </w:p>
    <w:sectPr w:rsidR="00F935A6" w:rsidRPr="00A9304F" w:rsidSect="00CE7242">
      <w:pgSz w:w="12240" w:h="15840"/>
      <w:pgMar w:top="135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D296E9" w14:textId="77777777" w:rsidR="00872F4F" w:rsidRDefault="00872F4F" w:rsidP="004956AB">
      <w:r>
        <w:separator/>
      </w:r>
    </w:p>
  </w:endnote>
  <w:endnote w:type="continuationSeparator" w:id="0">
    <w:p w14:paraId="153DB38C" w14:textId="77777777" w:rsidR="00872F4F" w:rsidRDefault="00872F4F" w:rsidP="004956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3D8F5A" w14:textId="77777777" w:rsidR="00872F4F" w:rsidRDefault="00872F4F" w:rsidP="004956AB">
      <w:r>
        <w:separator/>
      </w:r>
    </w:p>
  </w:footnote>
  <w:footnote w:type="continuationSeparator" w:id="0">
    <w:p w14:paraId="29AF8655" w14:textId="77777777" w:rsidR="00872F4F" w:rsidRDefault="00872F4F" w:rsidP="004956AB">
      <w:r>
        <w:continuationSeparator/>
      </w:r>
    </w:p>
  </w:footnote>
  <w:footnote w:id="1">
    <w:p w14:paraId="0F17C3F6" w14:textId="77777777" w:rsidR="00A9304F" w:rsidRPr="000629DC" w:rsidRDefault="00A9304F" w:rsidP="00A9304F">
      <w:pPr>
        <w:pStyle w:val="Footnote-Text"/>
        <w:rPr>
          <w:szCs w:val="18"/>
        </w:rPr>
      </w:pPr>
      <w:r w:rsidRPr="000629DC">
        <w:rPr>
          <w:szCs w:val="18"/>
          <w:vertAlign w:val="superscript"/>
        </w:rPr>
        <w:footnoteRef/>
      </w:r>
      <w:r w:rsidRPr="000629DC">
        <w:rPr>
          <w:szCs w:val="18"/>
        </w:rPr>
        <w:t xml:space="preserve"> UNEP/CHW.15/INF/33.</w:t>
      </w:r>
    </w:p>
  </w:footnote>
  <w:footnote w:id="2">
    <w:p w14:paraId="1DC57DCD" w14:textId="77777777" w:rsidR="00A9304F" w:rsidRPr="000629DC" w:rsidRDefault="00A9304F" w:rsidP="00A9304F">
      <w:pPr>
        <w:pStyle w:val="Footnote-Text"/>
        <w:rPr>
          <w:szCs w:val="18"/>
        </w:rPr>
      </w:pPr>
      <w:r w:rsidRPr="000629DC">
        <w:rPr>
          <w:szCs w:val="18"/>
          <w:vertAlign w:val="superscript"/>
        </w:rPr>
        <w:footnoteRef/>
      </w:r>
      <w:r w:rsidRPr="000629DC">
        <w:rPr>
          <w:szCs w:val="18"/>
        </w:rPr>
        <w:t xml:space="preserve"> UNEP/CHW.15/INF/39/Add.1, annex I.</w:t>
      </w:r>
    </w:p>
  </w:footnote>
  <w:footnote w:id="3">
    <w:p w14:paraId="3C77D540" w14:textId="77777777" w:rsidR="00A9304F" w:rsidRPr="000629DC" w:rsidRDefault="00A9304F" w:rsidP="00A9304F">
      <w:pPr>
        <w:pStyle w:val="Footnote-Text"/>
        <w:rPr>
          <w:szCs w:val="18"/>
        </w:rPr>
      </w:pPr>
      <w:r w:rsidRPr="000629DC">
        <w:rPr>
          <w:szCs w:val="18"/>
          <w:vertAlign w:val="superscript"/>
        </w:rPr>
        <w:footnoteRef/>
      </w:r>
      <w:r w:rsidRPr="000629DC">
        <w:rPr>
          <w:szCs w:val="18"/>
        </w:rPr>
        <w:t xml:space="preserve"> UNEP/CHW.15/INF/39/Add.1, annex II.</w:t>
      </w:r>
    </w:p>
  </w:footnote>
  <w:footnote w:id="4">
    <w:p w14:paraId="5C3CBF6E" w14:textId="77777777" w:rsidR="00A9304F" w:rsidRPr="000629DC" w:rsidRDefault="00A9304F" w:rsidP="00A9304F">
      <w:pPr>
        <w:pStyle w:val="Footnote-Text"/>
        <w:rPr>
          <w:szCs w:val="18"/>
        </w:rPr>
      </w:pPr>
      <w:r w:rsidRPr="000629DC">
        <w:rPr>
          <w:szCs w:val="18"/>
          <w:vertAlign w:val="superscript"/>
        </w:rPr>
        <w:footnoteRef/>
      </w:r>
      <w:r w:rsidRPr="000629DC">
        <w:rPr>
          <w:szCs w:val="18"/>
        </w:rPr>
        <w:t xml:space="preserve"> UNEP/CHW.15/INF/34, annex.</w:t>
      </w:r>
    </w:p>
  </w:footnote>
  <w:footnote w:id="5">
    <w:p w14:paraId="2188CE3B" w14:textId="77777777" w:rsidR="00A9304F" w:rsidRPr="000629DC" w:rsidRDefault="00A9304F" w:rsidP="00A9304F">
      <w:pPr>
        <w:pStyle w:val="Footnote-Text"/>
        <w:rPr>
          <w:szCs w:val="18"/>
        </w:rPr>
      </w:pPr>
      <w:r w:rsidRPr="000629DC">
        <w:rPr>
          <w:szCs w:val="18"/>
          <w:vertAlign w:val="superscript"/>
        </w:rPr>
        <w:footnoteRef/>
      </w:r>
      <w:r w:rsidRPr="000629DC">
        <w:rPr>
          <w:szCs w:val="18"/>
        </w:rPr>
        <w:t xml:space="preserve"> </w:t>
      </w:r>
      <w:bookmarkStart w:id="5" w:name="_Hlk106799887"/>
      <w:r w:rsidRPr="000629DC">
        <w:rPr>
          <w:szCs w:val="18"/>
        </w:rPr>
        <w:t>UNEP/CHW.15/18/Rev.1/Add.1.</w:t>
      </w:r>
      <w:bookmarkEnd w:id="5"/>
    </w:p>
  </w:footnote>
  <w:footnote w:id="6">
    <w:p w14:paraId="185C7D29" w14:textId="77777777" w:rsidR="00A9304F" w:rsidRPr="000629DC" w:rsidRDefault="00A9304F" w:rsidP="00A9304F">
      <w:pPr>
        <w:pStyle w:val="Footnote-Text"/>
        <w:rPr>
          <w:szCs w:val="18"/>
        </w:rPr>
      </w:pPr>
      <w:r w:rsidRPr="000629DC">
        <w:rPr>
          <w:szCs w:val="18"/>
          <w:vertAlign w:val="superscript"/>
        </w:rPr>
        <w:footnoteRef/>
      </w:r>
      <w:r w:rsidRPr="000629DC">
        <w:rPr>
          <w:szCs w:val="18"/>
        </w:rPr>
        <w:t xml:space="preserve"> </w:t>
      </w:r>
      <w:hyperlink r:id="rId1" w:history="1">
        <w:r w:rsidRPr="000629DC">
          <w:rPr>
            <w:rStyle w:val="Hyperlink"/>
            <w:szCs w:val="18"/>
          </w:rPr>
          <w:t>http://www.basel.int/Implementation/HouseholdWastePartnership/OverallGuidanceDocument/</w:t>
        </w:r>
        <w:r w:rsidRPr="000629DC">
          <w:rPr>
            <w:rStyle w:val="Hyperlink"/>
            <w:szCs w:val="18"/>
          </w:rPr>
          <w:br/>
          <w:t>tabid/8227/Default.aspx</w:t>
        </w:r>
      </w:hyperlink>
      <w:r w:rsidRPr="000629DC">
        <w:rPr>
          <w:szCs w:val="18"/>
        </w:rPr>
        <w:t xml:space="preserve">. </w:t>
      </w:r>
    </w:p>
  </w:footnote>
  <w:footnote w:id="7">
    <w:p w14:paraId="2F3A4B90" w14:textId="77777777" w:rsidR="00A9304F" w:rsidRPr="000629DC" w:rsidRDefault="00A9304F" w:rsidP="00A9304F">
      <w:pPr>
        <w:pStyle w:val="Footnote-Text"/>
        <w:rPr>
          <w:szCs w:val="18"/>
        </w:rPr>
      </w:pPr>
      <w:r w:rsidRPr="000629DC">
        <w:rPr>
          <w:szCs w:val="18"/>
          <w:vertAlign w:val="superscript"/>
        </w:rPr>
        <w:footnoteRef/>
      </w:r>
      <w:r w:rsidRPr="000629DC">
        <w:rPr>
          <w:szCs w:val="18"/>
        </w:rPr>
        <w:t xml:space="preserve"> Decision BC-14/19, annex.</w:t>
      </w:r>
    </w:p>
  </w:footnote>
  <w:footnote w:id="8">
    <w:p w14:paraId="6A719998" w14:textId="77777777" w:rsidR="00A9304F" w:rsidRPr="000629DC" w:rsidRDefault="00A9304F" w:rsidP="00A9304F">
      <w:pPr>
        <w:pStyle w:val="Footnote-Text"/>
        <w:rPr>
          <w:szCs w:val="18"/>
        </w:rPr>
      </w:pPr>
      <w:r w:rsidRPr="000629DC">
        <w:rPr>
          <w:szCs w:val="18"/>
          <w:vertAlign w:val="superscript"/>
        </w:rPr>
        <w:footnoteRef/>
      </w:r>
      <w:r w:rsidRPr="000629DC">
        <w:rPr>
          <w:rStyle w:val="Strong"/>
          <w:szCs w:val="18"/>
        </w:rPr>
        <w:t xml:space="preserve"> </w:t>
      </w:r>
      <w:r w:rsidRPr="000629DC">
        <w:rPr>
          <w:szCs w:val="18"/>
        </w:rPr>
        <w:t>UNEP/CHW.14/INF/16/Rev.1, annex II.</w:t>
      </w:r>
    </w:p>
  </w:footnote>
  <w:footnote w:id="9">
    <w:p w14:paraId="231E4499" w14:textId="77777777" w:rsidR="00A9304F" w:rsidRPr="000629DC" w:rsidRDefault="00A9304F" w:rsidP="00A9304F">
      <w:pPr>
        <w:pStyle w:val="Footnote-Text"/>
        <w:rPr>
          <w:szCs w:val="18"/>
        </w:rPr>
      </w:pPr>
      <w:r w:rsidRPr="000629DC">
        <w:rPr>
          <w:rStyle w:val="FootnoteReference"/>
        </w:rPr>
        <w:footnoteRef/>
      </w:r>
      <w:r w:rsidRPr="000629DC">
        <w:rPr>
          <w:szCs w:val="18"/>
        </w:rPr>
        <w:t xml:space="preserve"> Decision BC-14/19, annex.</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439AC"/>
    <w:multiLevelType w:val="hybridMultilevel"/>
    <w:tmpl w:val="923203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7376AC5"/>
    <w:multiLevelType w:val="hybridMultilevel"/>
    <w:tmpl w:val="8B7A28D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FE1524D"/>
    <w:multiLevelType w:val="hybridMultilevel"/>
    <w:tmpl w:val="1D12BB0E"/>
    <w:lvl w:ilvl="0" w:tplc="0B82E394">
      <w:start w:val="1"/>
      <w:numFmt w:val="lowerLetter"/>
      <w:lvlText w:val="(%1)"/>
      <w:lvlJc w:val="left"/>
      <w:pPr>
        <w:ind w:left="2591" w:hanging="360"/>
      </w:pPr>
      <w:rPr>
        <w:rFonts w:hint="default"/>
      </w:r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3" w15:restartNumberingAfterBreak="0">
    <w:nsid w:val="14B758D2"/>
    <w:multiLevelType w:val="hybridMultilevel"/>
    <w:tmpl w:val="96E2F374"/>
    <w:lvl w:ilvl="0" w:tplc="0B82E394">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5465D89"/>
    <w:multiLevelType w:val="hybridMultilevel"/>
    <w:tmpl w:val="F6664B38"/>
    <w:lvl w:ilvl="0" w:tplc="0809000F">
      <w:start w:val="1"/>
      <w:numFmt w:val="decimal"/>
      <w:lvlText w:val="%1."/>
      <w:lvlJc w:val="left"/>
      <w:pPr>
        <w:ind w:left="2591" w:hanging="360"/>
      </w:p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103C385C">
      <w:start w:val="1"/>
      <w:numFmt w:val="decimal"/>
      <w:lvlText w:val="%7."/>
      <w:lvlJc w:val="left"/>
      <w:pPr>
        <w:ind w:left="6911" w:hanging="360"/>
      </w:pPr>
      <w:rPr>
        <w:i w:val="0"/>
        <w:iCs w:val="0"/>
      </w:r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5" w15:restartNumberingAfterBreak="0">
    <w:nsid w:val="1D4E70C1"/>
    <w:multiLevelType w:val="hybridMultilevel"/>
    <w:tmpl w:val="C088BDF8"/>
    <w:lvl w:ilvl="0" w:tplc="1EA4ECA8">
      <w:start w:val="1"/>
      <w:numFmt w:val="lowerRoman"/>
      <w:lvlText w:val="(%1)"/>
      <w:lvlJc w:val="left"/>
      <w:pPr>
        <w:ind w:left="3215" w:hanging="360"/>
      </w:pPr>
      <w:rPr>
        <w:rFonts w:hint="default"/>
      </w:rPr>
    </w:lvl>
    <w:lvl w:ilvl="1" w:tplc="08090019" w:tentative="1">
      <w:start w:val="1"/>
      <w:numFmt w:val="lowerLetter"/>
      <w:lvlText w:val="%2."/>
      <w:lvlJc w:val="left"/>
      <w:pPr>
        <w:ind w:left="3935" w:hanging="360"/>
      </w:p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6" w15:restartNumberingAfterBreak="0">
    <w:nsid w:val="1D6D191A"/>
    <w:multiLevelType w:val="hybridMultilevel"/>
    <w:tmpl w:val="B252704A"/>
    <w:lvl w:ilvl="0" w:tplc="2F426988">
      <w:start w:val="1"/>
      <w:numFmt w:val="lowerLetter"/>
      <w:lvlText w:val="(%1)"/>
      <w:lvlJc w:val="left"/>
      <w:pPr>
        <w:ind w:left="720" w:hanging="360"/>
      </w:pPr>
      <w:rPr>
        <w:rFonts w:hint="default"/>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06B7153"/>
    <w:multiLevelType w:val="hybridMultilevel"/>
    <w:tmpl w:val="787C92EC"/>
    <w:lvl w:ilvl="0" w:tplc="BA6C3C0C">
      <w:start w:val="1"/>
      <w:numFmt w:val="lowerRoman"/>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217B2371"/>
    <w:multiLevelType w:val="hybridMultilevel"/>
    <w:tmpl w:val="CA12B68A"/>
    <w:lvl w:ilvl="0" w:tplc="FFFFFFFF">
      <w:start w:val="1"/>
      <w:numFmt w:val="lowerLetter"/>
      <w:lvlText w:val="(%1)"/>
      <w:lvlJc w:val="left"/>
      <w:pPr>
        <w:ind w:left="2591" w:hanging="360"/>
      </w:pPr>
      <w:rPr>
        <w:rFonts w:hint="default"/>
      </w:rPr>
    </w:lvl>
    <w:lvl w:ilvl="1" w:tplc="0B82E394">
      <w:start w:val="1"/>
      <w:numFmt w:val="lowerLetter"/>
      <w:lvlText w:val="(%2)"/>
      <w:lvlJc w:val="left"/>
      <w:pPr>
        <w:ind w:left="3311" w:hanging="360"/>
      </w:pPr>
      <w:rPr>
        <w:rFonts w:hint="default"/>
      </w:rPr>
    </w:lvl>
    <w:lvl w:ilvl="2" w:tplc="FFFFFFFF" w:tentative="1">
      <w:start w:val="1"/>
      <w:numFmt w:val="lowerRoman"/>
      <w:lvlText w:val="%3."/>
      <w:lvlJc w:val="right"/>
      <w:pPr>
        <w:ind w:left="4031" w:hanging="180"/>
      </w:pPr>
    </w:lvl>
    <w:lvl w:ilvl="3" w:tplc="FFFFFFFF" w:tentative="1">
      <w:start w:val="1"/>
      <w:numFmt w:val="decimal"/>
      <w:lvlText w:val="%4."/>
      <w:lvlJc w:val="left"/>
      <w:pPr>
        <w:ind w:left="4751" w:hanging="360"/>
      </w:pPr>
    </w:lvl>
    <w:lvl w:ilvl="4" w:tplc="FFFFFFFF" w:tentative="1">
      <w:start w:val="1"/>
      <w:numFmt w:val="lowerLetter"/>
      <w:lvlText w:val="%5."/>
      <w:lvlJc w:val="left"/>
      <w:pPr>
        <w:ind w:left="5471" w:hanging="360"/>
      </w:pPr>
    </w:lvl>
    <w:lvl w:ilvl="5" w:tplc="FFFFFFFF" w:tentative="1">
      <w:start w:val="1"/>
      <w:numFmt w:val="lowerRoman"/>
      <w:lvlText w:val="%6."/>
      <w:lvlJc w:val="right"/>
      <w:pPr>
        <w:ind w:left="6191" w:hanging="180"/>
      </w:pPr>
    </w:lvl>
    <w:lvl w:ilvl="6" w:tplc="FFFFFFFF" w:tentative="1">
      <w:start w:val="1"/>
      <w:numFmt w:val="decimal"/>
      <w:lvlText w:val="%7."/>
      <w:lvlJc w:val="left"/>
      <w:pPr>
        <w:ind w:left="6911" w:hanging="360"/>
      </w:pPr>
    </w:lvl>
    <w:lvl w:ilvl="7" w:tplc="FFFFFFFF" w:tentative="1">
      <w:start w:val="1"/>
      <w:numFmt w:val="lowerLetter"/>
      <w:lvlText w:val="%8."/>
      <w:lvlJc w:val="left"/>
      <w:pPr>
        <w:ind w:left="7631" w:hanging="360"/>
      </w:pPr>
    </w:lvl>
    <w:lvl w:ilvl="8" w:tplc="FFFFFFFF" w:tentative="1">
      <w:start w:val="1"/>
      <w:numFmt w:val="lowerRoman"/>
      <w:lvlText w:val="%9."/>
      <w:lvlJc w:val="right"/>
      <w:pPr>
        <w:ind w:left="8351" w:hanging="180"/>
      </w:pPr>
    </w:lvl>
  </w:abstractNum>
  <w:abstractNum w:abstractNumId="9" w15:restartNumberingAfterBreak="0">
    <w:nsid w:val="22BF3B93"/>
    <w:multiLevelType w:val="hybridMultilevel"/>
    <w:tmpl w:val="5FA48FC4"/>
    <w:lvl w:ilvl="0" w:tplc="FFFFFFFF">
      <w:start w:val="1"/>
      <w:numFmt w:val="decimal"/>
      <w:lvlText w:val="%1."/>
      <w:lvlJc w:val="left"/>
      <w:pPr>
        <w:ind w:left="3215" w:hanging="360"/>
      </w:pPr>
      <w:rPr>
        <w:i w:val="0"/>
        <w:iCs w:val="0"/>
      </w:rPr>
    </w:lvl>
    <w:lvl w:ilvl="1" w:tplc="0B82E394">
      <w:start w:val="1"/>
      <w:numFmt w:val="lowerLetter"/>
      <w:lvlText w:val="(%2)"/>
      <w:lvlJc w:val="left"/>
      <w:pPr>
        <w:ind w:left="3935" w:hanging="360"/>
      </w:pPr>
      <w:rPr>
        <w:rFonts w:hint="default"/>
      </w:rPr>
    </w:lvl>
    <w:lvl w:ilvl="2" w:tplc="FFFFFFFF" w:tentative="1">
      <w:start w:val="1"/>
      <w:numFmt w:val="lowerRoman"/>
      <w:lvlText w:val="%3."/>
      <w:lvlJc w:val="right"/>
      <w:pPr>
        <w:ind w:left="4655" w:hanging="180"/>
      </w:pPr>
    </w:lvl>
    <w:lvl w:ilvl="3" w:tplc="FFFFFFFF" w:tentative="1">
      <w:start w:val="1"/>
      <w:numFmt w:val="decimal"/>
      <w:lvlText w:val="%4."/>
      <w:lvlJc w:val="left"/>
      <w:pPr>
        <w:ind w:left="5375" w:hanging="360"/>
      </w:pPr>
    </w:lvl>
    <w:lvl w:ilvl="4" w:tplc="FFFFFFFF" w:tentative="1">
      <w:start w:val="1"/>
      <w:numFmt w:val="lowerLetter"/>
      <w:lvlText w:val="%5."/>
      <w:lvlJc w:val="left"/>
      <w:pPr>
        <w:ind w:left="6095" w:hanging="360"/>
      </w:pPr>
    </w:lvl>
    <w:lvl w:ilvl="5" w:tplc="FFFFFFFF" w:tentative="1">
      <w:start w:val="1"/>
      <w:numFmt w:val="lowerRoman"/>
      <w:lvlText w:val="%6."/>
      <w:lvlJc w:val="right"/>
      <w:pPr>
        <w:ind w:left="6815" w:hanging="180"/>
      </w:pPr>
    </w:lvl>
    <w:lvl w:ilvl="6" w:tplc="FFFFFFFF" w:tentative="1">
      <w:start w:val="1"/>
      <w:numFmt w:val="decimal"/>
      <w:lvlText w:val="%7."/>
      <w:lvlJc w:val="left"/>
      <w:pPr>
        <w:ind w:left="7535" w:hanging="360"/>
      </w:pPr>
    </w:lvl>
    <w:lvl w:ilvl="7" w:tplc="FFFFFFFF" w:tentative="1">
      <w:start w:val="1"/>
      <w:numFmt w:val="lowerLetter"/>
      <w:lvlText w:val="%8."/>
      <w:lvlJc w:val="left"/>
      <w:pPr>
        <w:ind w:left="8255" w:hanging="360"/>
      </w:pPr>
    </w:lvl>
    <w:lvl w:ilvl="8" w:tplc="FFFFFFFF" w:tentative="1">
      <w:start w:val="1"/>
      <w:numFmt w:val="lowerRoman"/>
      <w:lvlText w:val="%9."/>
      <w:lvlJc w:val="right"/>
      <w:pPr>
        <w:ind w:left="8975" w:hanging="180"/>
      </w:pPr>
    </w:lvl>
  </w:abstractNum>
  <w:abstractNum w:abstractNumId="10" w15:restartNumberingAfterBreak="0">
    <w:nsid w:val="23C62AE9"/>
    <w:multiLevelType w:val="hybridMultilevel"/>
    <w:tmpl w:val="741AAEAC"/>
    <w:lvl w:ilvl="0" w:tplc="F8B4A356">
      <w:start w:val="1"/>
      <w:numFmt w:val="decimal"/>
      <w:lvlText w:val="%1."/>
      <w:lvlJc w:val="left"/>
      <w:pPr>
        <w:ind w:left="3215" w:hanging="360"/>
      </w:pPr>
      <w:rPr>
        <w:i w:val="0"/>
        <w:iCs w:val="0"/>
      </w:rPr>
    </w:lvl>
    <w:lvl w:ilvl="1" w:tplc="B776CA36">
      <w:start w:val="1"/>
      <w:numFmt w:val="lowerLetter"/>
      <w:lvlText w:val="(%2)"/>
      <w:lvlJc w:val="left"/>
      <w:pPr>
        <w:ind w:left="3935" w:hanging="360"/>
      </w:pPr>
      <w:rPr>
        <w:rFonts w:hint="default"/>
      </w:r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11" w15:restartNumberingAfterBreak="0">
    <w:nsid w:val="244E7AAA"/>
    <w:multiLevelType w:val="hybridMultilevel"/>
    <w:tmpl w:val="5C28D2F4"/>
    <w:lvl w:ilvl="0" w:tplc="E2D22C1A">
      <w:start w:val="4"/>
      <w:numFmt w:val="decimal"/>
      <w:lvlText w:val="%1."/>
      <w:lvlJc w:val="left"/>
      <w:pPr>
        <w:ind w:left="7535" w:hanging="360"/>
      </w:pPr>
      <w:rPr>
        <w:rFonts w:hint="default"/>
        <w:i w:val="0"/>
        <w:iCs w: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2" w15:restartNumberingAfterBreak="0">
    <w:nsid w:val="28806E7D"/>
    <w:multiLevelType w:val="hybridMultilevel"/>
    <w:tmpl w:val="3ED8429A"/>
    <w:lvl w:ilvl="0" w:tplc="9EAA5EB0">
      <w:start w:val="1"/>
      <w:numFmt w:val="decimal"/>
      <w:lvlText w:val="%1."/>
      <w:lvlJc w:val="left"/>
      <w:pPr>
        <w:ind w:left="3215" w:hanging="360"/>
      </w:pPr>
      <w:rPr>
        <w:i w:val="0"/>
        <w:iCs w:val="0"/>
      </w:rPr>
    </w:lvl>
    <w:lvl w:ilvl="1" w:tplc="08090019" w:tentative="1">
      <w:start w:val="1"/>
      <w:numFmt w:val="lowerLetter"/>
      <w:lvlText w:val="%2."/>
      <w:lvlJc w:val="left"/>
      <w:pPr>
        <w:ind w:left="3935" w:hanging="360"/>
      </w:p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13" w15:restartNumberingAfterBreak="0">
    <w:nsid w:val="28CD04B2"/>
    <w:multiLevelType w:val="hybridMultilevel"/>
    <w:tmpl w:val="8EBC2FDC"/>
    <w:lvl w:ilvl="0" w:tplc="FFFFFFFF">
      <w:start w:val="1"/>
      <w:numFmt w:val="lowerLetter"/>
      <w:lvlText w:val="(%1)"/>
      <w:lvlJc w:val="left"/>
      <w:pPr>
        <w:ind w:left="2591" w:hanging="360"/>
      </w:pPr>
      <w:rPr>
        <w:rFonts w:hint="default"/>
      </w:rPr>
    </w:lvl>
    <w:lvl w:ilvl="1" w:tplc="0B82E394">
      <w:start w:val="1"/>
      <w:numFmt w:val="lowerLetter"/>
      <w:lvlText w:val="(%2)"/>
      <w:lvlJc w:val="left"/>
      <w:pPr>
        <w:ind w:left="3311" w:hanging="360"/>
      </w:pPr>
      <w:rPr>
        <w:rFonts w:hint="default"/>
      </w:rPr>
    </w:lvl>
    <w:lvl w:ilvl="2" w:tplc="FFFFFFFF" w:tentative="1">
      <w:start w:val="1"/>
      <w:numFmt w:val="lowerRoman"/>
      <w:lvlText w:val="%3."/>
      <w:lvlJc w:val="right"/>
      <w:pPr>
        <w:ind w:left="4031" w:hanging="180"/>
      </w:pPr>
    </w:lvl>
    <w:lvl w:ilvl="3" w:tplc="FFFFFFFF" w:tentative="1">
      <w:start w:val="1"/>
      <w:numFmt w:val="decimal"/>
      <w:lvlText w:val="%4."/>
      <w:lvlJc w:val="left"/>
      <w:pPr>
        <w:ind w:left="4751" w:hanging="360"/>
      </w:pPr>
    </w:lvl>
    <w:lvl w:ilvl="4" w:tplc="FFFFFFFF" w:tentative="1">
      <w:start w:val="1"/>
      <w:numFmt w:val="lowerLetter"/>
      <w:lvlText w:val="%5."/>
      <w:lvlJc w:val="left"/>
      <w:pPr>
        <w:ind w:left="5471" w:hanging="360"/>
      </w:pPr>
    </w:lvl>
    <w:lvl w:ilvl="5" w:tplc="FFFFFFFF" w:tentative="1">
      <w:start w:val="1"/>
      <w:numFmt w:val="lowerRoman"/>
      <w:lvlText w:val="%6."/>
      <w:lvlJc w:val="right"/>
      <w:pPr>
        <w:ind w:left="6191" w:hanging="180"/>
      </w:pPr>
    </w:lvl>
    <w:lvl w:ilvl="6" w:tplc="FFFFFFFF" w:tentative="1">
      <w:start w:val="1"/>
      <w:numFmt w:val="decimal"/>
      <w:lvlText w:val="%7."/>
      <w:lvlJc w:val="left"/>
      <w:pPr>
        <w:ind w:left="6911" w:hanging="360"/>
      </w:pPr>
    </w:lvl>
    <w:lvl w:ilvl="7" w:tplc="FFFFFFFF" w:tentative="1">
      <w:start w:val="1"/>
      <w:numFmt w:val="lowerLetter"/>
      <w:lvlText w:val="%8."/>
      <w:lvlJc w:val="left"/>
      <w:pPr>
        <w:ind w:left="7631" w:hanging="360"/>
      </w:pPr>
    </w:lvl>
    <w:lvl w:ilvl="8" w:tplc="FFFFFFFF" w:tentative="1">
      <w:start w:val="1"/>
      <w:numFmt w:val="lowerRoman"/>
      <w:lvlText w:val="%9."/>
      <w:lvlJc w:val="right"/>
      <w:pPr>
        <w:ind w:left="8351" w:hanging="180"/>
      </w:pPr>
    </w:lvl>
  </w:abstractNum>
  <w:abstractNum w:abstractNumId="14" w15:restartNumberingAfterBreak="0">
    <w:nsid w:val="2AD6048D"/>
    <w:multiLevelType w:val="hybridMultilevel"/>
    <w:tmpl w:val="39EEDF64"/>
    <w:lvl w:ilvl="0" w:tplc="8C229E08">
      <w:start w:val="1"/>
      <w:numFmt w:val="decimal"/>
      <w:lvlText w:val="%1."/>
      <w:lvlJc w:val="left"/>
      <w:pPr>
        <w:ind w:left="720" w:hanging="360"/>
      </w:pPr>
      <w:rPr>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7672EEF"/>
    <w:multiLevelType w:val="hybridMultilevel"/>
    <w:tmpl w:val="CBAC362C"/>
    <w:lvl w:ilvl="0" w:tplc="FFFFFFFF">
      <w:start w:val="1"/>
      <w:numFmt w:val="decimal"/>
      <w:lvlText w:val="%1."/>
      <w:lvlJc w:val="left"/>
      <w:pPr>
        <w:ind w:left="1967" w:hanging="360"/>
      </w:pPr>
      <w:rPr>
        <w:rFonts w:hint="default"/>
        <w:i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7A615AF"/>
    <w:multiLevelType w:val="hybridMultilevel"/>
    <w:tmpl w:val="0E7281F6"/>
    <w:lvl w:ilvl="0" w:tplc="0B82E394">
      <w:start w:val="1"/>
      <w:numFmt w:val="lowerLetter"/>
      <w:lvlText w:val="(%1)"/>
      <w:lvlJc w:val="left"/>
      <w:pPr>
        <w:ind w:left="2591" w:hanging="360"/>
      </w:pPr>
      <w:rPr>
        <w:rFonts w:hint="default"/>
      </w:rPr>
    </w:lvl>
    <w:lvl w:ilvl="1" w:tplc="0B82E394">
      <w:start w:val="1"/>
      <w:numFmt w:val="lowerLetter"/>
      <w:lvlText w:val="(%2)"/>
      <w:lvlJc w:val="left"/>
      <w:pPr>
        <w:ind w:left="3311" w:hanging="360"/>
      </w:pPr>
      <w:rPr>
        <w:rFonts w:hint="default"/>
      </w:r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17" w15:restartNumberingAfterBreak="0">
    <w:nsid w:val="3ACB3B27"/>
    <w:multiLevelType w:val="hybridMultilevel"/>
    <w:tmpl w:val="25F47B44"/>
    <w:lvl w:ilvl="0" w:tplc="B776CA3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D5C456B"/>
    <w:multiLevelType w:val="hybridMultilevel"/>
    <w:tmpl w:val="DC7C39DE"/>
    <w:lvl w:ilvl="0" w:tplc="DBF84888">
      <w:start w:val="1"/>
      <w:numFmt w:val="bullet"/>
      <w:lvlText w:val="-"/>
      <w:lvlJc w:val="left"/>
      <w:pPr>
        <w:ind w:left="720" w:hanging="360"/>
      </w:pPr>
      <w:rPr>
        <w:rFonts w:ascii="Courier New" w:hAnsi="Courier New"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E3C42C8"/>
    <w:multiLevelType w:val="hybridMultilevel"/>
    <w:tmpl w:val="8298A94C"/>
    <w:lvl w:ilvl="0" w:tplc="78083696">
      <w:start w:val="1"/>
      <w:numFmt w:val="lowerLetter"/>
      <w:lvlText w:val="(%1)"/>
      <w:lvlJc w:val="left"/>
      <w:pPr>
        <w:ind w:left="3215" w:hanging="360"/>
      </w:pPr>
      <w:rPr>
        <w:rFonts w:hint="default"/>
      </w:rPr>
    </w:lvl>
    <w:lvl w:ilvl="1" w:tplc="08090019" w:tentative="1">
      <w:start w:val="1"/>
      <w:numFmt w:val="lowerLetter"/>
      <w:lvlText w:val="%2."/>
      <w:lvlJc w:val="left"/>
      <w:pPr>
        <w:ind w:left="3935" w:hanging="360"/>
      </w:p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20" w15:restartNumberingAfterBreak="0">
    <w:nsid w:val="3E753DBC"/>
    <w:multiLevelType w:val="hybridMultilevel"/>
    <w:tmpl w:val="07709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0B640F8"/>
    <w:multiLevelType w:val="hybridMultilevel"/>
    <w:tmpl w:val="585EA654"/>
    <w:lvl w:ilvl="0" w:tplc="FFFFFFFF">
      <w:start w:val="1"/>
      <w:numFmt w:val="lowerLetter"/>
      <w:lvlText w:val="(%1)"/>
      <w:lvlJc w:val="left"/>
      <w:pPr>
        <w:ind w:left="2591" w:hanging="360"/>
      </w:pPr>
      <w:rPr>
        <w:rFonts w:hint="default"/>
      </w:rPr>
    </w:lvl>
    <w:lvl w:ilvl="1" w:tplc="0B82E394">
      <w:start w:val="1"/>
      <w:numFmt w:val="lowerLetter"/>
      <w:lvlText w:val="(%2)"/>
      <w:lvlJc w:val="left"/>
      <w:pPr>
        <w:ind w:left="3311" w:hanging="360"/>
      </w:pPr>
      <w:rPr>
        <w:rFonts w:hint="default"/>
      </w:rPr>
    </w:lvl>
    <w:lvl w:ilvl="2" w:tplc="FFFFFFFF" w:tentative="1">
      <w:start w:val="1"/>
      <w:numFmt w:val="lowerRoman"/>
      <w:lvlText w:val="%3."/>
      <w:lvlJc w:val="right"/>
      <w:pPr>
        <w:ind w:left="4031" w:hanging="180"/>
      </w:pPr>
    </w:lvl>
    <w:lvl w:ilvl="3" w:tplc="FFFFFFFF" w:tentative="1">
      <w:start w:val="1"/>
      <w:numFmt w:val="decimal"/>
      <w:lvlText w:val="%4."/>
      <w:lvlJc w:val="left"/>
      <w:pPr>
        <w:ind w:left="4751" w:hanging="360"/>
      </w:pPr>
    </w:lvl>
    <w:lvl w:ilvl="4" w:tplc="FFFFFFFF" w:tentative="1">
      <w:start w:val="1"/>
      <w:numFmt w:val="lowerLetter"/>
      <w:lvlText w:val="%5."/>
      <w:lvlJc w:val="left"/>
      <w:pPr>
        <w:ind w:left="5471" w:hanging="360"/>
      </w:pPr>
    </w:lvl>
    <w:lvl w:ilvl="5" w:tplc="FFFFFFFF" w:tentative="1">
      <w:start w:val="1"/>
      <w:numFmt w:val="lowerRoman"/>
      <w:lvlText w:val="%6."/>
      <w:lvlJc w:val="right"/>
      <w:pPr>
        <w:ind w:left="6191" w:hanging="180"/>
      </w:pPr>
    </w:lvl>
    <w:lvl w:ilvl="6" w:tplc="FFFFFFFF" w:tentative="1">
      <w:start w:val="1"/>
      <w:numFmt w:val="decimal"/>
      <w:lvlText w:val="%7."/>
      <w:lvlJc w:val="left"/>
      <w:pPr>
        <w:ind w:left="6911" w:hanging="360"/>
      </w:pPr>
    </w:lvl>
    <w:lvl w:ilvl="7" w:tplc="FFFFFFFF" w:tentative="1">
      <w:start w:val="1"/>
      <w:numFmt w:val="lowerLetter"/>
      <w:lvlText w:val="%8."/>
      <w:lvlJc w:val="left"/>
      <w:pPr>
        <w:ind w:left="7631" w:hanging="360"/>
      </w:pPr>
    </w:lvl>
    <w:lvl w:ilvl="8" w:tplc="FFFFFFFF" w:tentative="1">
      <w:start w:val="1"/>
      <w:numFmt w:val="lowerRoman"/>
      <w:lvlText w:val="%9."/>
      <w:lvlJc w:val="right"/>
      <w:pPr>
        <w:ind w:left="8351" w:hanging="180"/>
      </w:pPr>
    </w:lvl>
  </w:abstractNum>
  <w:abstractNum w:abstractNumId="22" w15:restartNumberingAfterBreak="0">
    <w:nsid w:val="4990626E"/>
    <w:multiLevelType w:val="hybridMultilevel"/>
    <w:tmpl w:val="6720BBC2"/>
    <w:lvl w:ilvl="0" w:tplc="0809000F">
      <w:start w:val="1"/>
      <w:numFmt w:val="decimal"/>
      <w:lvlText w:val="%1."/>
      <w:lvlJc w:val="left"/>
      <w:pPr>
        <w:ind w:left="3215" w:hanging="360"/>
      </w:pPr>
    </w:lvl>
    <w:lvl w:ilvl="1" w:tplc="08090019" w:tentative="1">
      <w:start w:val="1"/>
      <w:numFmt w:val="lowerLetter"/>
      <w:lvlText w:val="%2."/>
      <w:lvlJc w:val="left"/>
      <w:pPr>
        <w:ind w:left="3935" w:hanging="360"/>
      </w:p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C80AE52E">
      <w:start w:val="1"/>
      <w:numFmt w:val="decimal"/>
      <w:lvlText w:val="%7."/>
      <w:lvlJc w:val="left"/>
      <w:pPr>
        <w:ind w:left="7535" w:hanging="360"/>
      </w:pPr>
      <w:rPr>
        <w:rFonts w:hint="default"/>
        <w:i w:val="0"/>
        <w:iCs w:val="0"/>
      </w:r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23" w15:restartNumberingAfterBreak="0">
    <w:nsid w:val="4E182B7C"/>
    <w:multiLevelType w:val="hybridMultilevel"/>
    <w:tmpl w:val="EDBAABF4"/>
    <w:lvl w:ilvl="0" w:tplc="DBF84888">
      <w:start w:val="1"/>
      <w:numFmt w:val="bullet"/>
      <w:lvlText w:val="-"/>
      <w:lvlJc w:val="left"/>
      <w:pPr>
        <w:ind w:left="720" w:hanging="360"/>
      </w:pPr>
      <w:rPr>
        <w:rFonts w:ascii="Courier New" w:hAnsi="Courier New"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F832B43"/>
    <w:multiLevelType w:val="hybridMultilevel"/>
    <w:tmpl w:val="B2B0ADA0"/>
    <w:lvl w:ilvl="0" w:tplc="0B82E394">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52A66A9D"/>
    <w:multiLevelType w:val="multilevel"/>
    <w:tmpl w:val="1F46421A"/>
    <w:styleLink w:val="Normallist"/>
    <w:lvl w:ilvl="0">
      <w:start w:val="1"/>
      <w:numFmt w:val="decimal"/>
      <w:pStyle w:val="Normalnumber"/>
      <w:lvlText w:val="%1."/>
      <w:lvlJc w:val="left"/>
      <w:pPr>
        <w:tabs>
          <w:tab w:val="num" w:pos="568"/>
        </w:tabs>
        <w:ind w:left="1248" w:firstLine="0"/>
      </w:pPr>
      <w:rPr>
        <w:rFonts w:hint="default"/>
      </w:rPr>
    </w:lvl>
    <w:lvl w:ilvl="1">
      <w:start w:val="1"/>
      <w:numFmt w:val="lowerLetter"/>
      <w:lvlText w:val="(%2)"/>
      <w:lvlJc w:val="left"/>
      <w:pPr>
        <w:tabs>
          <w:tab w:val="num" w:pos="568"/>
        </w:tabs>
        <w:ind w:left="1248" w:firstLine="567"/>
      </w:pPr>
      <w:rPr>
        <w:rFonts w:hint="default"/>
      </w:rPr>
    </w:lvl>
    <w:lvl w:ilvl="2">
      <w:start w:val="1"/>
      <w:numFmt w:val="lowerRoman"/>
      <w:lvlText w:val="(%3)"/>
      <w:lvlJc w:val="left"/>
      <w:pPr>
        <w:tabs>
          <w:tab w:val="num" w:pos="568"/>
        </w:tabs>
        <w:ind w:left="2949" w:hanging="567"/>
      </w:pPr>
      <w:rPr>
        <w:rFonts w:hint="default"/>
      </w:rPr>
    </w:lvl>
    <w:lvl w:ilvl="3">
      <w:start w:val="1"/>
      <w:numFmt w:val="lowerLetter"/>
      <w:lvlText w:val="%4."/>
      <w:lvlJc w:val="left"/>
      <w:pPr>
        <w:tabs>
          <w:tab w:val="num" w:pos="568"/>
        </w:tabs>
        <w:ind w:left="3516" w:hanging="567"/>
      </w:pPr>
      <w:rPr>
        <w:rFonts w:hint="default"/>
      </w:rPr>
    </w:lvl>
    <w:lvl w:ilvl="4">
      <w:start w:val="1"/>
      <w:numFmt w:val="lowerRoman"/>
      <w:lvlText w:val="%5."/>
      <w:lvlJc w:val="left"/>
      <w:pPr>
        <w:tabs>
          <w:tab w:val="num" w:pos="568"/>
        </w:tabs>
        <w:ind w:left="4083" w:hanging="567"/>
      </w:pPr>
      <w:rPr>
        <w:rFonts w:hint="default"/>
      </w:rPr>
    </w:lvl>
    <w:lvl w:ilvl="5">
      <w:start w:val="1"/>
      <w:numFmt w:val="lowerRoman"/>
      <w:lvlText w:val="%6."/>
      <w:lvlJc w:val="right"/>
      <w:pPr>
        <w:tabs>
          <w:tab w:val="num" w:pos="7836"/>
        </w:tabs>
        <w:ind w:left="7836" w:hanging="180"/>
      </w:pPr>
      <w:rPr>
        <w:rFonts w:hint="default"/>
      </w:rPr>
    </w:lvl>
    <w:lvl w:ilvl="6">
      <w:start w:val="1"/>
      <w:numFmt w:val="decimal"/>
      <w:lvlText w:val="%7."/>
      <w:lvlJc w:val="left"/>
      <w:pPr>
        <w:tabs>
          <w:tab w:val="num" w:pos="8556"/>
        </w:tabs>
        <w:ind w:left="8556" w:hanging="360"/>
      </w:pPr>
      <w:rPr>
        <w:rFonts w:hint="default"/>
      </w:rPr>
    </w:lvl>
    <w:lvl w:ilvl="7">
      <w:start w:val="1"/>
      <w:numFmt w:val="lowerLetter"/>
      <w:lvlText w:val="%8."/>
      <w:lvlJc w:val="left"/>
      <w:pPr>
        <w:tabs>
          <w:tab w:val="num" w:pos="9276"/>
        </w:tabs>
        <w:ind w:left="9276" w:hanging="360"/>
      </w:pPr>
      <w:rPr>
        <w:rFonts w:hint="default"/>
      </w:rPr>
    </w:lvl>
    <w:lvl w:ilvl="8">
      <w:start w:val="1"/>
      <w:numFmt w:val="lowerRoman"/>
      <w:lvlText w:val="%9."/>
      <w:lvlJc w:val="right"/>
      <w:pPr>
        <w:tabs>
          <w:tab w:val="num" w:pos="9996"/>
        </w:tabs>
        <w:ind w:left="9996" w:hanging="180"/>
      </w:pPr>
      <w:rPr>
        <w:rFonts w:hint="default"/>
      </w:rPr>
    </w:lvl>
  </w:abstractNum>
  <w:abstractNum w:abstractNumId="26" w15:restartNumberingAfterBreak="0">
    <w:nsid w:val="53DE2173"/>
    <w:multiLevelType w:val="hybridMultilevel"/>
    <w:tmpl w:val="4806A2C4"/>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7" w15:restartNumberingAfterBreak="0">
    <w:nsid w:val="54FA404E"/>
    <w:multiLevelType w:val="hybridMultilevel"/>
    <w:tmpl w:val="6C66F0D0"/>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84D4F49"/>
    <w:multiLevelType w:val="hybridMultilevel"/>
    <w:tmpl w:val="433A984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CE75C50"/>
    <w:multiLevelType w:val="hybridMultilevel"/>
    <w:tmpl w:val="433A984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5D705B50"/>
    <w:multiLevelType w:val="hybridMultilevel"/>
    <w:tmpl w:val="8522EF1A"/>
    <w:lvl w:ilvl="0" w:tplc="78083696">
      <w:start w:val="1"/>
      <w:numFmt w:val="lowerLetter"/>
      <w:lvlText w:val="(%1)"/>
      <w:lvlJc w:val="left"/>
      <w:pPr>
        <w:ind w:left="3215" w:hanging="360"/>
      </w:pPr>
      <w:rPr>
        <w:rFonts w:hint="default"/>
      </w:rPr>
    </w:lvl>
    <w:lvl w:ilvl="1" w:tplc="78083696">
      <w:start w:val="1"/>
      <w:numFmt w:val="lowerLetter"/>
      <w:lvlText w:val="(%2)"/>
      <w:lvlJc w:val="left"/>
      <w:pPr>
        <w:ind w:left="3935" w:hanging="360"/>
      </w:pPr>
      <w:rPr>
        <w:rFonts w:hint="default"/>
      </w:r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31" w15:restartNumberingAfterBreak="0">
    <w:nsid w:val="64107D20"/>
    <w:multiLevelType w:val="hybridMultilevel"/>
    <w:tmpl w:val="3A94C4F2"/>
    <w:lvl w:ilvl="0" w:tplc="0809000F">
      <w:start w:val="1"/>
      <w:numFmt w:val="decimal"/>
      <w:lvlText w:val="%1."/>
      <w:lvlJc w:val="left"/>
      <w:pPr>
        <w:ind w:left="1346" w:hanging="360"/>
      </w:pPr>
    </w:lvl>
    <w:lvl w:ilvl="1" w:tplc="0598EA8E">
      <w:start w:val="1"/>
      <w:numFmt w:val="lowerLetter"/>
      <w:lvlText w:val="(%2)"/>
      <w:lvlJc w:val="left"/>
      <w:pPr>
        <w:ind w:left="2336" w:hanging="630"/>
      </w:pPr>
      <w:rPr>
        <w:rFonts w:hint="default"/>
      </w:rPr>
    </w:lvl>
    <w:lvl w:ilvl="2" w:tplc="0809001B" w:tentative="1">
      <w:start w:val="1"/>
      <w:numFmt w:val="lowerRoman"/>
      <w:lvlText w:val="%3."/>
      <w:lvlJc w:val="right"/>
      <w:pPr>
        <w:ind w:left="2786" w:hanging="180"/>
      </w:pPr>
    </w:lvl>
    <w:lvl w:ilvl="3" w:tplc="0809000F" w:tentative="1">
      <w:start w:val="1"/>
      <w:numFmt w:val="decimal"/>
      <w:lvlText w:val="%4."/>
      <w:lvlJc w:val="left"/>
      <w:pPr>
        <w:ind w:left="3506" w:hanging="360"/>
      </w:pPr>
    </w:lvl>
    <w:lvl w:ilvl="4" w:tplc="08090019" w:tentative="1">
      <w:start w:val="1"/>
      <w:numFmt w:val="lowerLetter"/>
      <w:lvlText w:val="%5."/>
      <w:lvlJc w:val="left"/>
      <w:pPr>
        <w:ind w:left="4226" w:hanging="360"/>
      </w:pPr>
    </w:lvl>
    <w:lvl w:ilvl="5" w:tplc="0809001B" w:tentative="1">
      <w:start w:val="1"/>
      <w:numFmt w:val="lowerRoman"/>
      <w:lvlText w:val="%6."/>
      <w:lvlJc w:val="right"/>
      <w:pPr>
        <w:ind w:left="4946" w:hanging="180"/>
      </w:pPr>
    </w:lvl>
    <w:lvl w:ilvl="6" w:tplc="0809000F">
      <w:start w:val="1"/>
      <w:numFmt w:val="decimal"/>
      <w:lvlText w:val="%7."/>
      <w:lvlJc w:val="left"/>
      <w:pPr>
        <w:ind w:left="5666" w:hanging="360"/>
      </w:pPr>
    </w:lvl>
    <w:lvl w:ilvl="7" w:tplc="08090019" w:tentative="1">
      <w:start w:val="1"/>
      <w:numFmt w:val="lowerLetter"/>
      <w:lvlText w:val="%8."/>
      <w:lvlJc w:val="left"/>
      <w:pPr>
        <w:ind w:left="6386" w:hanging="360"/>
      </w:pPr>
    </w:lvl>
    <w:lvl w:ilvl="8" w:tplc="0809001B" w:tentative="1">
      <w:start w:val="1"/>
      <w:numFmt w:val="lowerRoman"/>
      <w:lvlText w:val="%9."/>
      <w:lvlJc w:val="right"/>
      <w:pPr>
        <w:ind w:left="7106" w:hanging="180"/>
      </w:pPr>
    </w:lvl>
  </w:abstractNum>
  <w:abstractNum w:abstractNumId="32" w15:restartNumberingAfterBreak="0">
    <w:nsid w:val="66B46048"/>
    <w:multiLevelType w:val="hybridMultilevel"/>
    <w:tmpl w:val="AE9C15A4"/>
    <w:lvl w:ilvl="0" w:tplc="80084320">
      <w:start w:val="1"/>
      <w:numFmt w:val="lowerLetter"/>
      <w:lvlText w:val="(%1)"/>
      <w:lvlJc w:val="left"/>
      <w:pPr>
        <w:ind w:left="774" w:hanging="360"/>
      </w:pPr>
      <w:rPr>
        <w:rFonts w:hint="default"/>
      </w:rPr>
    </w:lvl>
    <w:lvl w:ilvl="1" w:tplc="08090019" w:tentative="1">
      <w:start w:val="1"/>
      <w:numFmt w:val="lowerLetter"/>
      <w:lvlText w:val="%2."/>
      <w:lvlJc w:val="left"/>
      <w:pPr>
        <w:ind w:left="1494" w:hanging="360"/>
      </w:pPr>
    </w:lvl>
    <w:lvl w:ilvl="2" w:tplc="0809001B" w:tentative="1">
      <w:start w:val="1"/>
      <w:numFmt w:val="lowerRoman"/>
      <w:lvlText w:val="%3."/>
      <w:lvlJc w:val="right"/>
      <w:pPr>
        <w:ind w:left="2214" w:hanging="180"/>
      </w:pPr>
    </w:lvl>
    <w:lvl w:ilvl="3" w:tplc="0809000F" w:tentative="1">
      <w:start w:val="1"/>
      <w:numFmt w:val="decimal"/>
      <w:lvlText w:val="%4."/>
      <w:lvlJc w:val="left"/>
      <w:pPr>
        <w:ind w:left="2934" w:hanging="360"/>
      </w:pPr>
    </w:lvl>
    <w:lvl w:ilvl="4" w:tplc="08090019" w:tentative="1">
      <w:start w:val="1"/>
      <w:numFmt w:val="lowerLetter"/>
      <w:lvlText w:val="%5."/>
      <w:lvlJc w:val="left"/>
      <w:pPr>
        <w:ind w:left="3654" w:hanging="360"/>
      </w:pPr>
    </w:lvl>
    <w:lvl w:ilvl="5" w:tplc="0809001B" w:tentative="1">
      <w:start w:val="1"/>
      <w:numFmt w:val="lowerRoman"/>
      <w:lvlText w:val="%6."/>
      <w:lvlJc w:val="right"/>
      <w:pPr>
        <w:ind w:left="4374" w:hanging="180"/>
      </w:pPr>
    </w:lvl>
    <w:lvl w:ilvl="6" w:tplc="0809000F" w:tentative="1">
      <w:start w:val="1"/>
      <w:numFmt w:val="decimal"/>
      <w:lvlText w:val="%7."/>
      <w:lvlJc w:val="left"/>
      <w:pPr>
        <w:ind w:left="5094" w:hanging="360"/>
      </w:pPr>
    </w:lvl>
    <w:lvl w:ilvl="7" w:tplc="08090019" w:tentative="1">
      <w:start w:val="1"/>
      <w:numFmt w:val="lowerLetter"/>
      <w:lvlText w:val="%8."/>
      <w:lvlJc w:val="left"/>
      <w:pPr>
        <w:ind w:left="5814" w:hanging="360"/>
      </w:pPr>
    </w:lvl>
    <w:lvl w:ilvl="8" w:tplc="0809001B" w:tentative="1">
      <w:start w:val="1"/>
      <w:numFmt w:val="lowerRoman"/>
      <w:lvlText w:val="%9."/>
      <w:lvlJc w:val="right"/>
      <w:pPr>
        <w:ind w:left="6534" w:hanging="180"/>
      </w:pPr>
    </w:lvl>
  </w:abstractNum>
  <w:abstractNum w:abstractNumId="33" w15:restartNumberingAfterBreak="0">
    <w:nsid w:val="66C85822"/>
    <w:multiLevelType w:val="hybridMultilevel"/>
    <w:tmpl w:val="C160231E"/>
    <w:lvl w:ilvl="0" w:tplc="FFFFFFFF">
      <w:start w:val="1"/>
      <w:numFmt w:val="lowerLetter"/>
      <w:lvlText w:val="(%1)"/>
      <w:lvlJc w:val="left"/>
      <w:pPr>
        <w:ind w:left="2591" w:hanging="360"/>
      </w:pPr>
      <w:rPr>
        <w:rFonts w:hint="default"/>
      </w:rPr>
    </w:lvl>
    <w:lvl w:ilvl="1" w:tplc="0B82E394">
      <w:start w:val="1"/>
      <w:numFmt w:val="lowerLetter"/>
      <w:lvlText w:val="(%2)"/>
      <w:lvlJc w:val="left"/>
      <w:pPr>
        <w:ind w:left="3311" w:hanging="360"/>
      </w:pPr>
      <w:rPr>
        <w:rFonts w:hint="default"/>
      </w:rPr>
    </w:lvl>
    <w:lvl w:ilvl="2" w:tplc="FFFFFFFF" w:tentative="1">
      <w:start w:val="1"/>
      <w:numFmt w:val="lowerRoman"/>
      <w:lvlText w:val="%3."/>
      <w:lvlJc w:val="right"/>
      <w:pPr>
        <w:ind w:left="4031" w:hanging="180"/>
      </w:pPr>
    </w:lvl>
    <w:lvl w:ilvl="3" w:tplc="FFFFFFFF" w:tentative="1">
      <w:start w:val="1"/>
      <w:numFmt w:val="decimal"/>
      <w:lvlText w:val="%4."/>
      <w:lvlJc w:val="left"/>
      <w:pPr>
        <w:ind w:left="4751" w:hanging="360"/>
      </w:pPr>
    </w:lvl>
    <w:lvl w:ilvl="4" w:tplc="FFFFFFFF" w:tentative="1">
      <w:start w:val="1"/>
      <w:numFmt w:val="lowerLetter"/>
      <w:lvlText w:val="%5."/>
      <w:lvlJc w:val="left"/>
      <w:pPr>
        <w:ind w:left="5471" w:hanging="360"/>
      </w:pPr>
    </w:lvl>
    <w:lvl w:ilvl="5" w:tplc="FFFFFFFF" w:tentative="1">
      <w:start w:val="1"/>
      <w:numFmt w:val="lowerRoman"/>
      <w:lvlText w:val="%6."/>
      <w:lvlJc w:val="right"/>
      <w:pPr>
        <w:ind w:left="6191" w:hanging="180"/>
      </w:pPr>
    </w:lvl>
    <w:lvl w:ilvl="6" w:tplc="FFFFFFFF" w:tentative="1">
      <w:start w:val="1"/>
      <w:numFmt w:val="decimal"/>
      <w:lvlText w:val="%7."/>
      <w:lvlJc w:val="left"/>
      <w:pPr>
        <w:ind w:left="6911" w:hanging="360"/>
      </w:pPr>
    </w:lvl>
    <w:lvl w:ilvl="7" w:tplc="FFFFFFFF" w:tentative="1">
      <w:start w:val="1"/>
      <w:numFmt w:val="lowerLetter"/>
      <w:lvlText w:val="%8."/>
      <w:lvlJc w:val="left"/>
      <w:pPr>
        <w:ind w:left="7631" w:hanging="360"/>
      </w:pPr>
    </w:lvl>
    <w:lvl w:ilvl="8" w:tplc="FFFFFFFF" w:tentative="1">
      <w:start w:val="1"/>
      <w:numFmt w:val="lowerRoman"/>
      <w:lvlText w:val="%9."/>
      <w:lvlJc w:val="right"/>
      <w:pPr>
        <w:ind w:left="8351" w:hanging="180"/>
      </w:pPr>
    </w:lvl>
  </w:abstractNum>
  <w:abstractNum w:abstractNumId="34" w15:restartNumberingAfterBreak="0">
    <w:nsid w:val="69262562"/>
    <w:multiLevelType w:val="hybridMultilevel"/>
    <w:tmpl w:val="8EB640CA"/>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A936364"/>
    <w:multiLevelType w:val="hybridMultilevel"/>
    <w:tmpl w:val="CBAC362C"/>
    <w:lvl w:ilvl="0" w:tplc="2000000F">
      <w:start w:val="1"/>
      <w:numFmt w:val="decimal"/>
      <w:lvlText w:val="%1."/>
      <w:lvlJc w:val="left"/>
      <w:pPr>
        <w:ind w:left="1967"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0257D47"/>
    <w:multiLevelType w:val="hybridMultilevel"/>
    <w:tmpl w:val="AB30D4F0"/>
    <w:lvl w:ilvl="0" w:tplc="FFFFFFFF">
      <w:start w:val="1"/>
      <w:numFmt w:val="lowerLetter"/>
      <w:lvlText w:val="(%1)"/>
      <w:lvlJc w:val="left"/>
      <w:pPr>
        <w:ind w:left="2591" w:hanging="360"/>
      </w:pPr>
      <w:rPr>
        <w:rFonts w:hint="default"/>
      </w:rPr>
    </w:lvl>
    <w:lvl w:ilvl="1" w:tplc="0B82E394">
      <w:start w:val="1"/>
      <w:numFmt w:val="lowerLetter"/>
      <w:lvlText w:val="(%2)"/>
      <w:lvlJc w:val="left"/>
      <w:pPr>
        <w:ind w:left="3311" w:hanging="360"/>
      </w:pPr>
      <w:rPr>
        <w:rFonts w:hint="default"/>
      </w:rPr>
    </w:lvl>
    <w:lvl w:ilvl="2" w:tplc="FFFFFFFF" w:tentative="1">
      <w:start w:val="1"/>
      <w:numFmt w:val="lowerRoman"/>
      <w:lvlText w:val="%3."/>
      <w:lvlJc w:val="right"/>
      <w:pPr>
        <w:ind w:left="4031" w:hanging="180"/>
      </w:pPr>
    </w:lvl>
    <w:lvl w:ilvl="3" w:tplc="FFFFFFFF" w:tentative="1">
      <w:start w:val="1"/>
      <w:numFmt w:val="decimal"/>
      <w:lvlText w:val="%4."/>
      <w:lvlJc w:val="left"/>
      <w:pPr>
        <w:ind w:left="4751" w:hanging="360"/>
      </w:pPr>
    </w:lvl>
    <w:lvl w:ilvl="4" w:tplc="FFFFFFFF" w:tentative="1">
      <w:start w:val="1"/>
      <w:numFmt w:val="lowerLetter"/>
      <w:lvlText w:val="%5."/>
      <w:lvlJc w:val="left"/>
      <w:pPr>
        <w:ind w:left="5471" w:hanging="360"/>
      </w:pPr>
    </w:lvl>
    <w:lvl w:ilvl="5" w:tplc="FFFFFFFF" w:tentative="1">
      <w:start w:val="1"/>
      <w:numFmt w:val="lowerRoman"/>
      <w:lvlText w:val="%6."/>
      <w:lvlJc w:val="right"/>
      <w:pPr>
        <w:ind w:left="6191" w:hanging="180"/>
      </w:pPr>
    </w:lvl>
    <w:lvl w:ilvl="6" w:tplc="FFFFFFFF" w:tentative="1">
      <w:start w:val="1"/>
      <w:numFmt w:val="decimal"/>
      <w:lvlText w:val="%7."/>
      <w:lvlJc w:val="left"/>
      <w:pPr>
        <w:ind w:left="6911" w:hanging="360"/>
      </w:pPr>
    </w:lvl>
    <w:lvl w:ilvl="7" w:tplc="FFFFFFFF" w:tentative="1">
      <w:start w:val="1"/>
      <w:numFmt w:val="lowerLetter"/>
      <w:lvlText w:val="%8."/>
      <w:lvlJc w:val="left"/>
      <w:pPr>
        <w:ind w:left="7631" w:hanging="360"/>
      </w:pPr>
    </w:lvl>
    <w:lvl w:ilvl="8" w:tplc="FFFFFFFF" w:tentative="1">
      <w:start w:val="1"/>
      <w:numFmt w:val="lowerRoman"/>
      <w:lvlText w:val="%9."/>
      <w:lvlJc w:val="right"/>
      <w:pPr>
        <w:ind w:left="8351" w:hanging="180"/>
      </w:pPr>
    </w:lvl>
  </w:abstractNum>
  <w:abstractNum w:abstractNumId="37" w15:restartNumberingAfterBreak="0">
    <w:nsid w:val="70C6286A"/>
    <w:multiLevelType w:val="hybridMultilevel"/>
    <w:tmpl w:val="9232033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73165281"/>
    <w:multiLevelType w:val="hybridMultilevel"/>
    <w:tmpl w:val="60506876"/>
    <w:lvl w:ilvl="0" w:tplc="026427D6">
      <w:start w:val="1"/>
      <w:numFmt w:val="decimal"/>
      <w:lvlText w:val="%1."/>
      <w:lvlJc w:val="left"/>
      <w:pPr>
        <w:ind w:left="720" w:hanging="360"/>
      </w:pPr>
      <w:rPr>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73654B96"/>
    <w:multiLevelType w:val="hybridMultilevel"/>
    <w:tmpl w:val="FAAE7B58"/>
    <w:lvl w:ilvl="0" w:tplc="FFFFFFFF">
      <w:start w:val="1"/>
      <w:numFmt w:val="lowerLetter"/>
      <w:lvlText w:val="(%1)"/>
      <w:lvlJc w:val="left"/>
      <w:pPr>
        <w:ind w:left="2591" w:hanging="360"/>
      </w:pPr>
      <w:rPr>
        <w:rFonts w:hint="default"/>
      </w:rPr>
    </w:lvl>
    <w:lvl w:ilvl="1" w:tplc="0B82E394">
      <w:start w:val="1"/>
      <w:numFmt w:val="lowerLetter"/>
      <w:lvlText w:val="(%2)"/>
      <w:lvlJc w:val="left"/>
      <w:pPr>
        <w:ind w:left="3311" w:hanging="360"/>
      </w:pPr>
      <w:rPr>
        <w:rFonts w:hint="default"/>
      </w:rPr>
    </w:lvl>
    <w:lvl w:ilvl="2" w:tplc="FFFFFFFF" w:tentative="1">
      <w:start w:val="1"/>
      <w:numFmt w:val="lowerRoman"/>
      <w:lvlText w:val="%3."/>
      <w:lvlJc w:val="right"/>
      <w:pPr>
        <w:ind w:left="4031" w:hanging="180"/>
      </w:pPr>
    </w:lvl>
    <w:lvl w:ilvl="3" w:tplc="FFFFFFFF" w:tentative="1">
      <w:start w:val="1"/>
      <w:numFmt w:val="decimal"/>
      <w:lvlText w:val="%4."/>
      <w:lvlJc w:val="left"/>
      <w:pPr>
        <w:ind w:left="4751" w:hanging="360"/>
      </w:pPr>
    </w:lvl>
    <w:lvl w:ilvl="4" w:tplc="FFFFFFFF" w:tentative="1">
      <w:start w:val="1"/>
      <w:numFmt w:val="lowerLetter"/>
      <w:lvlText w:val="%5."/>
      <w:lvlJc w:val="left"/>
      <w:pPr>
        <w:ind w:left="5471" w:hanging="360"/>
      </w:pPr>
    </w:lvl>
    <w:lvl w:ilvl="5" w:tplc="FFFFFFFF" w:tentative="1">
      <w:start w:val="1"/>
      <w:numFmt w:val="lowerRoman"/>
      <w:lvlText w:val="%6."/>
      <w:lvlJc w:val="right"/>
      <w:pPr>
        <w:ind w:left="6191" w:hanging="180"/>
      </w:pPr>
    </w:lvl>
    <w:lvl w:ilvl="6" w:tplc="FFFFFFFF" w:tentative="1">
      <w:start w:val="1"/>
      <w:numFmt w:val="decimal"/>
      <w:lvlText w:val="%7."/>
      <w:lvlJc w:val="left"/>
      <w:pPr>
        <w:ind w:left="6911" w:hanging="360"/>
      </w:pPr>
    </w:lvl>
    <w:lvl w:ilvl="7" w:tplc="FFFFFFFF" w:tentative="1">
      <w:start w:val="1"/>
      <w:numFmt w:val="lowerLetter"/>
      <w:lvlText w:val="%8."/>
      <w:lvlJc w:val="left"/>
      <w:pPr>
        <w:ind w:left="7631" w:hanging="360"/>
      </w:pPr>
    </w:lvl>
    <w:lvl w:ilvl="8" w:tplc="FFFFFFFF" w:tentative="1">
      <w:start w:val="1"/>
      <w:numFmt w:val="lowerRoman"/>
      <w:lvlText w:val="%9."/>
      <w:lvlJc w:val="right"/>
      <w:pPr>
        <w:ind w:left="8351" w:hanging="180"/>
      </w:pPr>
    </w:lvl>
  </w:abstractNum>
  <w:abstractNum w:abstractNumId="40" w15:restartNumberingAfterBreak="0">
    <w:nsid w:val="7695031C"/>
    <w:multiLevelType w:val="hybridMultilevel"/>
    <w:tmpl w:val="F22AE4D0"/>
    <w:lvl w:ilvl="0" w:tplc="0B82E3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1" w15:restartNumberingAfterBreak="0">
    <w:nsid w:val="77B76735"/>
    <w:multiLevelType w:val="hybridMultilevel"/>
    <w:tmpl w:val="4806A2C4"/>
    <w:lvl w:ilvl="0" w:tplc="0B82E3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2" w15:restartNumberingAfterBreak="0">
    <w:nsid w:val="7C1F1799"/>
    <w:multiLevelType w:val="hybridMultilevel"/>
    <w:tmpl w:val="EEE092F6"/>
    <w:lvl w:ilvl="0" w:tplc="FFFFFFFF">
      <w:start w:val="1"/>
      <w:numFmt w:val="lowerLetter"/>
      <w:lvlText w:val="(%1)"/>
      <w:lvlJc w:val="left"/>
      <w:pPr>
        <w:ind w:left="2591" w:hanging="360"/>
      </w:pPr>
      <w:rPr>
        <w:rFonts w:hint="default"/>
      </w:rPr>
    </w:lvl>
    <w:lvl w:ilvl="1" w:tplc="0B82E394">
      <w:start w:val="1"/>
      <w:numFmt w:val="lowerLetter"/>
      <w:lvlText w:val="(%2)"/>
      <w:lvlJc w:val="left"/>
      <w:pPr>
        <w:ind w:left="3311" w:hanging="360"/>
      </w:pPr>
      <w:rPr>
        <w:rFonts w:hint="default"/>
      </w:rPr>
    </w:lvl>
    <w:lvl w:ilvl="2" w:tplc="FFFFFFFF" w:tentative="1">
      <w:start w:val="1"/>
      <w:numFmt w:val="lowerRoman"/>
      <w:lvlText w:val="%3."/>
      <w:lvlJc w:val="right"/>
      <w:pPr>
        <w:ind w:left="4031" w:hanging="180"/>
      </w:pPr>
    </w:lvl>
    <w:lvl w:ilvl="3" w:tplc="FFFFFFFF" w:tentative="1">
      <w:start w:val="1"/>
      <w:numFmt w:val="decimal"/>
      <w:lvlText w:val="%4."/>
      <w:lvlJc w:val="left"/>
      <w:pPr>
        <w:ind w:left="4751" w:hanging="360"/>
      </w:pPr>
    </w:lvl>
    <w:lvl w:ilvl="4" w:tplc="FFFFFFFF" w:tentative="1">
      <w:start w:val="1"/>
      <w:numFmt w:val="lowerLetter"/>
      <w:lvlText w:val="%5."/>
      <w:lvlJc w:val="left"/>
      <w:pPr>
        <w:ind w:left="5471" w:hanging="360"/>
      </w:pPr>
    </w:lvl>
    <w:lvl w:ilvl="5" w:tplc="FFFFFFFF" w:tentative="1">
      <w:start w:val="1"/>
      <w:numFmt w:val="lowerRoman"/>
      <w:lvlText w:val="%6."/>
      <w:lvlJc w:val="right"/>
      <w:pPr>
        <w:ind w:left="6191" w:hanging="180"/>
      </w:pPr>
    </w:lvl>
    <w:lvl w:ilvl="6" w:tplc="FFFFFFFF" w:tentative="1">
      <w:start w:val="1"/>
      <w:numFmt w:val="decimal"/>
      <w:lvlText w:val="%7."/>
      <w:lvlJc w:val="left"/>
      <w:pPr>
        <w:ind w:left="6911" w:hanging="360"/>
      </w:pPr>
    </w:lvl>
    <w:lvl w:ilvl="7" w:tplc="FFFFFFFF" w:tentative="1">
      <w:start w:val="1"/>
      <w:numFmt w:val="lowerLetter"/>
      <w:lvlText w:val="%8."/>
      <w:lvlJc w:val="left"/>
      <w:pPr>
        <w:ind w:left="7631" w:hanging="360"/>
      </w:pPr>
    </w:lvl>
    <w:lvl w:ilvl="8" w:tplc="FFFFFFFF" w:tentative="1">
      <w:start w:val="1"/>
      <w:numFmt w:val="lowerRoman"/>
      <w:lvlText w:val="%9."/>
      <w:lvlJc w:val="right"/>
      <w:pPr>
        <w:ind w:left="8351" w:hanging="180"/>
      </w:pPr>
    </w:lvl>
  </w:abstractNum>
  <w:abstractNum w:abstractNumId="43" w15:restartNumberingAfterBreak="0">
    <w:nsid w:val="7C5B024A"/>
    <w:multiLevelType w:val="hybridMultilevel"/>
    <w:tmpl w:val="0EDE96B6"/>
    <w:lvl w:ilvl="0" w:tplc="6FA444FC">
      <w:start w:val="1"/>
      <w:numFmt w:val="decimal"/>
      <w:lvlText w:val="%1."/>
      <w:lvlJc w:val="left"/>
      <w:pPr>
        <w:ind w:left="2591" w:hanging="360"/>
      </w:pPr>
      <w:rPr>
        <w:i w:val="0"/>
        <w:iCs/>
      </w:rPr>
    </w:lvl>
    <w:lvl w:ilvl="1" w:tplc="29CAA252">
      <w:start w:val="1"/>
      <w:numFmt w:val="lowerLetter"/>
      <w:lvlText w:val="(%2)"/>
      <w:lvlJc w:val="left"/>
      <w:pPr>
        <w:ind w:left="3566" w:hanging="615"/>
      </w:pPr>
      <w:rPr>
        <w:rFonts w:hint="default"/>
      </w:r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44" w15:restartNumberingAfterBreak="0">
    <w:nsid w:val="7F2865FB"/>
    <w:multiLevelType w:val="hybridMultilevel"/>
    <w:tmpl w:val="3DA8BDE6"/>
    <w:lvl w:ilvl="0" w:tplc="0809000F">
      <w:start w:val="1"/>
      <w:numFmt w:val="decimal"/>
      <w:lvlText w:val="%1."/>
      <w:lvlJc w:val="left"/>
      <w:pPr>
        <w:ind w:left="3215" w:hanging="360"/>
      </w:pPr>
    </w:lvl>
    <w:lvl w:ilvl="1" w:tplc="B776CA36">
      <w:start w:val="1"/>
      <w:numFmt w:val="lowerLetter"/>
      <w:lvlText w:val="(%2)"/>
      <w:lvlJc w:val="left"/>
      <w:pPr>
        <w:ind w:left="3935" w:hanging="360"/>
      </w:pPr>
      <w:rPr>
        <w:rFonts w:hint="default"/>
      </w:r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num w:numId="1" w16cid:durableId="1549535577">
    <w:abstractNumId w:val="14"/>
  </w:num>
  <w:num w:numId="2" w16cid:durableId="1473252469">
    <w:abstractNumId w:val="3"/>
  </w:num>
  <w:num w:numId="3" w16cid:durableId="1856917451">
    <w:abstractNumId w:val="38"/>
  </w:num>
  <w:num w:numId="4" w16cid:durableId="1559896294">
    <w:abstractNumId w:val="27"/>
  </w:num>
  <w:num w:numId="5" w16cid:durableId="1636064875">
    <w:abstractNumId w:val="6"/>
  </w:num>
  <w:num w:numId="6" w16cid:durableId="1075932777">
    <w:abstractNumId w:val="35"/>
  </w:num>
  <w:num w:numId="7" w16cid:durableId="1541168782">
    <w:abstractNumId w:val="15"/>
  </w:num>
  <w:num w:numId="8" w16cid:durableId="761536350">
    <w:abstractNumId w:val="12"/>
  </w:num>
  <w:num w:numId="9" w16cid:durableId="252052453">
    <w:abstractNumId w:val="19"/>
  </w:num>
  <w:num w:numId="10" w16cid:durableId="1032876827">
    <w:abstractNumId w:val="17"/>
  </w:num>
  <w:num w:numId="11" w16cid:durableId="657073234">
    <w:abstractNumId w:val="10"/>
  </w:num>
  <w:num w:numId="12" w16cid:durableId="234046659">
    <w:abstractNumId w:val="44"/>
  </w:num>
  <w:num w:numId="13" w16cid:durableId="1095369434">
    <w:abstractNumId w:val="0"/>
  </w:num>
  <w:num w:numId="14" w16cid:durableId="1606308210">
    <w:abstractNumId w:val="37"/>
  </w:num>
  <w:num w:numId="15" w16cid:durableId="1040934813">
    <w:abstractNumId w:val="24"/>
  </w:num>
  <w:num w:numId="16" w16cid:durableId="1067650237">
    <w:abstractNumId w:val="28"/>
  </w:num>
  <w:num w:numId="17" w16cid:durableId="1703281793">
    <w:abstractNumId w:val="32"/>
  </w:num>
  <w:num w:numId="18" w16cid:durableId="2105296400">
    <w:abstractNumId w:val="36"/>
  </w:num>
  <w:num w:numId="19" w16cid:durableId="178739468">
    <w:abstractNumId w:val="21"/>
  </w:num>
  <w:num w:numId="20" w16cid:durableId="1607158641">
    <w:abstractNumId w:val="4"/>
  </w:num>
  <w:num w:numId="21" w16cid:durableId="2091193224">
    <w:abstractNumId w:val="8"/>
  </w:num>
  <w:num w:numId="22" w16cid:durableId="1881474576">
    <w:abstractNumId w:val="9"/>
  </w:num>
  <w:num w:numId="23" w16cid:durableId="1069233709">
    <w:abstractNumId w:val="33"/>
  </w:num>
  <w:num w:numId="24" w16cid:durableId="503667506">
    <w:abstractNumId w:val="13"/>
  </w:num>
  <w:num w:numId="25" w16cid:durableId="1165436476">
    <w:abstractNumId w:val="39"/>
  </w:num>
  <w:num w:numId="26" w16cid:durableId="26831406">
    <w:abstractNumId w:val="5"/>
  </w:num>
  <w:num w:numId="27" w16cid:durableId="1022054156">
    <w:abstractNumId w:val="42"/>
  </w:num>
  <w:num w:numId="28" w16cid:durableId="1259366368">
    <w:abstractNumId w:val="20"/>
  </w:num>
  <w:num w:numId="29" w16cid:durableId="1527478605">
    <w:abstractNumId w:val="18"/>
  </w:num>
  <w:num w:numId="30" w16cid:durableId="1580671700">
    <w:abstractNumId w:val="23"/>
  </w:num>
  <w:num w:numId="31" w16cid:durableId="1651398747">
    <w:abstractNumId w:val="34"/>
  </w:num>
  <w:num w:numId="32" w16cid:durableId="1556509237">
    <w:abstractNumId w:val="29"/>
  </w:num>
  <w:num w:numId="33" w16cid:durableId="1415278649">
    <w:abstractNumId w:val="1"/>
  </w:num>
  <w:num w:numId="34" w16cid:durableId="422259084">
    <w:abstractNumId w:val="2"/>
  </w:num>
  <w:num w:numId="35" w16cid:durableId="1292370945">
    <w:abstractNumId w:val="31"/>
  </w:num>
  <w:num w:numId="36" w16cid:durableId="946275322">
    <w:abstractNumId w:val="30"/>
  </w:num>
  <w:num w:numId="37" w16cid:durableId="566305548">
    <w:abstractNumId w:val="43"/>
  </w:num>
  <w:num w:numId="38" w16cid:durableId="858352583">
    <w:abstractNumId w:val="16"/>
  </w:num>
  <w:num w:numId="39" w16cid:durableId="1984575696">
    <w:abstractNumId w:val="40"/>
  </w:num>
  <w:num w:numId="40" w16cid:durableId="1421562012">
    <w:abstractNumId w:val="41"/>
  </w:num>
  <w:num w:numId="41" w16cid:durableId="654189398">
    <w:abstractNumId w:val="7"/>
  </w:num>
  <w:num w:numId="42" w16cid:durableId="1086733404">
    <w:abstractNumId w:val="26"/>
  </w:num>
  <w:num w:numId="43" w16cid:durableId="2082284868">
    <w:abstractNumId w:val="25"/>
  </w:num>
  <w:num w:numId="44" w16cid:durableId="1288197071">
    <w:abstractNumId w:val="22"/>
  </w:num>
  <w:num w:numId="45" w16cid:durableId="843713905">
    <w:abstractNumId w:val="25"/>
    <w:lvlOverride w:ilvl="0">
      <w:lvl w:ilvl="0">
        <w:start w:val="1"/>
        <w:numFmt w:val="decimal"/>
        <w:pStyle w:val="Normalnumber"/>
        <w:lvlText w:val="%1."/>
        <w:lvlJc w:val="left"/>
        <w:pPr>
          <w:tabs>
            <w:tab w:val="num" w:pos="568"/>
          </w:tabs>
          <w:ind w:left="1248" w:firstLine="0"/>
        </w:pPr>
        <w:rPr>
          <w:rFonts w:hint="default"/>
          <w:i w:val="0"/>
          <w:iCs w:val="0"/>
        </w:rPr>
      </w:lvl>
    </w:lvlOverride>
  </w:num>
  <w:num w:numId="46" w16cid:durableId="34382009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4420"/>
    <w:rsid w:val="001B26C6"/>
    <w:rsid w:val="001B3A5F"/>
    <w:rsid w:val="002E5D8A"/>
    <w:rsid w:val="004956AB"/>
    <w:rsid w:val="00542DFC"/>
    <w:rsid w:val="005F7EEC"/>
    <w:rsid w:val="00680027"/>
    <w:rsid w:val="007932DA"/>
    <w:rsid w:val="00836B73"/>
    <w:rsid w:val="00872F4F"/>
    <w:rsid w:val="00884140"/>
    <w:rsid w:val="00A9304F"/>
    <w:rsid w:val="00C24420"/>
    <w:rsid w:val="00C84536"/>
    <w:rsid w:val="00CE7242"/>
    <w:rsid w:val="00D67E22"/>
    <w:rsid w:val="00DF06CA"/>
    <w:rsid w:val="00E044F2"/>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553FE"/>
  <w15:chartTrackingRefBased/>
  <w15:docId w15:val="{29F0F80D-C39A-4C41-B138-C515ABFD5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C24420"/>
    <w:pPr>
      <w:spacing w:after="0" w:line="240" w:lineRule="auto"/>
    </w:pPr>
    <w:rPr>
      <w:rFonts w:ascii="Times New Roman" w:eastAsiaTheme="minorHAnsi" w:hAnsi="Times New Roman" w:cs="Times New Roman"/>
      <w:sz w:val="2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basedOn w:val="Normal-pool"/>
    <w:next w:val="Normal"/>
    <w:qFormat/>
    <w:rsid w:val="00C24420"/>
    <w:pPr>
      <w:keepNext/>
      <w:keepLines/>
      <w:tabs>
        <w:tab w:val="clear" w:pos="624"/>
        <w:tab w:val="right" w:pos="851"/>
      </w:tabs>
      <w:suppressAutoHyphens/>
      <w:spacing w:before="240" w:after="120"/>
      <w:ind w:left="1247" w:right="284" w:hanging="1247"/>
    </w:pPr>
    <w:rPr>
      <w:b/>
      <w:sz w:val="28"/>
      <w:szCs w:val="28"/>
    </w:rPr>
  </w:style>
  <w:style w:type="paragraph" w:customStyle="1" w:styleId="Normal-pool">
    <w:name w:val="Normal-pool"/>
    <w:link w:val="Normal-poolChar"/>
    <w:qFormat/>
    <w:rsid w:val="00C24420"/>
    <w:pPr>
      <w:tabs>
        <w:tab w:val="left" w:pos="624"/>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en-GB" w:eastAsia="en-US"/>
    </w:rPr>
  </w:style>
  <w:style w:type="character" w:customStyle="1" w:styleId="Normal-poolChar">
    <w:name w:val="Normal-pool Char"/>
    <w:link w:val="Normal-pool"/>
    <w:locked/>
    <w:rsid w:val="00C24420"/>
    <w:rPr>
      <w:rFonts w:ascii="Times New Roman" w:eastAsia="Times New Roman" w:hAnsi="Times New Roman" w:cs="Times New Roman"/>
      <w:sz w:val="20"/>
      <w:szCs w:val="20"/>
      <w:lang w:val="en-GB" w:eastAsia="en-US"/>
    </w:rPr>
  </w:style>
  <w:style w:type="paragraph" w:customStyle="1" w:styleId="Footnote-Text">
    <w:name w:val="Footnote-Text"/>
    <w:basedOn w:val="Normal-pool"/>
    <w:rsid w:val="004956AB"/>
    <w:pPr>
      <w:spacing w:before="20" w:after="40"/>
      <w:ind w:left="1247"/>
    </w:pPr>
    <w:rPr>
      <w:sz w:val="18"/>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fr,stylish"/>
    <w:link w:val="BVIfnrCharCharCharChar"/>
    <w:semiHidden/>
    <w:qFormat/>
    <w:rsid w:val="00884140"/>
    <w:rPr>
      <w:szCs w:val="18"/>
      <w:vertAlign w:val="superscript"/>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semiHidden/>
    <w:rsid w:val="00884140"/>
    <w:pPr>
      <w:spacing w:before="120" w:after="160" w:line="240" w:lineRule="exact"/>
    </w:pPr>
    <w:rPr>
      <w:rFonts w:asciiTheme="minorHAnsi" w:eastAsiaTheme="minorEastAsia" w:hAnsiTheme="minorHAnsi" w:cstheme="minorBidi"/>
      <w:sz w:val="22"/>
      <w:szCs w:val="18"/>
      <w:vertAlign w:val="superscript"/>
      <w:lang w:eastAsia="zh-CN"/>
    </w:rPr>
  </w:style>
  <w:style w:type="paragraph" w:customStyle="1" w:styleId="NormalNonumber">
    <w:name w:val="Normal_No_number"/>
    <w:basedOn w:val="Normal-pool"/>
    <w:qFormat/>
    <w:rsid w:val="00DF06CA"/>
    <w:pPr>
      <w:ind w:left="1247"/>
    </w:pPr>
  </w:style>
  <w:style w:type="character" w:styleId="PageNumber">
    <w:name w:val="page number"/>
    <w:semiHidden/>
    <w:rsid w:val="002E5D8A"/>
    <w:rPr>
      <w:rFonts w:ascii="Times New Roman" w:hAnsi="Times New Roman"/>
      <w:b/>
      <w:sz w:val="18"/>
    </w:rPr>
  </w:style>
  <w:style w:type="character" w:styleId="Hyperlink">
    <w:name w:val="Hyperlink"/>
    <w:uiPriority w:val="99"/>
    <w:rsid w:val="002E5D8A"/>
    <w:rPr>
      <w:rFonts w:ascii="Times New Roman" w:hAnsi="Times New Roman"/>
      <w:color w:val="0000FF"/>
      <w:sz w:val="20"/>
      <w:szCs w:val="20"/>
      <w:u w:val="single"/>
      <w:lang w:val="en-US"/>
    </w:rPr>
  </w:style>
  <w:style w:type="paragraph" w:customStyle="1" w:styleId="CH2">
    <w:name w:val="CH2"/>
    <w:basedOn w:val="Normal-pool"/>
    <w:next w:val="Normal"/>
    <w:link w:val="CH2Char"/>
    <w:qFormat/>
    <w:rsid w:val="00D67E22"/>
    <w:pPr>
      <w:keepNext/>
      <w:keepLines/>
      <w:tabs>
        <w:tab w:val="clear" w:pos="624"/>
        <w:tab w:val="right" w:pos="851"/>
      </w:tabs>
      <w:suppressAutoHyphens/>
      <w:spacing w:before="240" w:after="120"/>
      <w:ind w:left="1247" w:right="284" w:hanging="1247"/>
    </w:pPr>
    <w:rPr>
      <w:b/>
      <w:sz w:val="24"/>
      <w:szCs w:val="24"/>
    </w:rPr>
  </w:style>
  <w:style w:type="paragraph" w:customStyle="1" w:styleId="CH4">
    <w:name w:val="CH4"/>
    <w:basedOn w:val="Normal-pool"/>
    <w:next w:val="Normal"/>
    <w:rsid w:val="00D67E22"/>
    <w:pPr>
      <w:keepNext/>
      <w:keepLines/>
      <w:tabs>
        <w:tab w:val="clear" w:pos="624"/>
        <w:tab w:val="right" w:pos="851"/>
      </w:tabs>
      <w:suppressAutoHyphens/>
      <w:spacing w:before="120" w:after="120"/>
      <w:ind w:left="1247" w:right="284" w:hanging="1247"/>
    </w:pPr>
    <w:rPr>
      <w:b/>
    </w:rPr>
  </w:style>
  <w:style w:type="character" w:customStyle="1" w:styleId="CH2Char">
    <w:name w:val="CH2 Char"/>
    <w:link w:val="CH2"/>
    <w:rsid w:val="00D67E22"/>
    <w:rPr>
      <w:rFonts w:ascii="Times New Roman" w:eastAsia="Times New Roman" w:hAnsi="Times New Roman" w:cs="Times New Roman"/>
      <w:b/>
      <w:sz w:val="24"/>
      <w:szCs w:val="24"/>
      <w:lang w:val="en-GB" w:eastAsia="en-US"/>
    </w:rPr>
  </w:style>
  <w:style w:type="character" w:customStyle="1" w:styleId="footnote">
    <w:name w:val="footnote"/>
    <w:aliases w:val="reference,16,Point,Superscript,61,reference1,68"/>
    <w:semiHidden/>
    <w:rsid w:val="00D67E22"/>
    <w:rPr>
      <w:rFonts w:ascii="Times New Roman" w:hAnsi="Times New Roman" w:cs="Times New Roman" w:hint="default"/>
      <w:color w:val="auto"/>
      <w:sz w:val="18"/>
      <w:vertAlign w:val="superscript"/>
    </w:rPr>
  </w:style>
  <w:style w:type="character" w:styleId="Strong">
    <w:name w:val="Strong"/>
    <w:basedOn w:val="DefaultParagraphFont"/>
    <w:qFormat/>
    <w:rsid w:val="00CE7242"/>
    <w:rPr>
      <w:b/>
      <w:bCs/>
    </w:rPr>
  </w:style>
  <w:style w:type="numbering" w:customStyle="1" w:styleId="Normallist">
    <w:name w:val="Normal_list"/>
    <w:basedOn w:val="NoList"/>
    <w:rsid w:val="00A9304F"/>
    <w:pPr>
      <w:numPr>
        <w:numId w:val="43"/>
      </w:numPr>
    </w:pPr>
  </w:style>
  <w:style w:type="paragraph" w:customStyle="1" w:styleId="Normalnumber">
    <w:name w:val="Normal_number"/>
    <w:qFormat/>
    <w:rsid w:val="00A9304F"/>
    <w:pPr>
      <w:numPr>
        <w:numId w:val="43"/>
      </w:numPr>
      <w:tabs>
        <w:tab w:val="clear" w:pos="568"/>
        <w:tab w:val="left" w:pos="624"/>
      </w:tabs>
      <w:spacing w:after="120" w:line="240" w:lineRule="auto"/>
      <w:ind w:left="1247"/>
    </w:pPr>
    <w:rPr>
      <w:rFonts w:ascii="Times New Roman" w:eastAsia="Times New Roman" w:hAnsi="Times New Roman" w:cs="Times New Roman"/>
      <w:sz w:val="20"/>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www.basel.int/Implementation/HouseholdWastePartnership/OverallGuidanceDocument/tabid/8227/Default.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1142</Words>
  <Characters>6511</Characters>
  <Application>Microsoft Office Word</Application>
  <DocSecurity>0</DocSecurity>
  <Lines>54</Lines>
  <Paragraphs>15</Paragraphs>
  <ScaleCrop>false</ScaleCrop>
  <Company/>
  <LinksUpToDate>false</LinksUpToDate>
  <CharactersWithSpaces>7638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2023-04-24T13:08:00Z</dcterms:created>
  <dcterms:modified xsi:type="dcterms:W3CDTF">2023-04-24T13:08:00Z</dcterms:modified>
</cp:coreProperties>
</file>