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73BC1" w14:textId="77777777" w:rsidR="00895852" w:rsidRPr="002A632F" w:rsidRDefault="00895852" w:rsidP="00895852">
      <w:pPr>
        <w:pStyle w:val="CH1"/>
        <w:tabs>
          <w:tab w:val="left" w:pos="1814"/>
          <w:tab w:val="left" w:pos="2381"/>
          <w:tab w:val="left" w:pos="2948"/>
          <w:tab w:val="left" w:pos="3515"/>
          <w:tab w:val="left" w:pos="4082"/>
        </w:tabs>
        <w:ind w:right="46"/>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B6535B">
        <w:rPr>
          <w:rFonts w:eastAsia="SimHei"/>
          <w:bCs/>
          <w:sz w:val="32"/>
          <w:szCs w:val="32"/>
          <w:lang w:val="zh-CN" w:eastAsia="zh-CN"/>
        </w:rPr>
        <w:t>BC-15/23</w:t>
      </w:r>
      <w:r w:rsidRPr="00B6535B">
        <w:rPr>
          <w:rFonts w:eastAsia="SimHei"/>
          <w:bCs/>
          <w:sz w:val="32"/>
          <w:szCs w:val="32"/>
          <w:lang w:val="zh-CN" w:eastAsia="zh-CN"/>
        </w:rPr>
        <w:t>：不限成员名额工作组</w:t>
      </w:r>
      <w:r w:rsidRPr="00B6535B">
        <w:rPr>
          <w:rFonts w:eastAsia="SimHei"/>
          <w:bCs/>
          <w:sz w:val="32"/>
          <w:szCs w:val="32"/>
          <w:lang w:val="zh-CN" w:eastAsia="zh-CN"/>
        </w:rPr>
        <w:t>2022–2023</w:t>
      </w:r>
      <w:r w:rsidRPr="00B6535B">
        <w:rPr>
          <w:rFonts w:eastAsia="SimHei"/>
          <w:bCs/>
          <w:sz w:val="32"/>
          <w:szCs w:val="32"/>
          <w:lang w:val="zh-CN" w:eastAsia="zh-CN"/>
        </w:rPr>
        <w:t>两年期</w:t>
      </w:r>
      <w:r>
        <w:rPr>
          <w:rFonts w:eastAsia="SimHei"/>
          <w:bCs/>
          <w:sz w:val="32"/>
          <w:szCs w:val="32"/>
          <w:lang w:val="zh-CN" w:eastAsia="zh-CN"/>
        </w:rPr>
        <w:br/>
      </w:r>
      <w:r w:rsidRPr="00B6535B">
        <w:rPr>
          <w:rFonts w:eastAsia="SimHei"/>
          <w:bCs/>
          <w:sz w:val="32"/>
          <w:szCs w:val="32"/>
          <w:lang w:val="zh-CN" w:eastAsia="zh-CN"/>
        </w:rPr>
        <w:t>工作方案</w:t>
      </w:r>
    </w:p>
    <w:p w14:paraId="64CC3985" w14:textId="77777777" w:rsidR="00895852" w:rsidRPr="00B6535B" w:rsidRDefault="00895852" w:rsidP="00895852">
      <w:pPr>
        <w:pStyle w:val="Normal-pool"/>
        <w:spacing w:after="120"/>
        <w:ind w:left="1247" w:firstLine="624"/>
        <w:jc w:val="both"/>
        <w:rPr>
          <w:rFonts w:ascii="KaiTi" w:eastAsia="KaiTi" w:hAnsi="KaiTi"/>
          <w:i/>
          <w:iCs/>
          <w:sz w:val="24"/>
          <w:szCs w:val="24"/>
          <w:lang w:eastAsia="zh-CN"/>
        </w:rPr>
      </w:pPr>
      <w:r w:rsidRPr="00B6535B">
        <w:rPr>
          <w:rFonts w:ascii="KaiTi" w:eastAsia="KaiTi" w:hAnsi="KaiTi"/>
          <w:sz w:val="24"/>
          <w:szCs w:val="24"/>
          <w:lang w:val="zh-CN" w:eastAsia="zh-CN"/>
        </w:rPr>
        <w:t>缔约方大会</w:t>
      </w:r>
    </w:p>
    <w:p w14:paraId="09C79E6D" w14:textId="77777777" w:rsidR="00895852" w:rsidRPr="002A632F" w:rsidRDefault="00895852" w:rsidP="00895852">
      <w:pPr>
        <w:pStyle w:val="Normal-pool"/>
        <w:spacing w:after="120"/>
        <w:ind w:left="1247" w:firstLine="624"/>
        <w:jc w:val="both"/>
        <w:rPr>
          <w:rFonts w:eastAsia="SimSun"/>
          <w:sz w:val="24"/>
          <w:szCs w:val="24"/>
          <w:lang w:eastAsia="zh-CN"/>
        </w:rPr>
      </w:pPr>
      <w:r w:rsidRPr="00B6535B">
        <w:rPr>
          <w:rFonts w:ascii="KaiTi" w:eastAsia="KaiTi" w:hAnsi="KaiTi"/>
          <w:sz w:val="24"/>
          <w:szCs w:val="24"/>
          <w:lang w:val="zh-CN" w:eastAsia="zh-CN"/>
        </w:rPr>
        <w:t>通过</w:t>
      </w:r>
      <w:r w:rsidRPr="002A632F">
        <w:rPr>
          <w:rFonts w:eastAsia="SimSun"/>
          <w:sz w:val="24"/>
          <w:szCs w:val="24"/>
          <w:lang w:val="zh-CN" w:eastAsia="zh-CN"/>
        </w:rPr>
        <w:t>载于本决定附件的不限成员名额工作组</w:t>
      </w:r>
      <w:r w:rsidRPr="002A632F">
        <w:rPr>
          <w:rFonts w:eastAsia="SimSun"/>
          <w:sz w:val="24"/>
          <w:szCs w:val="24"/>
          <w:lang w:val="zh-CN" w:eastAsia="zh-CN"/>
        </w:rPr>
        <w:t>2022–2023</w:t>
      </w:r>
      <w:r w:rsidRPr="002A632F">
        <w:rPr>
          <w:rFonts w:eastAsia="SimSun"/>
          <w:sz w:val="24"/>
          <w:szCs w:val="24"/>
          <w:lang w:val="zh-CN" w:eastAsia="zh-CN"/>
        </w:rPr>
        <w:t>两年期工作方案。</w:t>
      </w:r>
    </w:p>
    <w:p w14:paraId="4A157FC8" w14:textId="77777777" w:rsidR="00895852" w:rsidRPr="00B6535B" w:rsidRDefault="00895852" w:rsidP="00895852">
      <w:pPr>
        <w:pStyle w:val="CH2"/>
        <w:keepNext w:val="0"/>
        <w:keepLines w:val="0"/>
        <w:jc w:val="both"/>
        <w:rPr>
          <w:rFonts w:eastAsia="SimHei"/>
          <w:sz w:val="28"/>
          <w:szCs w:val="28"/>
          <w:lang w:eastAsia="zh-CN"/>
        </w:rPr>
      </w:pPr>
      <w:r w:rsidRPr="002A632F">
        <w:rPr>
          <w:rFonts w:eastAsia="SimSun"/>
          <w:lang w:val="zh-CN" w:eastAsia="zh-CN"/>
        </w:rPr>
        <w:tab/>
      </w:r>
      <w:r w:rsidRPr="002A632F">
        <w:rPr>
          <w:rFonts w:eastAsia="SimSun"/>
          <w:lang w:val="zh-CN" w:eastAsia="zh-CN"/>
        </w:rPr>
        <w:tab/>
      </w:r>
      <w:r w:rsidRPr="00B6535B">
        <w:rPr>
          <w:rFonts w:eastAsia="SimHei"/>
          <w:bCs/>
          <w:sz w:val="28"/>
          <w:szCs w:val="28"/>
          <w:lang w:val="zh-CN" w:eastAsia="zh-CN"/>
        </w:rPr>
        <w:t>BC-15/23</w:t>
      </w:r>
      <w:r w:rsidRPr="00B6535B">
        <w:rPr>
          <w:rFonts w:eastAsia="SimHei"/>
          <w:bCs/>
          <w:sz w:val="28"/>
          <w:szCs w:val="28"/>
          <w:lang w:val="zh-CN" w:eastAsia="zh-CN"/>
        </w:rPr>
        <w:t>号决定附件</w:t>
      </w:r>
    </w:p>
    <w:p w14:paraId="35D400BC" w14:textId="77777777" w:rsidR="00895852" w:rsidRPr="00B6535B" w:rsidRDefault="00895852" w:rsidP="00895852">
      <w:pPr>
        <w:pStyle w:val="CH2"/>
        <w:keepNext w:val="0"/>
        <w:keepLines w:val="0"/>
        <w:jc w:val="both"/>
        <w:rPr>
          <w:rFonts w:eastAsia="SimHei"/>
          <w:sz w:val="28"/>
          <w:szCs w:val="28"/>
          <w:lang w:eastAsia="zh-CN"/>
        </w:rPr>
      </w:pPr>
      <w:r w:rsidRPr="00B6535B">
        <w:rPr>
          <w:rFonts w:eastAsia="SimHei"/>
          <w:sz w:val="28"/>
          <w:szCs w:val="28"/>
          <w:lang w:val="zh-CN" w:eastAsia="zh-CN"/>
        </w:rPr>
        <w:tab/>
      </w:r>
      <w:r w:rsidRPr="00B6535B">
        <w:rPr>
          <w:rFonts w:eastAsia="SimHei"/>
          <w:sz w:val="28"/>
          <w:szCs w:val="28"/>
          <w:lang w:val="zh-CN" w:eastAsia="zh-CN"/>
        </w:rPr>
        <w:tab/>
      </w:r>
      <w:r w:rsidRPr="00B6535B">
        <w:rPr>
          <w:rFonts w:eastAsia="SimHei"/>
          <w:bCs/>
          <w:sz w:val="28"/>
          <w:szCs w:val="28"/>
          <w:lang w:val="zh-CN" w:eastAsia="zh-CN"/>
        </w:rPr>
        <w:t>不限成员名额工作组</w:t>
      </w:r>
      <w:r w:rsidRPr="00B6535B">
        <w:rPr>
          <w:rFonts w:eastAsia="SimHei"/>
          <w:bCs/>
          <w:sz w:val="28"/>
          <w:szCs w:val="28"/>
          <w:lang w:val="zh-CN" w:eastAsia="zh-CN"/>
        </w:rPr>
        <w:t>2022–2023</w:t>
      </w:r>
      <w:r w:rsidRPr="00B6535B">
        <w:rPr>
          <w:rFonts w:eastAsia="SimHei"/>
          <w:bCs/>
          <w:sz w:val="28"/>
          <w:szCs w:val="28"/>
          <w:lang w:val="zh-CN" w:eastAsia="zh-CN"/>
        </w:rPr>
        <w:t>两年期工作方案</w:t>
      </w:r>
    </w:p>
    <w:tbl>
      <w:tblPr>
        <w:tblW w:w="8307" w:type="dxa"/>
        <w:jc w:val="right"/>
        <w:tblLayout w:type="fixed"/>
        <w:tblLook w:val="04A0" w:firstRow="1" w:lastRow="0" w:firstColumn="1" w:lastColumn="0" w:noHBand="0" w:noVBand="1"/>
      </w:tblPr>
      <w:tblGrid>
        <w:gridCol w:w="2255"/>
        <w:gridCol w:w="3274"/>
        <w:gridCol w:w="1671"/>
        <w:gridCol w:w="1107"/>
      </w:tblGrid>
      <w:tr w:rsidR="00895852" w:rsidRPr="002A632F" w14:paraId="621CB38B" w14:textId="77777777" w:rsidTr="006B115A">
        <w:trPr>
          <w:trHeight w:val="57"/>
          <w:tblHeader/>
          <w:jc w:val="right"/>
        </w:trPr>
        <w:tc>
          <w:tcPr>
            <w:tcW w:w="2255" w:type="dxa"/>
            <w:tcBorders>
              <w:top w:val="single" w:sz="4" w:space="0" w:color="auto"/>
              <w:bottom w:val="single" w:sz="12" w:space="0" w:color="auto"/>
            </w:tcBorders>
            <w:vAlign w:val="bottom"/>
          </w:tcPr>
          <w:p w14:paraId="212D0769" w14:textId="77777777" w:rsidR="00895852" w:rsidRPr="007C0EFF" w:rsidRDefault="00895852" w:rsidP="006B115A">
            <w:pPr>
              <w:pStyle w:val="Normal-pool"/>
              <w:spacing w:before="40" w:after="40"/>
              <w:ind w:right="57"/>
              <w:jc w:val="both"/>
              <w:rPr>
                <w:rFonts w:ascii="KaiTi" w:eastAsia="KaiTi" w:hAnsi="KaiTi"/>
                <w:i/>
                <w:iCs/>
              </w:rPr>
            </w:pPr>
            <w:bookmarkStart w:id="0" w:name="_Hlk57295111"/>
            <w:proofErr w:type="spellStart"/>
            <w:r w:rsidRPr="007C0EFF">
              <w:rPr>
                <w:rFonts w:ascii="KaiTi" w:eastAsia="KaiTi" w:hAnsi="KaiTi"/>
                <w:lang w:val="zh-CN"/>
              </w:rPr>
              <w:t>议题</w:t>
            </w:r>
            <w:proofErr w:type="spellEnd"/>
          </w:p>
        </w:tc>
        <w:tc>
          <w:tcPr>
            <w:tcW w:w="3274" w:type="dxa"/>
            <w:tcBorders>
              <w:top w:val="single" w:sz="4" w:space="0" w:color="auto"/>
              <w:bottom w:val="single" w:sz="12" w:space="0" w:color="auto"/>
            </w:tcBorders>
            <w:vAlign w:val="bottom"/>
          </w:tcPr>
          <w:p w14:paraId="57821C30" w14:textId="77777777" w:rsidR="00895852" w:rsidRPr="007C0EFF" w:rsidRDefault="00895852" w:rsidP="006B115A">
            <w:pPr>
              <w:pStyle w:val="Normal-pool"/>
              <w:spacing w:before="40" w:after="40"/>
              <w:ind w:right="57"/>
              <w:jc w:val="both"/>
              <w:rPr>
                <w:rFonts w:ascii="KaiTi" w:eastAsia="KaiTi" w:hAnsi="KaiTi"/>
                <w:i/>
                <w:iCs/>
              </w:rPr>
            </w:pPr>
            <w:proofErr w:type="spellStart"/>
            <w:r w:rsidRPr="007C0EFF">
              <w:rPr>
                <w:rFonts w:ascii="KaiTi" w:eastAsia="KaiTi" w:hAnsi="KaiTi"/>
                <w:lang w:val="zh-CN"/>
              </w:rPr>
              <w:t>活动</w:t>
            </w:r>
            <w:proofErr w:type="spellEnd"/>
          </w:p>
        </w:tc>
        <w:tc>
          <w:tcPr>
            <w:tcW w:w="1671" w:type="dxa"/>
            <w:tcBorders>
              <w:top w:val="single" w:sz="4" w:space="0" w:color="auto"/>
              <w:bottom w:val="single" w:sz="12" w:space="0" w:color="auto"/>
            </w:tcBorders>
            <w:vAlign w:val="bottom"/>
          </w:tcPr>
          <w:p w14:paraId="35803D7F" w14:textId="77777777" w:rsidR="00895852" w:rsidRPr="007C0EFF" w:rsidRDefault="00895852" w:rsidP="006B115A">
            <w:pPr>
              <w:pStyle w:val="Normal-pool"/>
              <w:spacing w:before="40" w:after="40"/>
              <w:ind w:right="57"/>
              <w:jc w:val="both"/>
              <w:rPr>
                <w:rFonts w:ascii="KaiTi" w:eastAsia="KaiTi" w:hAnsi="KaiTi"/>
                <w:i/>
                <w:iCs/>
              </w:rPr>
            </w:pPr>
            <w:proofErr w:type="spellStart"/>
            <w:r w:rsidRPr="007C0EFF">
              <w:rPr>
                <w:rFonts w:ascii="KaiTi" w:eastAsia="KaiTi" w:hAnsi="KaiTi"/>
                <w:lang w:val="zh-CN"/>
              </w:rPr>
              <w:t>任务规定</w:t>
            </w:r>
            <w:proofErr w:type="spellEnd"/>
          </w:p>
        </w:tc>
        <w:tc>
          <w:tcPr>
            <w:tcW w:w="1107" w:type="dxa"/>
            <w:tcBorders>
              <w:top w:val="single" w:sz="4" w:space="0" w:color="auto"/>
              <w:bottom w:val="single" w:sz="12" w:space="0" w:color="auto"/>
            </w:tcBorders>
            <w:vAlign w:val="bottom"/>
          </w:tcPr>
          <w:p w14:paraId="13C405BC" w14:textId="77777777" w:rsidR="00895852" w:rsidRPr="007C0EFF" w:rsidRDefault="00895852" w:rsidP="006B115A">
            <w:pPr>
              <w:pStyle w:val="Normal-pool"/>
              <w:spacing w:before="40" w:after="40"/>
              <w:ind w:right="57"/>
              <w:rPr>
                <w:rFonts w:ascii="KaiTi" w:eastAsia="KaiTi" w:hAnsi="KaiTi"/>
                <w:i/>
                <w:iCs/>
              </w:rPr>
            </w:pPr>
            <w:proofErr w:type="spellStart"/>
            <w:r w:rsidRPr="007C0EFF">
              <w:rPr>
                <w:rFonts w:ascii="KaiTi" w:eastAsia="KaiTi" w:hAnsi="KaiTi"/>
                <w:lang w:val="zh-CN"/>
              </w:rPr>
              <w:t>优先程度</w:t>
            </w:r>
            <w:proofErr w:type="spellEnd"/>
          </w:p>
        </w:tc>
      </w:tr>
      <w:tr w:rsidR="00895852" w:rsidRPr="002A632F" w14:paraId="3EC4D44A" w14:textId="77777777" w:rsidTr="006B115A">
        <w:trPr>
          <w:trHeight w:val="57"/>
          <w:jc w:val="right"/>
        </w:trPr>
        <w:tc>
          <w:tcPr>
            <w:tcW w:w="8307" w:type="dxa"/>
            <w:gridSpan w:val="4"/>
            <w:tcBorders>
              <w:top w:val="single" w:sz="12" w:space="0" w:color="auto"/>
            </w:tcBorders>
            <w:vAlign w:val="bottom"/>
          </w:tcPr>
          <w:p w14:paraId="0220C8D2" w14:textId="77777777" w:rsidR="00895852" w:rsidRPr="007C0EFF" w:rsidRDefault="00895852" w:rsidP="006B115A">
            <w:pPr>
              <w:pStyle w:val="Normal-pool"/>
              <w:tabs>
                <w:tab w:val="clear" w:pos="1247"/>
              </w:tabs>
              <w:spacing w:before="40" w:after="40"/>
              <w:jc w:val="both"/>
              <w:rPr>
                <w:rFonts w:ascii="SimHei" w:eastAsia="SimHei"/>
              </w:rPr>
            </w:pPr>
            <w:r w:rsidRPr="007C0EFF">
              <w:rPr>
                <w:rFonts w:ascii="SimHei" w:eastAsia="SimHei" w:hint="eastAsia"/>
                <w:b/>
                <w:bCs/>
                <w:lang w:val="zh-CN" w:eastAsia="zh-CN"/>
              </w:rPr>
              <w:t>一、</w:t>
            </w:r>
            <w:proofErr w:type="spellStart"/>
            <w:r w:rsidRPr="007C0EFF">
              <w:rPr>
                <w:rFonts w:ascii="SimHei" w:eastAsia="SimHei" w:hint="eastAsia"/>
                <w:b/>
                <w:bCs/>
                <w:lang w:val="zh-CN"/>
              </w:rPr>
              <w:t>战略议题</w:t>
            </w:r>
            <w:proofErr w:type="spellEnd"/>
          </w:p>
        </w:tc>
      </w:tr>
      <w:tr w:rsidR="00895852" w:rsidRPr="002A632F" w14:paraId="279FF40E" w14:textId="77777777" w:rsidTr="006B115A">
        <w:trPr>
          <w:trHeight w:val="890"/>
          <w:jc w:val="right"/>
        </w:trPr>
        <w:tc>
          <w:tcPr>
            <w:tcW w:w="2255" w:type="dxa"/>
            <w:tcBorders>
              <w:bottom w:val="single" w:sz="4" w:space="0" w:color="auto"/>
            </w:tcBorders>
          </w:tcPr>
          <w:p w14:paraId="2010F6F9" w14:textId="77777777" w:rsidR="00895852" w:rsidRPr="007C0EFF" w:rsidRDefault="00895852" w:rsidP="00895852">
            <w:pPr>
              <w:pStyle w:val="Normal-pool"/>
              <w:numPr>
                <w:ilvl w:val="0"/>
                <w:numId w:val="9"/>
              </w:numPr>
              <w:tabs>
                <w:tab w:val="clear" w:pos="1247"/>
                <w:tab w:val="left" w:pos="300"/>
              </w:tabs>
              <w:spacing w:before="40" w:after="40"/>
              <w:ind w:left="318" w:right="57" w:hanging="284"/>
              <w:jc w:val="both"/>
              <w:rPr>
                <w:rFonts w:eastAsia="SimSun"/>
                <w:i/>
                <w:iCs/>
              </w:rPr>
            </w:pPr>
            <w:proofErr w:type="spellStart"/>
            <w:r w:rsidRPr="007C0EFF">
              <w:rPr>
                <w:rFonts w:eastAsia="SimSun"/>
                <w:lang w:val="zh-CN"/>
              </w:rPr>
              <w:t>战略框架</w:t>
            </w:r>
            <w:proofErr w:type="spellEnd"/>
          </w:p>
        </w:tc>
        <w:tc>
          <w:tcPr>
            <w:tcW w:w="3274" w:type="dxa"/>
            <w:tcBorders>
              <w:bottom w:val="single" w:sz="4" w:space="0" w:color="auto"/>
            </w:tcBorders>
          </w:tcPr>
          <w:p w14:paraId="45DF8201" w14:textId="77777777" w:rsidR="00895852" w:rsidRPr="007C0EFF" w:rsidRDefault="00895852" w:rsidP="006B115A">
            <w:pPr>
              <w:pStyle w:val="Normal-pool"/>
              <w:spacing w:before="40" w:after="40"/>
              <w:ind w:right="58"/>
              <w:jc w:val="both"/>
              <w:rPr>
                <w:rFonts w:eastAsia="SimSun"/>
                <w:bCs/>
                <w:lang w:eastAsia="zh-CN"/>
              </w:rPr>
            </w:pPr>
            <w:r w:rsidRPr="007C0EFF">
              <w:rPr>
                <w:rFonts w:eastAsia="SimSun"/>
                <w:lang w:val="zh-CN" w:eastAsia="zh-CN"/>
              </w:rPr>
              <w:t>审议结论和建议的报告草案，以酌情改进</w:t>
            </w:r>
            <w:r w:rsidRPr="007C0EFF">
              <w:rPr>
                <w:rFonts w:eastAsia="SimSun"/>
                <w:lang w:val="zh-CN" w:eastAsia="zh-CN"/>
              </w:rPr>
              <w:t>2012–2021</w:t>
            </w:r>
            <w:r w:rsidRPr="007C0EFF">
              <w:rPr>
                <w:rFonts w:eastAsia="SimSun"/>
                <w:lang w:val="zh-CN" w:eastAsia="zh-CN"/>
              </w:rPr>
              <w:t>年战略框架；</w:t>
            </w:r>
          </w:p>
        </w:tc>
        <w:tc>
          <w:tcPr>
            <w:tcW w:w="1671" w:type="dxa"/>
            <w:tcBorders>
              <w:bottom w:val="single" w:sz="4" w:space="0" w:color="auto"/>
            </w:tcBorders>
          </w:tcPr>
          <w:p w14:paraId="2A8B2825" w14:textId="77777777" w:rsidR="00895852" w:rsidRPr="007C0EFF" w:rsidRDefault="00895852" w:rsidP="006B115A">
            <w:pPr>
              <w:pStyle w:val="Normal-pool"/>
              <w:spacing w:before="40" w:after="40"/>
              <w:jc w:val="both"/>
              <w:rPr>
                <w:rFonts w:eastAsia="SimSun"/>
                <w:i/>
                <w:iCs/>
              </w:rPr>
            </w:pPr>
            <w:r w:rsidRPr="007C0EFF">
              <w:rPr>
                <w:rFonts w:eastAsia="SimSun"/>
                <w:lang w:val="zh-CN"/>
              </w:rPr>
              <w:t>BC-15/3</w:t>
            </w:r>
            <w:proofErr w:type="spellStart"/>
            <w:r w:rsidRPr="007C0EFF">
              <w:rPr>
                <w:rFonts w:eastAsia="SimSun"/>
                <w:lang w:val="zh-CN"/>
              </w:rPr>
              <w:t>号决定</w:t>
            </w:r>
            <w:proofErr w:type="spellEnd"/>
          </w:p>
        </w:tc>
        <w:tc>
          <w:tcPr>
            <w:tcW w:w="1107" w:type="dxa"/>
            <w:tcBorders>
              <w:bottom w:val="single" w:sz="4" w:space="0" w:color="auto"/>
            </w:tcBorders>
          </w:tcPr>
          <w:p w14:paraId="378FEDBB" w14:textId="77777777" w:rsidR="00895852" w:rsidRPr="007C0EFF" w:rsidRDefault="00895852" w:rsidP="006B115A">
            <w:pPr>
              <w:pStyle w:val="Normal-pool"/>
              <w:spacing w:before="40" w:after="40"/>
              <w:jc w:val="both"/>
              <w:rPr>
                <w:rFonts w:eastAsia="SimSun"/>
                <w:i/>
                <w:iCs/>
              </w:rPr>
            </w:pPr>
            <w:r w:rsidRPr="007C0EFF">
              <w:rPr>
                <w:rFonts w:eastAsia="SimSun"/>
                <w:lang w:val="zh-CN"/>
              </w:rPr>
              <w:t>高</w:t>
            </w:r>
          </w:p>
        </w:tc>
      </w:tr>
      <w:tr w:rsidR="00895852" w:rsidRPr="002A632F" w14:paraId="12903535" w14:textId="77777777" w:rsidTr="006B115A">
        <w:trPr>
          <w:trHeight w:val="57"/>
          <w:jc w:val="right"/>
        </w:trPr>
        <w:tc>
          <w:tcPr>
            <w:tcW w:w="2255" w:type="dxa"/>
            <w:vMerge w:val="restart"/>
          </w:tcPr>
          <w:p w14:paraId="3E627DC0" w14:textId="77777777" w:rsidR="00895852" w:rsidRPr="007C0EFF" w:rsidRDefault="00895852" w:rsidP="00895852">
            <w:pPr>
              <w:pStyle w:val="Normal-pool"/>
              <w:numPr>
                <w:ilvl w:val="0"/>
                <w:numId w:val="9"/>
              </w:numPr>
              <w:tabs>
                <w:tab w:val="clear" w:pos="1247"/>
                <w:tab w:val="left" w:pos="300"/>
              </w:tabs>
              <w:spacing w:before="40" w:after="40"/>
              <w:ind w:left="318" w:right="57" w:hanging="284"/>
              <w:jc w:val="both"/>
              <w:rPr>
                <w:rFonts w:eastAsia="SimSun"/>
                <w:lang w:eastAsia="zh-CN"/>
              </w:rPr>
            </w:pPr>
            <w:r w:rsidRPr="007C0EFF">
              <w:rPr>
                <w:rFonts w:eastAsia="SimSun"/>
                <w:lang w:val="zh-CN" w:eastAsia="zh-CN"/>
              </w:rPr>
              <w:t>努力改进事先知情同意程序的运作</w:t>
            </w:r>
          </w:p>
        </w:tc>
        <w:tc>
          <w:tcPr>
            <w:tcW w:w="3274" w:type="dxa"/>
          </w:tcPr>
          <w:p w14:paraId="637EFF39" w14:textId="77777777" w:rsidR="00895852" w:rsidRPr="007C0EFF" w:rsidRDefault="00895852" w:rsidP="00895852">
            <w:pPr>
              <w:pStyle w:val="Normal-pool"/>
              <w:numPr>
                <w:ilvl w:val="0"/>
                <w:numId w:val="8"/>
              </w:numPr>
              <w:tabs>
                <w:tab w:val="clear" w:pos="1247"/>
                <w:tab w:val="left" w:pos="211"/>
              </w:tabs>
              <w:spacing w:before="40" w:after="40"/>
              <w:ind w:left="204" w:right="57" w:hanging="215"/>
              <w:jc w:val="both"/>
              <w:rPr>
                <w:rFonts w:eastAsia="SimSun"/>
                <w:bCs/>
                <w:lang w:eastAsia="zh-CN"/>
              </w:rPr>
            </w:pPr>
            <w:r w:rsidRPr="007C0EFF">
              <w:rPr>
                <w:rFonts w:eastAsia="SimSun"/>
                <w:lang w:val="zh-CN" w:eastAsia="zh-CN"/>
              </w:rPr>
              <w:t>考虑汇编和综合关于实施事先知情同意程序方面的挑战以及关于改进程序运作的最佳做法、可能办法、举措和意见的资料。</w:t>
            </w:r>
          </w:p>
        </w:tc>
        <w:tc>
          <w:tcPr>
            <w:tcW w:w="1671" w:type="dxa"/>
          </w:tcPr>
          <w:p w14:paraId="1A120AB2" w14:textId="77777777" w:rsidR="00895852" w:rsidRPr="007C0EFF" w:rsidRDefault="00895852" w:rsidP="006B115A">
            <w:pPr>
              <w:pStyle w:val="Normal-pool"/>
              <w:spacing w:before="40" w:after="40"/>
              <w:jc w:val="both"/>
              <w:rPr>
                <w:rFonts w:eastAsia="SimSun"/>
              </w:rPr>
            </w:pPr>
            <w:r w:rsidRPr="007C0EFF">
              <w:rPr>
                <w:rFonts w:eastAsia="SimSun"/>
                <w:lang w:val="zh-CN"/>
              </w:rPr>
              <w:t>BC-15/3</w:t>
            </w:r>
            <w:proofErr w:type="spellStart"/>
            <w:r w:rsidRPr="007C0EFF">
              <w:rPr>
                <w:rFonts w:eastAsia="SimSun"/>
                <w:lang w:val="zh-CN"/>
              </w:rPr>
              <w:t>号决定</w:t>
            </w:r>
            <w:proofErr w:type="spellEnd"/>
          </w:p>
        </w:tc>
        <w:tc>
          <w:tcPr>
            <w:tcW w:w="1107" w:type="dxa"/>
          </w:tcPr>
          <w:p w14:paraId="4131121A" w14:textId="77777777" w:rsidR="00895852" w:rsidRPr="007C0EFF"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10515EAA" w14:textId="77777777" w:rsidTr="006B115A">
        <w:trPr>
          <w:trHeight w:val="57"/>
          <w:jc w:val="right"/>
        </w:trPr>
        <w:tc>
          <w:tcPr>
            <w:tcW w:w="2255" w:type="dxa"/>
            <w:vMerge/>
            <w:tcBorders>
              <w:bottom w:val="single" w:sz="4" w:space="0" w:color="auto"/>
            </w:tcBorders>
          </w:tcPr>
          <w:p w14:paraId="4155E9DA" w14:textId="77777777" w:rsidR="00895852" w:rsidRPr="007C0EFF" w:rsidRDefault="00895852" w:rsidP="006B115A">
            <w:pPr>
              <w:pStyle w:val="Normal-pool"/>
              <w:tabs>
                <w:tab w:val="clear" w:pos="1247"/>
                <w:tab w:val="left" w:pos="300"/>
              </w:tabs>
              <w:spacing w:before="40" w:after="40"/>
              <w:ind w:right="57"/>
              <w:jc w:val="both"/>
              <w:rPr>
                <w:rFonts w:eastAsia="SimSun"/>
              </w:rPr>
            </w:pPr>
          </w:p>
        </w:tc>
        <w:tc>
          <w:tcPr>
            <w:tcW w:w="3274" w:type="dxa"/>
            <w:tcBorders>
              <w:bottom w:val="single" w:sz="4" w:space="0" w:color="auto"/>
            </w:tcBorders>
          </w:tcPr>
          <w:p w14:paraId="17F9217F" w14:textId="77777777" w:rsidR="00895852" w:rsidRPr="007C0EFF" w:rsidRDefault="00895852" w:rsidP="00895852">
            <w:pPr>
              <w:pStyle w:val="Normal-pool"/>
              <w:numPr>
                <w:ilvl w:val="0"/>
                <w:numId w:val="8"/>
              </w:numPr>
              <w:tabs>
                <w:tab w:val="clear" w:pos="1247"/>
                <w:tab w:val="left" w:pos="211"/>
              </w:tabs>
              <w:spacing w:before="40" w:after="40"/>
              <w:ind w:left="208" w:right="57" w:hanging="218"/>
              <w:jc w:val="both"/>
              <w:rPr>
                <w:rFonts w:eastAsia="SimSun"/>
                <w:bCs/>
                <w:lang w:eastAsia="zh-CN"/>
              </w:rPr>
            </w:pPr>
            <w:r w:rsidRPr="007C0EFF">
              <w:rPr>
                <w:rFonts w:eastAsia="SimSun"/>
                <w:lang w:val="zh-CN" w:eastAsia="zh-CN"/>
              </w:rPr>
              <w:t>在审议第</w:t>
            </w:r>
            <w:r w:rsidRPr="007C0EFF">
              <w:rPr>
                <w:rFonts w:eastAsia="SimSun"/>
                <w:lang w:val="zh-CN" w:eastAsia="zh-CN"/>
              </w:rPr>
              <w:t>1</w:t>
            </w:r>
            <w:r w:rsidRPr="007C0EFF">
              <w:rPr>
                <w:rFonts w:eastAsia="SimSun"/>
                <w:lang w:val="zh-CN" w:eastAsia="zh-CN"/>
              </w:rPr>
              <w:t>段所述资料汇编和综合的基础上，拟定建议草案，供缔约方大会第十六次会议审议。</w:t>
            </w:r>
          </w:p>
        </w:tc>
        <w:tc>
          <w:tcPr>
            <w:tcW w:w="1671" w:type="dxa"/>
            <w:tcBorders>
              <w:bottom w:val="single" w:sz="4" w:space="0" w:color="auto"/>
            </w:tcBorders>
          </w:tcPr>
          <w:p w14:paraId="4B86BBAF" w14:textId="77777777" w:rsidR="00895852" w:rsidRPr="007C0EFF" w:rsidRDefault="00895852" w:rsidP="006B115A">
            <w:pPr>
              <w:pStyle w:val="Normal-pool"/>
              <w:spacing w:before="40" w:after="40"/>
              <w:jc w:val="both"/>
              <w:rPr>
                <w:rFonts w:eastAsia="SimSun"/>
              </w:rPr>
            </w:pPr>
            <w:r w:rsidRPr="007C0EFF">
              <w:rPr>
                <w:rFonts w:eastAsia="SimSun"/>
                <w:lang w:val="zh-CN"/>
              </w:rPr>
              <w:t>BC-15/3</w:t>
            </w:r>
            <w:proofErr w:type="spellStart"/>
            <w:r w:rsidRPr="007C0EFF">
              <w:rPr>
                <w:rFonts w:eastAsia="SimSun"/>
                <w:lang w:val="zh-CN"/>
              </w:rPr>
              <w:t>号决定</w:t>
            </w:r>
            <w:proofErr w:type="spellEnd"/>
          </w:p>
        </w:tc>
        <w:tc>
          <w:tcPr>
            <w:tcW w:w="1107" w:type="dxa"/>
            <w:tcBorders>
              <w:bottom w:val="single" w:sz="4" w:space="0" w:color="auto"/>
            </w:tcBorders>
          </w:tcPr>
          <w:p w14:paraId="0ADB0B69" w14:textId="77777777" w:rsidR="00895852" w:rsidRPr="007C0EFF"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277AB001" w14:textId="77777777" w:rsidTr="006B115A">
        <w:trPr>
          <w:trHeight w:val="57"/>
          <w:jc w:val="right"/>
        </w:trPr>
        <w:tc>
          <w:tcPr>
            <w:tcW w:w="8307" w:type="dxa"/>
            <w:gridSpan w:val="4"/>
          </w:tcPr>
          <w:p w14:paraId="1CA956FC" w14:textId="77777777" w:rsidR="00895852" w:rsidRPr="007C0EFF" w:rsidRDefault="00895852" w:rsidP="006B115A">
            <w:pPr>
              <w:pStyle w:val="Normal-pool"/>
              <w:tabs>
                <w:tab w:val="clear" w:pos="1247"/>
              </w:tabs>
              <w:spacing w:before="40" w:after="40"/>
              <w:jc w:val="both"/>
              <w:rPr>
                <w:rFonts w:ascii="SimHei" w:eastAsia="SimHei"/>
              </w:rPr>
            </w:pPr>
            <w:r w:rsidRPr="007C0EFF">
              <w:rPr>
                <w:rFonts w:ascii="SimHei" w:eastAsia="SimHei" w:hint="eastAsia"/>
                <w:b/>
                <w:bCs/>
                <w:lang w:val="zh-CN" w:eastAsia="zh-CN"/>
              </w:rPr>
              <w:t>二、</w:t>
            </w:r>
            <w:proofErr w:type="spellStart"/>
            <w:r w:rsidRPr="007C0EFF">
              <w:rPr>
                <w:rFonts w:ascii="SimHei" w:eastAsia="SimHei" w:hint="eastAsia"/>
                <w:b/>
                <w:bCs/>
                <w:lang w:val="zh-CN"/>
              </w:rPr>
              <w:t>科学和技术事项</w:t>
            </w:r>
            <w:proofErr w:type="spellEnd"/>
          </w:p>
        </w:tc>
      </w:tr>
      <w:tr w:rsidR="00895852" w:rsidRPr="002A632F" w14:paraId="243670D4" w14:textId="77777777" w:rsidTr="006B115A">
        <w:trPr>
          <w:trHeight w:val="57"/>
          <w:jc w:val="right"/>
        </w:trPr>
        <w:tc>
          <w:tcPr>
            <w:tcW w:w="2255" w:type="dxa"/>
            <w:vMerge w:val="restart"/>
          </w:tcPr>
          <w:p w14:paraId="28BEE185" w14:textId="77777777" w:rsidR="00895852" w:rsidRPr="007C0EFF" w:rsidRDefault="00895852" w:rsidP="00895852">
            <w:pPr>
              <w:pStyle w:val="Normal-pool"/>
              <w:numPr>
                <w:ilvl w:val="0"/>
                <w:numId w:val="14"/>
              </w:numPr>
              <w:tabs>
                <w:tab w:val="clear" w:pos="1247"/>
                <w:tab w:val="left" w:pos="300"/>
              </w:tabs>
              <w:spacing w:before="40" w:after="40"/>
              <w:ind w:left="318" w:right="57" w:hanging="284"/>
              <w:jc w:val="both"/>
              <w:rPr>
                <w:rFonts w:eastAsia="SimSun"/>
              </w:rPr>
            </w:pPr>
            <w:proofErr w:type="spellStart"/>
            <w:r w:rsidRPr="007C0EFF">
              <w:rPr>
                <w:rFonts w:eastAsia="SimSun"/>
                <w:lang w:val="zh-CN"/>
              </w:rPr>
              <w:t>技术准则</w:t>
            </w:r>
            <w:proofErr w:type="spellEnd"/>
          </w:p>
        </w:tc>
        <w:tc>
          <w:tcPr>
            <w:tcW w:w="3274" w:type="dxa"/>
          </w:tcPr>
          <w:p w14:paraId="3DDE65E9" w14:textId="77777777" w:rsidR="00895852" w:rsidRPr="007C0EFF" w:rsidRDefault="00895852" w:rsidP="00895852">
            <w:pPr>
              <w:pStyle w:val="Normal-pool"/>
              <w:numPr>
                <w:ilvl w:val="0"/>
                <w:numId w:val="13"/>
              </w:numPr>
              <w:tabs>
                <w:tab w:val="clear" w:pos="1247"/>
                <w:tab w:val="left" w:pos="211"/>
              </w:tabs>
              <w:spacing w:before="40" w:after="40"/>
              <w:ind w:left="208" w:right="57" w:hanging="218"/>
              <w:jc w:val="both"/>
              <w:rPr>
                <w:rFonts w:eastAsia="SimSun"/>
                <w:lang w:eastAsia="zh-CN"/>
              </w:rPr>
            </w:pPr>
            <w:r w:rsidRPr="007C0EFF">
              <w:rPr>
                <w:rFonts w:eastAsia="SimSun"/>
                <w:lang w:val="zh-CN" w:eastAsia="zh-CN"/>
              </w:rPr>
              <w:t>酌情审议与</w:t>
            </w:r>
            <w:r w:rsidRPr="007C0EFF">
              <w:rPr>
                <w:rFonts w:eastAsia="SimSun"/>
                <w:lang w:val="zh-CN" w:eastAsia="zh-CN"/>
              </w:rPr>
              <w:t>BC-15/6</w:t>
            </w:r>
            <w:r w:rsidRPr="007C0EFF">
              <w:rPr>
                <w:rFonts w:eastAsia="SimSun"/>
                <w:lang w:val="zh-CN" w:eastAsia="zh-CN"/>
              </w:rPr>
              <w:t>号决定所述的一般性技术准则及其他技术准则中暂定持久性有机</w:t>
            </w:r>
            <w:proofErr w:type="gramStart"/>
            <w:r w:rsidRPr="007C0EFF">
              <w:rPr>
                <w:rFonts w:eastAsia="SimSun"/>
                <w:lang w:val="zh-CN" w:eastAsia="zh-CN"/>
              </w:rPr>
              <w:t>污染物低含量值</w:t>
            </w:r>
            <w:proofErr w:type="gramEnd"/>
            <w:r w:rsidRPr="007C0EFF">
              <w:rPr>
                <w:rFonts w:eastAsia="SimSun"/>
                <w:lang w:val="zh-CN" w:eastAsia="zh-CN"/>
              </w:rPr>
              <w:t>的审查有关的评论意见和信息。</w:t>
            </w:r>
          </w:p>
        </w:tc>
        <w:tc>
          <w:tcPr>
            <w:tcW w:w="1671" w:type="dxa"/>
          </w:tcPr>
          <w:p w14:paraId="17F87722" w14:textId="77777777" w:rsidR="00895852" w:rsidRPr="007C0EFF" w:rsidRDefault="00895852" w:rsidP="006B115A">
            <w:pPr>
              <w:pStyle w:val="Normal-pool"/>
              <w:spacing w:before="40" w:after="40"/>
              <w:jc w:val="both"/>
              <w:rPr>
                <w:rFonts w:eastAsia="SimSun"/>
              </w:rPr>
            </w:pPr>
            <w:r w:rsidRPr="007C0EFF">
              <w:rPr>
                <w:rFonts w:eastAsia="SimSun"/>
                <w:lang w:val="zh-CN"/>
              </w:rPr>
              <w:t>BC-15/6</w:t>
            </w:r>
            <w:proofErr w:type="spellStart"/>
            <w:r w:rsidRPr="007C0EFF">
              <w:rPr>
                <w:rFonts w:eastAsia="SimSun"/>
                <w:lang w:val="zh-CN"/>
              </w:rPr>
              <w:t>号决定</w:t>
            </w:r>
            <w:proofErr w:type="spellEnd"/>
          </w:p>
        </w:tc>
        <w:tc>
          <w:tcPr>
            <w:tcW w:w="1107" w:type="dxa"/>
          </w:tcPr>
          <w:p w14:paraId="31FF24E0" w14:textId="77777777" w:rsidR="00895852" w:rsidRPr="007C0EFF"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4D19D4D5" w14:textId="77777777" w:rsidTr="006B115A">
        <w:trPr>
          <w:trHeight w:val="57"/>
          <w:jc w:val="right"/>
        </w:trPr>
        <w:tc>
          <w:tcPr>
            <w:tcW w:w="2255" w:type="dxa"/>
            <w:vMerge/>
          </w:tcPr>
          <w:p w14:paraId="57934B7B" w14:textId="77777777" w:rsidR="00895852" w:rsidRPr="007C0EFF" w:rsidRDefault="00895852" w:rsidP="006B115A">
            <w:pPr>
              <w:pStyle w:val="Normal-pool"/>
              <w:tabs>
                <w:tab w:val="left" w:pos="300"/>
              </w:tabs>
              <w:spacing w:before="40" w:after="40"/>
              <w:ind w:left="57" w:right="57"/>
              <w:jc w:val="both"/>
              <w:rPr>
                <w:rFonts w:eastAsia="SimSun"/>
              </w:rPr>
            </w:pPr>
          </w:p>
        </w:tc>
        <w:tc>
          <w:tcPr>
            <w:tcW w:w="3274" w:type="dxa"/>
          </w:tcPr>
          <w:p w14:paraId="48C39F0D" w14:textId="77777777" w:rsidR="00895852" w:rsidRPr="007C0EFF" w:rsidRDefault="00895852" w:rsidP="00895852">
            <w:pPr>
              <w:pStyle w:val="Normal-pool"/>
              <w:numPr>
                <w:ilvl w:val="0"/>
                <w:numId w:val="13"/>
              </w:numPr>
              <w:tabs>
                <w:tab w:val="clear" w:pos="1247"/>
                <w:tab w:val="left" w:pos="211"/>
              </w:tabs>
              <w:spacing w:before="40" w:after="40"/>
              <w:ind w:left="208" w:right="57" w:hanging="218"/>
              <w:jc w:val="both"/>
              <w:rPr>
                <w:rFonts w:eastAsia="SimSun"/>
                <w:lang w:eastAsia="zh-CN"/>
              </w:rPr>
            </w:pPr>
            <w:r w:rsidRPr="007C0EFF">
              <w:rPr>
                <w:rFonts w:eastAsia="SimSun"/>
                <w:lang w:val="zh-CN" w:eastAsia="zh-CN"/>
              </w:rPr>
              <w:t>增订关于对由持久性有机污染物构成、含有此类污染物或受其污染的废物实行无害环境管理的一般性技术准则，以及关于</w:t>
            </w:r>
            <w:proofErr w:type="gramStart"/>
            <w:r w:rsidRPr="007C0EFF">
              <w:rPr>
                <w:rFonts w:eastAsia="SimSun"/>
                <w:lang w:val="zh-CN" w:eastAsia="zh-CN"/>
              </w:rPr>
              <w:t>全氟辛</w:t>
            </w:r>
            <w:proofErr w:type="gramEnd"/>
            <w:r w:rsidRPr="007C0EFF">
              <w:rPr>
                <w:rFonts w:eastAsia="SimSun"/>
                <w:lang w:val="zh-CN" w:eastAsia="zh-CN"/>
              </w:rPr>
              <w:t>基磺酸</w:t>
            </w:r>
            <w:r w:rsidRPr="007C0EFF">
              <w:rPr>
                <w:rFonts w:eastAsia="SimSun" w:hint="eastAsia"/>
                <w:lang w:val="zh-CN" w:eastAsia="zh-CN"/>
              </w:rPr>
              <w:t>及</w:t>
            </w:r>
            <w:r w:rsidRPr="007C0EFF">
              <w:rPr>
                <w:rFonts w:eastAsia="SimSun"/>
                <w:lang w:val="zh-CN" w:eastAsia="zh-CN"/>
              </w:rPr>
              <w:t>其盐类和</w:t>
            </w:r>
            <w:proofErr w:type="gramStart"/>
            <w:r w:rsidRPr="007C0EFF">
              <w:rPr>
                <w:rFonts w:eastAsia="SimSun"/>
                <w:lang w:val="zh-CN" w:eastAsia="zh-CN"/>
              </w:rPr>
              <w:t>全氟辛基磺</w:t>
            </w:r>
            <w:proofErr w:type="gramEnd"/>
            <w:r w:rsidRPr="007C0EFF">
              <w:rPr>
                <w:rFonts w:eastAsia="SimSun"/>
                <w:lang w:val="zh-CN" w:eastAsia="zh-CN"/>
              </w:rPr>
              <w:t>酰氟</w:t>
            </w:r>
            <w:proofErr w:type="gramStart"/>
            <w:r w:rsidRPr="007C0EFF">
              <w:rPr>
                <w:rFonts w:eastAsia="SimSun"/>
                <w:lang w:val="zh-CN" w:eastAsia="zh-CN"/>
              </w:rPr>
              <w:t>以及全氟辛酸</w:t>
            </w:r>
            <w:proofErr w:type="gramEnd"/>
            <w:r w:rsidRPr="007C0EFF">
              <w:rPr>
                <w:rFonts w:eastAsia="SimSun" w:hint="eastAsia"/>
                <w:lang w:val="zh-CN" w:eastAsia="zh-CN"/>
              </w:rPr>
              <w:t>及</w:t>
            </w:r>
            <w:r w:rsidRPr="007C0EFF">
              <w:rPr>
                <w:rFonts w:eastAsia="SimSun"/>
                <w:lang w:val="zh-CN" w:eastAsia="zh-CN"/>
              </w:rPr>
              <w:t>其盐类</w:t>
            </w:r>
            <w:r w:rsidRPr="007C0EFF">
              <w:rPr>
                <w:rFonts w:eastAsia="SimSun" w:hint="eastAsia"/>
                <w:lang w:val="zh-CN" w:eastAsia="zh-CN"/>
              </w:rPr>
              <w:t>和</w:t>
            </w:r>
            <w:r w:rsidRPr="007C0EFF">
              <w:rPr>
                <w:rFonts w:eastAsia="SimSun"/>
                <w:lang w:val="zh-CN" w:eastAsia="zh-CN"/>
              </w:rPr>
              <w:t>其相关化合物的技术准则，以包括</w:t>
            </w:r>
            <w:proofErr w:type="gramStart"/>
            <w:r w:rsidRPr="007C0EFF">
              <w:rPr>
                <w:rFonts w:eastAsia="SimSun"/>
                <w:lang w:val="zh-CN" w:eastAsia="zh-CN"/>
              </w:rPr>
              <w:t>全氟己</w:t>
            </w:r>
            <w:r w:rsidRPr="007C0EFF">
              <w:rPr>
                <w:rFonts w:eastAsia="SimSun" w:hint="eastAsia"/>
                <w:lang w:val="zh-CN" w:eastAsia="zh-CN"/>
              </w:rPr>
              <w:t>基</w:t>
            </w:r>
            <w:proofErr w:type="gramEnd"/>
            <w:r w:rsidRPr="007C0EFF">
              <w:rPr>
                <w:rFonts w:eastAsia="SimSun"/>
                <w:lang w:val="zh-CN" w:eastAsia="zh-CN"/>
              </w:rPr>
              <w:t>磺酸</w:t>
            </w:r>
            <w:r w:rsidRPr="007C0EFF">
              <w:rPr>
                <w:rFonts w:eastAsia="SimSun" w:hint="eastAsia"/>
                <w:lang w:val="zh-CN" w:eastAsia="zh-CN"/>
              </w:rPr>
              <w:t>及</w:t>
            </w:r>
            <w:r w:rsidRPr="007C0EFF">
              <w:rPr>
                <w:rFonts w:eastAsia="SimSun"/>
                <w:lang w:val="zh-CN" w:eastAsia="zh-CN"/>
              </w:rPr>
              <w:t>其盐类</w:t>
            </w:r>
            <w:r w:rsidRPr="007C0EFF">
              <w:rPr>
                <w:rFonts w:eastAsia="SimSun" w:hint="eastAsia"/>
                <w:lang w:val="zh-CN" w:eastAsia="zh-CN"/>
              </w:rPr>
              <w:t>和</w:t>
            </w:r>
            <w:r w:rsidRPr="007C0EFF">
              <w:rPr>
                <w:rFonts w:eastAsia="SimSun"/>
                <w:lang w:val="zh-CN" w:eastAsia="zh-CN"/>
              </w:rPr>
              <w:t>其相关化合物，同时考虑到斯德哥尔摩公约缔约方大会的</w:t>
            </w:r>
            <w:r w:rsidRPr="007C0EFF">
              <w:rPr>
                <w:rFonts w:eastAsia="SimSun"/>
                <w:lang w:val="zh-CN" w:eastAsia="zh-CN"/>
              </w:rPr>
              <w:t>SC-10/9</w:t>
            </w:r>
            <w:r w:rsidRPr="007C0EFF">
              <w:rPr>
                <w:rFonts w:eastAsia="SimSun"/>
                <w:lang w:val="zh-CN" w:eastAsia="zh-CN"/>
              </w:rPr>
              <w:t>号决定，其中包括：</w:t>
            </w:r>
          </w:p>
          <w:p w14:paraId="13B988BF" w14:textId="77777777" w:rsidR="00895852" w:rsidRPr="007C0EFF" w:rsidRDefault="00895852" w:rsidP="00895852">
            <w:pPr>
              <w:pStyle w:val="Normal-pool"/>
              <w:keepNext/>
              <w:keepLines/>
              <w:numPr>
                <w:ilvl w:val="0"/>
                <w:numId w:val="10"/>
              </w:numPr>
              <w:tabs>
                <w:tab w:val="clear" w:pos="1247"/>
                <w:tab w:val="clear" w:pos="1814"/>
                <w:tab w:val="left" w:pos="481"/>
              </w:tabs>
              <w:spacing w:before="40" w:after="40"/>
              <w:ind w:left="465" w:right="57" w:hanging="284"/>
              <w:jc w:val="both"/>
              <w:rPr>
                <w:rFonts w:eastAsia="SimSun"/>
                <w:lang w:eastAsia="zh-CN"/>
              </w:rPr>
            </w:pPr>
            <w:r w:rsidRPr="007C0EFF">
              <w:rPr>
                <w:rFonts w:eastAsia="SimSun"/>
                <w:lang w:val="zh-CN" w:eastAsia="zh-CN"/>
              </w:rPr>
              <w:lastRenderedPageBreak/>
              <w:t>为化学品设定必要的销毁和永久质变水平，以确保化学品经处置不会呈现《斯德哥尔摩公约》附件</w:t>
            </w:r>
            <w:r w:rsidRPr="007C0EFF">
              <w:rPr>
                <w:rFonts w:eastAsia="SimSun"/>
                <w:lang w:val="zh-CN" w:eastAsia="zh-CN"/>
              </w:rPr>
              <w:t>D</w:t>
            </w:r>
            <w:r w:rsidRPr="007C0EFF">
              <w:rPr>
                <w:rFonts w:eastAsia="SimSun"/>
                <w:lang w:val="zh-CN" w:eastAsia="zh-CN"/>
              </w:rPr>
              <w:t>第</w:t>
            </w:r>
            <w:r w:rsidRPr="007C0EFF">
              <w:rPr>
                <w:rFonts w:eastAsia="SimSun"/>
                <w:lang w:val="zh-CN" w:eastAsia="zh-CN"/>
              </w:rPr>
              <w:t>1</w:t>
            </w:r>
            <w:r w:rsidRPr="007C0EFF">
              <w:rPr>
                <w:rFonts w:eastAsia="SimSun"/>
                <w:lang w:val="zh-CN" w:eastAsia="zh-CN"/>
              </w:rPr>
              <w:t>段所列的持久性有机污染物特征；</w:t>
            </w:r>
          </w:p>
          <w:p w14:paraId="4FBFC4C1" w14:textId="77777777" w:rsidR="00895852" w:rsidRPr="007C0EFF" w:rsidRDefault="00895852" w:rsidP="00895852">
            <w:pPr>
              <w:pStyle w:val="Normal-pool"/>
              <w:numPr>
                <w:ilvl w:val="0"/>
                <w:numId w:val="10"/>
              </w:numPr>
              <w:tabs>
                <w:tab w:val="clear" w:pos="1247"/>
                <w:tab w:val="left" w:pos="481"/>
              </w:tabs>
              <w:spacing w:before="40" w:after="40"/>
              <w:ind w:left="465" w:right="57" w:hanging="284"/>
              <w:jc w:val="both"/>
              <w:rPr>
                <w:rFonts w:eastAsia="SimSun"/>
                <w:lang w:eastAsia="zh-CN"/>
              </w:rPr>
            </w:pPr>
            <w:r w:rsidRPr="007C0EFF">
              <w:rPr>
                <w:rFonts w:eastAsia="SimSun"/>
                <w:lang w:val="zh-CN" w:eastAsia="zh-CN"/>
              </w:rPr>
              <w:t>确定哪些处置方法属于《斯德哥尔摩公约》第</w:t>
            </w:r>
            <w:r w:rsidRPr="007C0EFF">
              <w:rPr>
                <w:rFonts w:eastAsia="SimSun"/>
                <w:lang w:val="zh-CN" w:eastAsia="zh-CN"/>
              </w:rPr>
              <w:t>6</w:t>
            </w:r>
            <w:r w:rsidRPr="007C0EFF">
              <w:rPr>
                <w:rFonts w:eastAsia="SimSun"/>
                <w:lang w:val="zh-CN" w:eastAsia="zh-CN"/>
              </w:rPr>
              <w:t>条第</w:t>
            </w:r>
            <w:r w:rsidRPr="007C0EFF">
              <w:rPr>
                <w:rFonts w:eastAsia="SimSun"/>
                <w:lang w:val="zh-CN" w:eastAsia="zh-CN"/>
              </w:rPr>
              <w:t>1 (d) (</w:t>
            </w:r>
            <w:r w:rsidRPr="007C0EFF">
              <w:rPr>
                <w:rFonts w:eastAsia="SimSun"/>
                <w:lang w:val="zh-CN" w:eastAsia="zh-CN"/>
              </w:rPr>
              <w:t>二</w:t>
            </w:r>
            <w:r w:rsidRPr="007C0EFF">
              <w:rPr>
                <w:rFonts w:eastAsia="SimSun"/>
                <w:lang w:val="zh-CN" w:eastAsia="zh-CN"/>
              </w:rPr>
              <w:t>)</w:t>
            </w:r>
            <w:r w:rsidRPr="007C0EFF">
              <w:rPr>
                <w:rFonts w:eastAsia="SimSun"/>
                <w:lang w:val="zh-CN" w:eastAsia="zh-CN"/>
              </w:rPr>
              <w:t>款所述的无害环境处置方法；</w:t>
            </w:r>
          </w:p>
          <w:p w14:paraId="0AEBF0E4" w14:textId="77777777" w:rsidR="00895852" w:rsidRPr="007C0EFF" w:rsidRDefault="00895852" w:rsidP="00895852">
            <w:pPr>
              <w:pStyle w:val="Normal-pool"/>
              <w:numPr>
                <w:ilvl w:val="0"/>
                <w:numId w:val="10"/>
              </w:numPr>
              <w:tabs>
                <w:tab w:val="clear" w:pos="1247"/>
                <w:tab w:val="left" w:pos="481"/>
              </w:tabs>
              <w:spacing w:before="40" w:after="40"/>
              <w:ind w:left="475" w:right="58" w:hanging="288"/>
              <w:jc w:val="both"/>
              <w:rPr>
                <w:rFonts w:eastAsia="SimSun"/>
                <w:lang w:eastAsia="zh-CN"/>
              </w:rPr>
            </w:pPr>
            <w:r w:rsidRPr="007C0EFF">
              <w:rPr>
                <w:rFonts w:eastAsia="SimSun"/>
                <w:lang w:val="zh-CN" w:eastAsia="zh-CN"/>
              </w:rPr>
              <w:t>酌情确定化学品的浓度水平，以便为其界定《斯德哥尔摩公约》第</w:t>
            </w:r>
            <w:r w:rsidRPr="007C0EFF">
              <w:rPr>
                <w:rFonts w:eastAsia="SimSun"/>
                <w:lang w:val="zh-CN" w:eastAsia="zh-CN"/>
              </w:rPr>
              <w:t>6</w:t>
            </w:r>
            <w:r w:rsidRPr="007C0EFF">
              <w:rPr>
                <w:rFonts w:eastAsia="SimSun"/>
                <w:lang w:val="zh-CN" w:eastAsia="zh-CN"/>
              </w:rPr>
              <w:t>条第</w:t>
            </w:r>
            <w:r w:rsidRPr="007C0EFF">
              <w:rPr>
                <w:rFonts w:eastAsia="SimSun"/>
                <w:lang w:val="zh-CN" w:eastAsia="zh-CN"/>
              </w:rPr>
              <w:t>1 (d) (</w:t>
            </w:r>
            <w:r w:rsidRPr="007C0EFF">
              <w:rPr>
                <w:rFonts w:eastAsia="SimSun"/>
                <w:lang w:val="zh-CN" w:eastAsia="zh-CN"/>
              </w:rPr>
              <w:t>二</w:t>
            </w:r>
            <w:r w:rsidRPr="007C0EFF">
              <w:rPr>
                <w:rFonts w:eastAsia="SimSun"/>
                <w:lang w:val="zh-CN" w:eastAsia="zh-CN"/>
              </w:rPr>
              <w:t>)</w:t>
            </w:r>
            <w:r w:rsidRPr="007C0EFF">
              <w:rPr>
                <w:rFonts w:eastAsia="SimSun"/>
                <w:lang w:val="zh-CN" w:eastAsia="zh-CN"/>
              </w:rPr>
              <w:t>款所述的此类化学品的持久性有机污染物低含量；</w:t>
            </w:r>
          </w:p>
        </w:tc>
        <w:tc>
          <w:tcPr>
            <w:tcW w:w="1671" w:type="dxa"/>
          </w:tcPr>
          <w:p w14:paraId="188506F7" w14:textId="77777777" w:rsidR="00895852" w:rsidRPr="007C0EFF" w:rsidRDefault="00895852" w:rsidP="006B115A">
            <w:pPr>
              <w:pStyle w:val="Normal-pool"/>
              <w:spacing w:before="40" w:after="40"/>
              <w:jc w:val="both"/>
              <w:rPr>
                <w:rFonts w:eastAsia="SimSun"/>
              </w:rPr>
            </w:pPr>
            <w:r w:rsidRPr="007C0EFF">
              <w:rPr>
                <w:rFonts w:eastAsia="SimSun"/>
                <w:lang w:val="zh-CN"/>
              </w:rPr>
              <w:lastRenderedPageBreak/>
              <w:t>BC-15/6</w:t>
            </w:r>
            <w:proofErr w:type="spellStart"/>
            <w:r w:rsidRPr="007C0EFF">
              <w:rPr>
                <w:rFonts w:eastAsia="SimSun"/>
                <w:lang w:val="zh-CN"/>
              </w:rPr>
              <w:t>号决定</w:t>
            </w:r>
            <w:proofErr w:type="spellEnd"/>
          </w:p>
        </w:tc>
        <w:tc>
          <w:tcPr>
            <w:tcW w:w="1107" w:type="dxa"/>
          </w:tcPr>
          <w:p w14:paraId="4268E4AF" w14:textId="77777777" w:rsidR="00895852" w:rsidRPr="007C0EFF"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438AA33B" w14:textId="77777777" w:rsidTr="006B115A">
        <w:trPr>
          <w:trHeight w:val="57"/>
          <w:jc w:val="right"/>
        </w:trPr>
        <w:tc>
          <w:tcPr>
            <w:tcW w:w="2255" w:type="dxa"/>
            <w:vMerge/>
          </w:tcPr>
          <w:p w14:paraId="7306BF40" w14:textId="77777777" w:rsidR="00895852" w:rsidRPr="007C0EFF" w:rsidRDefault="00895852" w:rsidP="006B115A">
            <w:pPr>
              <w:pStyle w:val="Normal-pool"/>
              <w:tabs>
                <w:tab w:val="left" w:pos="300"/>
              </w:tabs>
              <w:spacing w:before="40" w:after="40"/>
              <w:ind w:left="57" w:right="57"/>
              <w:jc w:val="both"/>
              <w:rPr>
                <w:rFonts w:eastAsia="SimSun"/>
              </w:rPr>
            </w:pPr>
          </w:p>
        </w:tc>
        <w:tc>
          <w:tcPr>
            <w:tcW w:w="3274" w:type="dxa"/>
          </w:tcPr>
          <w:p w14:paraId="64E3EC37" w14:textId="77777777" w:rsidR="00895852" w:rsidRPr="007C0EFF" w:rsidRDefault="00895852" w:rsidP="00895852">
            <w:pPr>
              <w:pStyle w:val="Normal-pool"/>
              <w:numPr>
                <w:ilvl w:val="0"/>
                <w:numId w:val="13"/>
              </w:numPr>
              <w:tabs>
                <w:tab w:val="clear" w:pos="1247"/>
                <w:tab w:val="left" w:pos="211"/>
              </w:tabs>
              <w:spacing w:before="40" w:after="40"/>
              <w:ind w:left="202" w:right="58" w:hanging="216"/>
              <w:jc w:val="both"/>
              <w:rPr>
                <w:rFonts w:eastAsia="SimSun"/>
                <w:lang w:eastAsia="zh-CN"/>
              </w:rPr>
            </w:pPr>
            <w:r w:rsidRPr="007C0EFF">
              <w:rPr>
                <w:rFonts w:eastAsia="SimSun"/>
                <w:lang w:val="zh-CN" w:eastAsia="zh-CN"/>
              </w:rPr>
              <w:t>审议</w:t>
            </w:r>
            <w:r w:rsidRPr="007C0EFF">
              <w:rPr>
                <w:rFonts w:eastAsia="SimSun"/>
                <w:lang w:val="zh-CN" w:eastAsia="zh-CN"/>
              </w:rPr>
              <w:t>BC-15/7</w:t>
            </w:r>
            <w:r w:rsidRPr="007C0EFF">
              <w:rPr>
                <w:rFonts w:eastAsia="SimSun"/>
                <w:lang w:val="zh-CN" w:eastAsia="zh-CN"/>
              </w:rPr>
              <w:t>号决定（关于电气和电子废物以及废旧电气和电子设备的越境转移、尤其是关于依照《巴塞尔公约》对废物和非废物加以区别的技术准则）执行进展情况报告。</w:t>
            </w:r>
          </w:p>
        </w:tc>
        <w:tc>
          <w:tcPr>
            <w:tcW w:w="1671" w:type="dxa"/>
          </w:tcPr>
          <w:p w14:paraId="16E9DE76" w14:textId="77777777" w:rsidR="00895852" w:rsidRPr="007C0EFF" w:rsidRDefault="00895852" w:rsidP="006B115A">
            <w:pPr>
              <w:pStyle w:val="Normal-pool"/>
              <w:spacing w:before="40" w:after="40"/>
              <w:jc w:val="both"/>
              <w:rPr>
                <w:rFonts w:eastAsia="SimSun"/>
              </w:rPr>
            </w:pPr>
            <w:r w:rsidRPr="007C0EFF">
              <w:rPr>
                <w:rFonts w:eastAsia="SimSun"/>
                <w:lang w:val="zh-CN"/>
              </w:rPr>
              <w:t>BC-15/7</w:t>
            </w:r>
            <w:proofErr w:type="spellStart"/>
            <w:r w:rsidRPr="007C0EFF">
              <w:rPr>
                <w:rFonts w:eastAsia="SimSun"/>
                <w:lang w:val="zh-CN"/>
              </w:rPr>
              <w:t>号决定</w:t>
            </w:r>
            <w:proofErr w:type="spellEnd"/>
          </w:p>
        </w:tc>
        <w:tc>
          <w:tcPr>
            <w:tcW w:w="1107" w:type="dxa"/>
          </w:tcPr>
          <w:p w14:paraId="25081E99" w14:textId="77777777" w:rsidR="00895852" w:rsidRPr="007C0EFF" w:rsidRDefault="00895852" w:rsidP="006B115A">
            <w:pPr>
              <w:pStyle w:val="Normal-pool"/>
              <w:spacing w:before="40" w:after="40"/>
              <w:jc w:val="both"/>
              <w:rPr>
                <w:rFonts w:eastAsia="SimSun"/>
              </w:rPr>
            </w:pPr>
            <w:r w:rsidRPr="007C0EFF">
              <w:rPr>
                <w:rFonts w:eastAsia="SimSun"/>
                <w:lang w:val="zh-CN"/>
              </w:rPr>
              <w:t>中</w:t>
            </w:r>
          </w:p>
        </w:tc>
      </w:tr>
      <w:tr w:rsidR="00895852" w:rsidRPr="002A632F" w14:paraId="112E46B7" w14:textId="77777777" w:rsidTr="006B115A">
        <w:trPr>
          <w:trHeight w:val="57"/>
          <w:jc w:val="right"/>
        </w:trPr>
        <w:tc>
          <w:tcPr>
            <w:tcW w:w="2255" w:type="dxa"/>
            <w:vMerge/>
          </w:tcPr>
          <w:p w14:paraId="38A4EB7F" w14:textId="77777777" w:rsidR="00895852" w:rsidRPr="007C0EFF" w:rsidRDefault="00895852" w:rsidP="006B115A">
            <w:pPr>
              <w:pStyle w:val="Normal-pool"/>
              <w:tabs>
                <w:tab w:val="left" w:pos="300"/>
              </w:tabs>
              <w:spacing w:before="40" w:after="40"/>
              <w:ind w:left="57" w:right="57"/>
              <w:jc w:val="both"/>
              <w:rPr>
                <w:rFonts w:eastAsia="SimSun"/>
              </w:rPr>
            </w:pPr>
          </w:p>
        </w:tc>
        <w:tc>
          <w:tcPr>
            <w:tcW w:w="3274" w:type="dxa"/>
          </w:tcPr>
          <w:p w14:paraId="29EB318B" w14:textId="77777777" w:rsidR="00895852" w:rsidRPr="007C0EFF" w:rsidRDefault="00895852" w:rsidP="00895852">
            <w:pPr>
              <w:pStyle w:val="Normal-pool"/>
              <w:numPr>
                <w:ilvl w:val="0"/>
                <w:numId w:val="13"/>
              </w:numPr>
              <w:tabs>
                <w:tab w:val="clear" w:pos="1247"/>
                <w:tab w:val="left" w:pos="211"/>
              </w:tabs>
              <w:spacing w:before="40" w:after="40"/>
              <w:ind w:left="202" w:right="58" w:hanging="216"/>
              <w:jc w:val="both"/>
              <w:rPr>
                <w:rFonts w:eastAsia="SimSun"/>
                <w:lang w:eastAsia="zh-CN"/>
              </w:rPr>
            </w:pPr>
            <w:r w:rsidRPr="007C0EFF">
              <w:rPr>
                <w:rFonts w:eastAsia="SimSun"/>
                <w:lang w:val="zh-CN" w:eastAsia="zh-CN"/>
              </w:rPr>
              <w:t>审议关于塑料废物无害环境管理的技术准则增订草案。</w:t>
            </w:r>
          </w:p>
        </w:tc>
        <w:tc>
          <w:tcPr>
            <w:tcW w:w="1671" w:type="dxa"/>
          </w:tcPr>
          <w:p w14:paraId="3ED86322" w14:textId="77777777" w:rsidR="00895852" w:rsidRPr="007C0EFF" w:rsidRDefault="00895852" w:rsidP="006B115A">
            <w:pPr>
              <w:pStyle w:val="Normal-pool"/>
              <w:spacing w:before="40" w:after="40"/>
              <w:jc w:val="both"/>
              <w:rPr>
                <w:rFonts w:eastAsia="SimSun"/>
              </w:rPr>
            </w:pPr>
            <w:r w:rsidRPr="007C0EFF">
              <w:rPr>
                <w:rFonts w:eastAsia="SimSun"/>
                <w:lang w:val="zh-CN"/>
              </w:rPr>
              <w:t>BC-15/10</w:t>
            </w:r>
            <w:proofErr w:type="spellStart"/>
            <w:r w:rsidRPr="007C0EFF">
              <w:rPr>
                <w:rFonts w:eastAsia="SimSun"/>
                <w:lang w:val="zh-CN"/>
              </w:rPr>
              <w:t>号决定</w:t>
            </w:r>
            <w:proofErr w:type="spellEnd"/>
          </w:p>
        </w:tc>
        <w:tc>
          <w:tcPr>
            <w:tcW w:w="1107" w:type="dxa"/>
          </w:tcPr>
          <w:p w14:paraId="0E5FEDB1" w14:textId="77777777" w:rsidR="00895852" w:rsidRPr="007C0EFF"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0BFAA74D" w14:textId="77777777" w:rsidTr="006B115A">
        <w:trPr>
          <w:trHeight w:val="963"/>
          <w:jc w:val="right"/>
        </w:trPr>
        <w:tc>
          <w:tcPr>
            <w:tcW w:w="2255" w:type="dxa"/>
            <w:vMerge/>
          </w:tcPr>
          <w:p w14:paraId="375BA2CA" w14:textId="77777777" w:rsidR="00895852" w:rsidRPr="007C0EFF" w:rsidRDefault="00895852" w:rsidP="006B115A">
            <w:pPr>
              <w:pStyle w:val="Normal-pool"/>
              <w:tabs>
                <w:tab w:val="left" w:pos="300"/>
              </w:tabs>
              <w:spacing w:before="40" w:after="40"/>
              <w:ind w:left="57" w:right="57"/>
              <w:jc w:val="both"/>
              <w:rPr>
                <w:rFonts w:eastAsia="SimSun"/>
              </w:rPr>
            </w:pPr>
          </w:p>
        </w:tc>
        <w:tc>
          <w:tcPr>
            <w:tcW w:w="3274" w:type="dxa"/>
          </w:tcPr>
          <w:p w14:paraId="5180DDB9" w14:textId="77777777" w:rsidR="00895852" w:rsidRPr="007C0EFF" w:rsidRDefault="00895852" w:rsidP="00895852">
            <w:pPr>
              <w:pStyle w:val="Normal-pool"/>
              <w:numPr>
                <w:ilvl w:val="0"/>
                <w:numId w:val="13"/>
              </w:numPr>
              <w:tabs>
                <w:tab w:val="clear" w:pos="1247"/>
                <w:tab w:val="left" w:pos="211"/>
              </w:tabs>
              <w:spacing w:before="40" w:after="40"/>
              <w:ind w:left="202" w:right="58" w:hanging="216"/>
              <w:jc w:val="both"/>
              <w:rPr>
                <w:rFonts w:eastAsia="SimSun"/>
                <w:lang w:eastAsia="zh-CN"/>
              </w:rPr>
            </w:pPr>
            <w:r w:rsidRPr="007C0EFF">
              <w:rPr>
                <w:rFonts w:eastAsia="SimSun"/>
                <w:lang w:val="zh-CN" w:eastAsia="zh-CN"/>
              </w:rPr>
              <w:t>审议关于废铅酸电池无害环境管理的技术准则增订草案。</w:t>
            </w:r>
          </w:p>
        </w:tc>
        <w:tc>
          <w:tcPr>
            <w:tcW w:w="1671" w:type="dxa"/>
          </w:tcPr>
          <w:p w14:paraId="57C6E0D7" w14:textId="77777777" w:rsidR="00895852" w:rsidRPr="007C0EFF" w:rsidRDefault="00895852" w:rsidP="006B115A">
            <w:pPr>
              <w:pStyle w:val="Normal-pool"/>
              <w:spacing w:before="40" w:after="40"/>
              <w:jc w:val="both"/>
              <w:rPr>
                <w:rFonts w:eastAsia="SimSun"/>
              </w:rPr>
            </w:pPr>
            <w:r w:rsidRPr="007C0EFF">
              <w:rPr>
                <w:rFonts w:eastAsia="SimSun"/>
                <w:lang w:val="zh-CN"/>
              </w:rPr>
              <w:t>BC-15/11</w:t>
            </w:r>
            <w:proofErr w:type="spellStart"/>
            <w:r w:rsidRPr="007C0EFF">
              <w:rPr>
                <w:rFonts w:eastAsia="SimSun"/>
                <w:lang w:val="zh-CN"/>
              </w:rPr>
              <w:t>号决定</w:t>
            </w:r>
            <w:proofErr w:type="spellEnd"/>
          </w:p>
        </w:tc>
        <w:tc>
          <w:tcPr>
            <w:tcW w:w="1107" w:type="dxa"/>
          </w:tcPr>
          <w:p w14:paraId="03AC81C2" w14:textId="77777777" w:rsidR="00895852" w:rsidRPr="007C0EFF" w:rsidDel="00D46555"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21132979" w14:textId="77777777" w:rsidTr="006B115A">
        <w:trPr>
          <w:trHeight w:val="57"/>
          <w:jc w:val="right"/>
        </w:trPr>
        <w:tc>
          <w:tcPr>
            <w:tcW w:w="2255" w:type="dxa"/>
            <w:vMerge/>
          </w:tcPr>
          <w:p w14:paraId="29F0F4D0" w14:textId="77777777" w:rsidR="00895852" w:rsidRPr="007C0EFF" w:rsidRDefault="00895852" w:rsidP="006B115A">
            <w:pPr>
              <w:pStyle w:val="Normal-pool"/>
              <w:tabs>
                <w:tab w:val="left" w:pos="300"/>
              </w:tabs>
              <w:spacing w:before="40" w:after="40"/>
              <w:ind w:left="57" w:right="57"/>
              <w:jc w:val="both"/>
              <w:rPr>
                <w:rFonts w:eastAsia="SimSun"/>
              </w:rPr>
            </w:pPr>
          </w:p>
        </w:tc>
        <w:tc>
          <w:tcPr>
            <w:tcW w:w="3274" w:type="dxa"/>
          </w:tcPr>
          <w:p w14:paraId="1BECA01D" w14:textId="77777777" w:rsidR="00895852" w:rsidRPr="007C0EFF" w:rsidRDefault="00895852" w:rsidP="00895852">
            <w:pPr>
              <w:pStyle w:val="Normal-pool"/>
              <w:numPr>
                <w:ilvl w:val="0"/>
                <w:numId w:val="13"/>
              </w:numPr>
              <w:tabs>
                <w:tab w:val="clear" w:pos="1247"/>
                <w:tab w:val="left" w:pos="211"/>
              </w:tabs>
              <w:spacing w:before="40" w:after="40"/>
              <w:ind w:left="204" w:right="57" w:hanging="215"/>
              <w:jc w:val="both"/>
              <w:rPr>
                <w:rFonts w:eastAsia="SimSun"/>
                <w:lang w:eastAsia="zh-CN"/>
              </w:rPr>
            </w:pPr>
            <w:r w:rsidRPr="007C0EFF">
              <w:rPr>
                <w:rFonts w:eastAsia="SimSun"/>
                <w:lang w:val="zh-CN" w:eastAsia="zh-CN"/>
              </w:rPr>
              <w:t>审议关于废旧充气轮胎无害环境管理的技术准则增订草案。</w:t>
            </w:r>
          </w:p>
        </w:tc>
        <w:tc>
          <w:tcPr>
            <w:tcW w:w="1671" w:type="dxa"/>
          </w:tcPr>
          <w:p w14:paraId="5FC73620" w14:textId="77777777" w:rsidR="00895852" w:rsidRPr="007C0EFF" w:rsidRDefault="00895852" w:rsidP="006B115A">
            <w:pPr>
              <w:pStyle w:val="Normal-pool"/>
              <w:spacing w:before="40" w:after="40"/>
              <w:jc w:val="both"/>
              <w:rPr>
                <w:rFonts w:eastAsia="SimSun"/>
              </w:rPr>
            </w:pPr>
            <w:r w:rsidRPr="007C0EFF">
              <w:rPr>
                <w:rFonts w:eastAsia="SimSun"/>
                <w:lang w:val="zh-CN"/>
              </w:rPr>
              <w:t>BC-15/15</w:t>
            </w:r>
            <w:proofErr w:type="spellStart"/>
            <w:r w:rsidRPr="007C0EFF">
              <w:rPr>
                <w:rFonts w:eastAsia="SimSun"/>
                <w:lang w:val="zh-CN"/>
              </w:rPr>
              <w:t>号决定</w:t>
            </w:r>
            <w:proofErr w:type="spellEnd"/>
          </w:p>
        </w:tc>
        <w:tc>
          <w:tcPr>
            <w:tcW w:w="1107" w:type="dxa"/>
          </w:tcPr>
          <w:p w14:paraId="78744F4D" w14:textId="77777777" w:rsidR="00895852" w:rsidRPr="007C0EFF" w:rsidRDefault="00895852" w:rsidP="006B115A">
            <w:pPr>
              <w:pStyle w:val="Normal-pool"/>
              <w:spacing w:before="40" w:after="40"/>
              <w:jc w:val="both"/>
              <w:rPr>
                <w:rFonts w:eastAsia="SimSun"/>
              </w:rPr>
            </w:pPr>
            <w:r w:rsidRPr="007C0EFF">
              <w:rPr>
                <w:rFonts w:eastAsia="SimSun"/>
                <w:lang w:val="zh-CN"/>
              </w:rPr>
              <w:t>中</w:t>
            </w:r>
          </w:p>
        </w:tc>
      </w:tr>
      <w:tr w:rsidR="00895852" w:rsidRPr="002A632F" w14:paraId="1A2CBB0E" w14:textId="77777777" w:rsidTr="006B115A">
        <w:trPr>
          <w:trHeight w:val="57"/>
          <w:jc w:val="right"/>
        </w:trPr>
        <w:tc>
          <w:tcPr>
            <w:tcW w:w="2255" w:type="dxa"/>
            <w:vMerge/>
            <w:tcBorders>
              <w:bottom w:val="single" w:sz="4" w:space="0" w:color="auto"/>
            </w:tcBorders>
          </w:tcPr>
          <w:p w14:paraId="772ABB07" w14:textId="77777777" w:rsidR="00895852" w:rsidRPr="007C0EFF" w:rsidRDefault="00895852" w:rsidP="006B115A">
            <w:pPr>
              <w:pStyle w:val="Normal-pool"/>
              <w:tabs>
                <w:tab w:val="left" w:pos="300"/>
              </w:tabs>
              <w:spacing w:before="40" w:after="40"/>
              <w:ind w:left="57" w:right="57"/>
              <w:jc w:val="both"/>
              <w:rPr>
                <w:rFonts w:eastAsia="SimSun"/>
              </w:rPr>
            </w:pPr>
          </w:p>
        </w:tc>
        <w:tc>
          <w:tcPr>
            <w:tcW w:w="3274" w:type="dxa"/>
            <w:tcBorders>
              <w:bottom w:val="single" w:sz="4" w:space="0" w:color="auto"/>
            </w:tcBorders>
          </w:tcPr>
          <w:p w14:paraId="3D5604F6" w14:textId="77777777" w:rsidR="00895852" w:rsidRPr="007C0EFF" w:rsidRDefault="00895852" w:rsidP="00895852">
            <w:pPr>
              <w:pStyle w:val="Normal-pool"/>
              <w:numPr>
                <w:ilvl w:val="0"/>
                <w:numId w:val="13"/>
              </w:numPr>
              <w:tabs>
                <w:tab w:val="clear" w:pos="1247"/>
                <w:tab w:val="left" w:pos="211"/>
              </w:tabs>
              <w:spacing w:before="40" w:after="40"/>
              <w:ind w:left="202" w:right="58" w:hanging="216"/>
              <w:jc w:val="both"/>
              <w:rPr>
                <w:rFonts w:eastAsia="SimSun"/>
                <w:lang w:eastAsia="zh-CN"/>
              </w:rPr>
            </w:pPr>
            <w:r w:rsidRPr="007C0EFF">
              <w:rPr>
                <w:rFonts w:eastAsia="SimSun"/>
                <w:lang w:val="zh-CN" w:eastAsia="zh-CN"/>
              </w:rPr>
              <w:t>审议是否应当制定关于废橡胶（条目</w:t>
            </w:r>
            <w:r w:rsidRPr="007C0EFF">
              <w:rPr>
                <w:rFonts w:eastAsia="SimSun"/>
                <w:lang w:val="zh-CN" w:eastAsia="zh-CN"/>
              </w:rPr>
              <w:t>B3040</w:t>
            </w:r>
            <w:r w:rsidRPr="007C0EFF">
              <w:rPr>
                <w:rFonts w:eastAsia="SimSun"/>
                <w:lang w:val="zh-CN" w:eastAsia="zh-CN"/>
              </w:rPr>
              <w:t>）及</w:t>
            </w:r>
            <w:proofErr w:type="gramStart"/>
            <w:r w:rsidRPr="007C0EFF">
              <w:rPr>
                <w:rFonts w:eastAsia="SimSun"/>
                <w:lang w:val="zh-CN" w:eastAsia="zh-CN"/>
              </w:rPr>
              <w:t>废片屑</w:t>
            </w:r>
            <w:proofErr w:type="gramEnd"/>
            <w:r w:rsidRPr="007C0EFF">
              <w:rPr>
                <w:rFonts w:eastAsia="SimSun"/>
                <w:lang w:val="zh-CN" w:eastAsia="zh-CN"/>
              </w:rPr>
              <w:t>和碎橡胶（条目</w:t>
            </w:r>
            <w:r w:rsidRPr="007C0EFF">
              <w:rPr>
                <w:rFonts w:eastAsia="SimSun"/>
                <w:lang w:val="zh-CN" w:eastAsia="zh-CN"/>
              </w:rPr>
              <w:t>B3080</w:t>
            </w:r>
            <w:r w:rsidRPr="007C0EFF">
              <w:rPr>
                <w:rFonts w:eastAsia="SimSun"/>
                <w:lang w:val="zh-CN" w:eastAsia="zh-CN"/>
              </w:rPr>
              <w:t>）无害环境管理的技术准则；</w:t>
            </w:r>
          </w:p>
        </w:tc>
        <w:tc>
          <w:tcPr>
            <w:tcW w:w="1671" w:type="dxa"/>
            <w:tcBorders>
              <w:bottom w:val="single" w:sz="4" w:space="0" w:color="auto"/>
            </w:tcBorders>
          </w:tcPr>
          <w:p w14:paraId="2809304E" w14:textId="77777777" w:rsidR="00895852" w:rsidRPr="007C0EFF" w:rsidRDefault="00895852" w:rsidP="006B115A">
            <w:pPr>
              <w:pStyle w:val="Normal-pool"/>
              <w:spacing w:before="40" w:after="40"/>
              <w:jc w:val="both"/>
              <w:rPr>
                <w:rFonts w:eastAsia="SimSun"/>
              </w:rPr>
            </w:pPr>
            <w:r w:rsidRPr="007C0EFF">
              <w:rPr>
                <w:rFonts w:eastAsia="SimSun"/>
                <w:lang w:val="zh-CN"/>
              </w:rPr>
              <w:t>BC-15/15</w:t>
            </w:r>
            <w:proofErr w:type="spellStart"/>
            <w:r w:rsidRPr="007C0EFF">
              <w:rPr>
                <w:rFonts w:eastAsia="SimSun"/>
                <w:lang w:val="zh-CN"/>
              </w:rPr>
              <w:t>号决定</w:t>
            </w:r>
            <w:proofErr w:type="spellEnd"/>
          </w:p>
        </w:tc>
        <w:tc>
          <w:tcPr>
            <w:tcW w:w="1107" w:type="dxa"/>
            <w:tcBorders>
              <w:bottom w:val="single" w:sz="4" w:space="0" w:color="auto"/>
            </w:tcBorders>
          </w:tcPr>
          <w:p w14:paraId="038ED923" w14:textId="77777777" w:rsidR="00895852" w:rsidRPr="007C0EFF" w:rsidRDefault="00895852" w:rsidP="006B115A">
            <w:pPr>
              <w:pStyle w:val="Normal-pool"/>
              <w:spacing w:before="40" w:after="40"/>
              <w:jc w:val="both"/>
              <w:rPr>
                <w:rFonts w:eastAsia="SimSun"/>
              </w:rPr>
            </w:pPr>
            <w:r w:rsidRPr="007C0EFF">
              <w:rPr>
                <w:rFonts w:eastAsia="SimSun"/>
                <w:lang w:val="zh-CN"/>
              </w:rPr>
              <w:t>中</w:t>
            </w:r>
          </w:p>
        </w:tc>
      </w:tr>
      <w:tr w:rsidR="00895852" w:rsidRPr="002A632F" w14:paraId="7EB00285" w14:textId="77777777" w:rsidTr="006B115A">
        <w:trPr>
          <w:trHeight w:val="57"/>
          <w:jc w:val="right"/>
        </w:trPr>
        <w:tc>
          <w:tcPr>
            <w:tcW w:w="2255" w:type="dxa"/>
            <w:tcBorders>
              <w:top w:val="single" w:sz="4" w:space="0" w:color="auto"/>
              <w:bottom w:val="single" w:sz="4" w:space="0" w:color="auto"/>
            </w:tcBorders>
            <w:hideMark/>
          </w:tcPr>
          <w:p w14:paraId="4110C96C" w14:textId="77777777" w:rsidR="00895852" w:rsidRPr="007C0EFF" w:rsidRDefault="00895852" w:rsidP="00895852">
            <w:pPr>
              <w:pStyle w:val="Normal-pool"/>
              <w:numPr>
                <w:ilvl w:val="0"/>
                <w:numId w:val="14"/>
              </w:numPr>
              <w:tabs>
                <w:tab w:val="clear" w:pos="1247"/>
                <w:tab w:val="left" w:pos="300"/>
              </w:tabs>
              <w:spacing w:before="40" w:after="40"/>
              <w:ind w:left="318" w:right="57" w:hanging="284"/>
              <w:jc w:val="both"/>
              <w:rPr>
                <w:rFonts w:eastAsia="SimSun"/>
                <w:lang w:eastAsia="zh-CN"/>
              </w:rPr>
            </w:pPr>
            <w:r w:rsidRPr="007C0EFF">
              <w:rPr>
                <w:rFonts w:eastAsia="SimSun"/>
                <w:lang w:val="zh-CN" w:eastAsia="zh-CN"/>
              </w:rPr>
              <w:t>通知书和转移文件采用电子形式</w:t>
            </w:r>
          </w:p>
        </w:tc>
        <w:tc>
          <w:tcPr>
            <w:tcW w:w="3274" w:type="dxa"/>
            <w:tcBorders>
              <w:top w:val="single" w:sz="4" w:space="0" w:color="auto"/>
              <w:bottom w:val="single" w:sz="4" w:space="0" w:color="auto"/>
            </w:tcBorders>
            <w:hideMark/>
          </w:tcPr>
          <w:p w14:paraId="3C0C1D0F" w14:textId="77777777" w:rsidR="00895852" w:rsidRPr="007C0EFF" w:rsidRDefault="00895852" w:rsidP="006B115A">
            <w:pPr>
              <w:pStyle w:val="Normal-pool"/>
              <w:spacing w:before="40" w:after="40"/>
              <w:ind w:left="57" w:right="57"/>
              <w:jc w:val="both"/>
              <w:rPr>
                <w:rFonts w:eastAsia="SimSun"/>
                <w:lang w:eastAsia="zh-CN"/>
              </w:rPr>
            </w:pPr>
            <w:r w:rsidRPr="007C0EFF">
              <w:rPr>
                <w:rFonts w:eastAsia="SimSun"/>
                <w:lang w:val="zh-CN" w:eastAsia="zh-CN"/>
              </w:rPr>
              <w:t>审议就通知书和转移文件采用电子形式的下一步工作提出建议的报告。</w:t>
            </w:r>
          </w:p>
        </w:tc>
        <w:tc>
          <w:tcPr>
            <w:tcW w:w="1671" w:type="dxa"/>
            <w:tcBorders>
              <w:top w:val="single" w:sz="4" w:space="0" w:color="auto"/>
              <w:bottom w:val="single" w:sz="4" w:space="0" w:color="auto"/>
            </w:tcBorders>
            <w:hideMark/>
          </w:tcPr>
          <w:p w14:paraId="37C3A6B6" w14:textId="77777777" w:rsidR="00895852" w:rsidRPr="007C0EFF" w:rsidRDefault="00895852" w:rsidP="006B115A">
            <w:pPr>
              <w:pStyle w:val="Normal-pool"/>
              <w:spacing w:before="40" w:after="40"/>
              <w:jc w:val="both"/>
              <w:rPr>
                <w:rFonts w:eastAsia="SimSun"/>
              </w:rPr>
            </w:pPr>
            <w:r w:rsidRPr="007C0EFF">
              <w:rPr>
                <w:rFonts w:eastAsia="SimSun"/>
                <w:lang w:val="zh-CN"/>
              </w:rPr>
              <w:t>BC-15/14</w:t>
            </w:r>
            <w:proofErr w:type="spellStart"/>
            <w:r w:rsidRPr="007C0EFF">
              <w:rPr>
                <w:rFonts w:eastAsia="SimSun"/>
                <w:lang w:val="zh-CN"/>
              </w:rPr>
              <w:t>号决定</w:t>
            </w:r>
            <w:proofErr w:type="spellEnd"/>
          </w:p>
        </w:tc>
        <w:tc>
          <w:tcPr>
            <w:tcW w:w="1107" w:type="dxa"/>
            <w:tcBorders>
              <w:top w:val="single" w:sz="4" w:space="0" w:color="auto"/>
              <w:bottom w:val="single" w:sz="4" w:space="0" w:color="auto"/>
            </w:tcBorders>
            <w:hideMark/>
          </w:tcPr>
          <w:p w14:paraId="67DF5AEC" w14:textId="77777777" w:rsidR="00895852" w:rsidRPr="007C0EFF" w:rsidRDefault="00895852" w:rsidP="006B115A">
            <w:pPr>
              <w:pStyle w:val="Normal-pool"/>
              <w:spacing w:before="40" w:after="40"/>
              <w:jc w:val="both"/>
              <w:rPr>
                <w:rFonts w:eastAsia="SimSun"/>
              </w:rPr>
            </w:pPr>
            <w:r w:rsidRPr="007C0EFF">
              <w:rPr>
                <w:rFonts w:eastAsia="SimSun"/>
                <w:lang w:val="zh-CN"/>
              </w:rPr>
              <w:t>中</w:t>
            </w:r>
          </w:p>
        </w:tc>
      </w:tr>
      <w:tr w:rsidR="00895852" w:rsidRPr="002A632F" w14:paraId="1AFA7E38" w14:textId="77777777" w:rsidTr="006B115A">
        <w:trPr>
          <w:trHeight w:val="57"/>
          <w:jc w:val="right"/>
        </w:trPr>
        <w:tc>
          <w:tcPr>
            <w:tcW w:w="2255" w:type="dxa"/>
            <w:tcBorders>
              <w:top w:val="single" w:sz="4" w:space="0" w:color="auto"/>
              <w:bottom w:val="single" w:sz="4" w:space="0" w:color="auto"/>
            </w:tcBorders>
            <w:hideMark/>
          </w:tcPr>
          <w:p w14:paraId="415DB302" w14:textId="77777777" w:rsidR="00895852" w:rsidRPr="007C0EFF" w:rsidRDefault="00895852" w:rsidP="00895852">
            <w:pPr>
              <w:pStyle w:val="Normal-pool"/>
              <w:numPr>
                <w:ilvl w:val="0"/>
                <w:numId w:val="14"/>
              </w:numPr>
              <w:tabs>
                <w:tab w:val="clear" w:pos="1247"/>
                <w:tab w:val="left" w:pos="300"/>
              </w:tabs>
              <w:spacing w:before="40" w:after="40"/>
              <w:ind w:left="318" w:right="57" w:hanging="284"/>
              <w:jc w:val="both"/>
              <w:rPr>
                <w:rFonts w:eastAsia="SimSun"/>
                <w:lang w:eastAsia="zh-CN"/>
              </w:rPr>
            </w:pPr>
            <w:r w:rsidRPr="007C0EFF">
              <w:rPr>
                <w:rFonts w:eastAsia="SimSun"/>
                <w:lang w:val="zh-CN" w:eastAsia="zh-CN"/>
              </w:rPr>
              <w:t>进一步审议塑料废物问题</w:t>
            </w:r>
          </w:p>
        </w:tc>
        <w:tc>
          <w:tcPr>
            <w:tcW w:w="3274" w:type="dxa"/>
            <w:tcBorders>
              <w:top w:val="single" w:sz="4" w:space="0" w:color="auto"/>
              <w:bottom w:val="single" w:sz="4" w:space="0" w:color="auto"/>
            </w:tcBorders>
            <w:hideMark/>
          </w:tcPr>
          <w:p w14:paraId="42A935F5" w14:textId="77777777" w:rsidR="00895852" w:rsidRPr="007C0EFF" w:rsidRDefault="00895852" w:rsidP="006B115A">
            <w:pPr>
              <w:pStyle w:val="Normal-pool"/>
              <w:spacing w:before="40" w:after="40"/>
              <w:ind w:left="57" w:right="57"/>
              <w:jc w:val="both"/>
              <w:rPr>
                <w:rFonts w:eastAsia="SimSun"/>
                <w:color w:val="000000"/>
                <w:lang w:eastAsia="zh-CN"/>
              </w:rPr>
            </w:pPr>
            <w:r w:rsidRPr="007C0EFF">
              <w:rPr>
                <w:rFonts w:eastAsia="SimSun"/>
                <w:lang w:val="zh-CN" w:eastAsia="zh-CN"/>
              </w:rPr>
              <w:t>审议根据塑料废物作为土地污染、海洋塑料垃圾和微塑料的来源方面的科学知识和环境信息的发展，可在《巴塞尔公约》下开展的进一步活动。</w:t>
            </w:r>
          </w:p>
        </w:tc>
        <w:tc>
          <w:tcPr>
            <w:tcW w:w="1671" w:type="dxa"/>
            <w:tcBorders>
              <w:top w:val="single" w:sz="4" w:space="0" w:color="auto"/>
              <w:bottom w:val="single" w:sz="4" w:space="0" w:color="auto"/>
            </w:tcBorders>
            <w:hideMark/>
          </w:tcPr>
          <w:p w14:paraId="7087D6DC" w14:textId="77777777" w:rsidR="00895852" w:rsidRPr="007C0EFF" w:rsidRDefault="00895852" w:rsidP="006B115A">
            <w:pPr>
              <w:pStyle w:val="Normal-pool"/>
              <w:spacing w:before="40" w:after="40"/>
              <w:jc w:val="both"/>
              <w:rPr>
                <w:rFonts w:eastAsia="SimSun"/>
              </w:rPr>
            </w:pPr>
            <w:r w:rsidRPr="007C0EFF">
              <w:rPr>
                <w:rFonts w:eastAsia="SimSun"/>
                <w:lang w:val="zh-CN"/>
              </w:rPr>
              <w:t>BC-15/15</w:t>
            </w:r>
            <w:proofErr w:type="spellStart"/>
            <w:r w:rsidRPr="007C0EFF">
              <w:rPr>
                <w:rFonts w:eastAsia="SimSun"/>
                <w:lang w:val="zh-CN"/>
              </w:rPr>
              <w:t>号决定</w:t>
            </w:r>
            <w:proofErr w:type="spellEnd"/>
          </w:p>
        </w:tc>
        <w:tc>
          <w:tcPr>
            <w:tcW w:w="1107" w:type="dxa"/>
            <w:tcBorders>
              <w:top w:val="single" w:sz="4" w:space="0" w:color="auto"/>
              <w:bottom w:val="single" w:sz="4" w:space="0" w:color="auto"/>
            </w:tcBorders>
            <w:hideMark/>
          </w:tcPr>
          <w:p w14:paraId="264AB47A" w14:textId="77777777" w:rsidR="00895852" w:rsidRPr="007C0EFF" w:rsidRDefault="00895852" w:rsidP="006B115A">
            <w:pPr>
              <w:pStyle w:val="Normal-pool"/>
              <w:spacing w:before="40" w:after="40"/>
              <w:jc w:val="both"/>
              <w:rPr>
                <w:rFonts w:eastAsia="SimSun"/>
              </w:rPr>
            </w:pPr>
            <w:r w:rsidRPr="007C0EFF">
              <w:rPr>
                <w:rFonts w:eastAsia="SimSun"/>
                <w:lang w:val="zh-CN"/>
              </w:rPr>
              <w:t>中</w:t>
            </w:r>
          </w:p>
        </w:tc>
      </w:tr>
      <w:tr w:rsidR="00895852" w:rsidRPr="002A632F" w14:paraId="705690E0" w14:textId="77777777" w:rsidTr="006B115A">
        <w:trPr>
          <w:trHeight w:val="57"/>
          <w:jc w:val="right"/>
        </w:trPr>
        <w:tc>
          <w:tcPr>
            <w:tcW w:w="2255" w:type="dxa"/>
            <w:tcBorders>
              <w:top w:val="single" w:sz="4" w:space="0" w:color="auto"/>
              <w:bottom w:val="single" w:sz="4" w:space="0" w:color="auto"/>
            </w:tcBorders>
            <w:hideMark/>
          </w:tcPr>
          <w:p w14:paraId="16C8F247" w14:textId="77777777" w:rsidR="00895852" w:rsidRPr="007C0EFF" w:rsidRDefault="00895852" w:rsidP="00895852">
            <w:pPr>
              <w:pStyle w:val="Normal-pool"/>
              <w:keepNext/>
              <w:keepLines/>
              <w:numPr>
                <w:ilvl w:val="0"/>
                <w:numId w:val="14"/>
              </w:numPr>
              <w:tabs>
                <w:tab w:val="clear" w:pos="1247"/>
                <w:tab w:val="left" w:pos="300"/>
              </w:tabs>
              <w:spacing w:before="40" w:after="40"/>
              <w:ind w:left="318" w:right="57" w:hanging="284"/>
              <w:jc w:val="both"/>
              <w:rPr>
                <w:rFonts w:eastAsia="SimSun"/>
              </w:rPr>
            </w:pPr>
            <w:proofErr w:type="spellStart"/>
            <w:r w:rsidRPr="007C0EFF">
              <w:rPr>
                <w:rFonts w:eastAsia="SimSun"/>
                <w:lang w:val="zh-CN"/>
              </w:rPr>
              <w:lastRenderedPageBreak/>
              <w:t>含纳米材料的废物</w:t>
            </w:r>
            <w:proofErr w:type="spellEnd"/>
          </w:p>
        </w:tc>
        <w:tc>
          <w:tcPr>
            <w:tcW w:w="3274" w:type="dxa"/>
            <w:tcBorders>
              <w:top w:val="single" w:sz="4" w:space="0" w:color="auto"/>
              <w:bottom w:val="single" w:sz="4" w:space="0" w:color="auto"/>
            </w:tcBorders>
            <w:hideMark/>
          </w:tcPr>
          <w:p w14:paraId="36034FA8" w14:textId="77777777" w:rsidR="00895852" w:rsidRPr="007C0EFF" w:rsidRDefault="00895852" w:rsidP="006B115A">
            <w:pPr>
              <w:pStyle w:val="Normal-pool"/>
              <w:keepNext/>
              <w:keepLines/>
              <w:spacing w:before="40" w:after="40"/>
              <w:ind w:left="57" w:right="57"/>
              <w:jc w:val="both"/>
              <w:rPr>
                <w:rFonts w:eastAsia="SimSun"/>
                <w:lang w:eastAsia="zh-CN"/>
              </w:rPr>
            </w:pPr>
            <w:r w:rsidRPr="007C0EFF">
              <w:rPr>
                <w:rFonts w:eastAsia="SimSun"/>
                <w:lang w:val="zh-CN" w:eastAsia="zh-CN"/>
              </w:rPr>
              <w:t>审议关于为处理含纳米材料废物问题而开展的活动的信息。</w:t>
            </w:r>
          </w:p>
        </w:tc>
        <w:tc>
          <w:tcPr>
            <w:tcW w:w="1671" w:type="dxa"/>
            <w:tcBorders>
              <w:top w:val="single" w:sz="4" w:space="0" w:color="auto"/>
              <w:bottom w:val="single" w:sz="4" w:space="0" w:color="auto"/>
            </w:tcBorders>
            <w:hideMark/>
          </w:tcPr>
          <w:p w14:paraId="3813ACE9" w14:textId="77777777" w:rsidR="00895852" w:rsidRPr="007C0EFF" w:rsidRDefault="00895852" w:rsidP="006B115A">
            <w:pPr>
              <w:pStyle w:val="Normal-pool"/>
              <w:keepNext/>
              <w:keepLines/>
              <w:spacing w:before="40" w:after="40"/>
              <w:jc w:val="both"/>
              <w:rPr>
                <w:rFonts w:eastAsia="SimSun"/>
              </w:rPr>
            </w:pPr>
            <w:r w:rsidRPr="007C0EFF">
              <w:rPr>
                <w:rFonts w:eastAsia="SimSun"/>
                <w:lang w:val="zh-CN"/>
              </w:rPr>
              <w:t>BC-15/16</w:t>
            </w:r>
            <w:proofErr w:type="spellStart"/>
            <w:r w:rsidRPr="007C0EFF">
              <w:rPr>
                <w:rFonts w:eastAsia="SimSun"/>
                <w:lang w:val="zh-CN"/>
              </w:rPr>
              <w:t>号决定</w:t>
            </w:r>
            <w:proofErr w:type="spellEnd"/>
          </w:p>
        </w:tc>
        <w:tc>
          <w:tcPr>
            <w:tcW w:w="1107" w:type="dxa"/>
            <w:tcBorders>
              <w:top w:val="single" w:sz="4" w:space="0" w:color="auto"/>
              <w:bottom w:val="single" w:sz="4" w:space="0" w:color="auto"/>
            </w:tcBorders>
            <w:hideMark/>
          </w:tcPr>
          <w:p w14:paraId="65DD280E" w14:textId="77777777" w:rsidR="00895852" w:rsidRPr="007C0EFF" w:rsidRDefault="00895852" w:rsidP="006B115A">
            <w:pPr>
              <w:pStyle w:val="Normal-pool"/>
              <w:keepNext/>
              <w:keepLines/>
              <w:spacing w:before="40" w:after="40"/>
              <w:jc w:val="both"/>
              <w:rPr>
                <w:rFonts w:eastAsia="SimSun"/>
              </w:rPr>
            </w:pPr>
            <w:r w:rsidRPr="007C0EFF">
              <w:rPr>
                <w:rFonts w:eastAsia="SimSun"/>
                <w:lang w:val="zh-CN"/>
              </w:rPr>
              <w:t>中</w:t>
            </w:r>
          </w:p>
        </w:tc>
      </w:tr>
      <w:tr w:rsidR="00895852" w:rsidRPr="002A632F" w14:paraId="7A2471F1" w14:textId="77777777" w:rsidTr="006B115A">
        <w:trPr>
          <w:trHeight w:val="57"/>
          <w:jc w:val="right"/>
        </w:trPr>
        <w:tc>
          <w:tcPr>
            <w:tcW w:w="2255" w:type="dxa"/>
            <w:tcBorders>
              <w:top w:val="single" w:sz="4" w:space="0" w:color="auto"/>
              <w:bottom w:val="single" w:sz="4" w:space="0" w:color="auto"/>
            </w:tcBorders>
          </w:tcPr>
          <w:p w14:paraId="4400E1E1" w14:textId="77777777" w:rsidR="00895852" w:rsidRPr="007C0EFF" w:rsidRDefault="00895852" w:rsidP="00895852">
            <w:pPr>
              <w:pStyle w:val="Normal-pool"/>
              <w:numPr>
                <w:ilvl w:val="0"/>
                <w:numId w:val="14"/>
              </w:numPr>
              <w:tabs>
                <w:tab w:val="clear" w:pos="1247"/>
                <w:tab w:val="left" w:pos="300"/>
              </w:tabs>
              <w:spacing w:before="40" w:after="40"/>
              <w:ind w:left="318" w:right="57" w:hanging="284"/>
              <w:jc w:val="both"/>
              <w:rPr>
                <w:rFonts w:eastAsia="SimSun"/>
                <w:lang w:eastAsia="zh-CN"/>
              </w:rPr>
            </w:pPr>
            <w:r w:rsidRPr="007C0EFF">
              <w:rPr>
                <w:rFonts w:eastAsia="SimSun"/>
                <w:lang w:val="zh-CN" w:eastAsia="zh-CN"/>
              </w:rPr>
              <w:t>对关于电子废物的附件二、八和九的修正</w:t>
            </w:r>
          </w:p>
        </w:tc>
        <w:tc>
          <w:tcPr>
            <w:tcW w:w="3274" w:type="dxa"/>
            <w:tcBorders>
              <w:top w:val="single" w:sz="4" w:space="0" w:color="auto"/>
              <w:bottom w:val="single" w:sz="4" w:space="0" w:color="auto"/>
            </w:tcBorders>
          </w:tcPr>
          <w:p w14:paraId="70E63BFE" w14:textId="77777777" w:rsidR="00895852" w:rsidRPr="007C0EFF" w:rsidRDefault="00895852" w:rsidP="006B115A">
            <w:pPr>
              <w:pStyle w:val="Normal-pool"/>
              <w:spacing w:before="40" w:after="40"/>
              <w:ind w:left="57" w:right="57"/>
              <w:jc w:val="both"/>
              <w:rPr>
                <w:rFonts w:eastAsia="SimSun"/>
                <w:lang w:eastAsia="zh-CN"/>
              </w:rPr>
            </w:pPr>
            <w:r w:rsidRPr="007C0EFF">
              <w:rPr>
                <w:rFonts w:eastAsia="SimSun"/>
                <w:lang w:val="zh-CN" w:eastAsia="zh-CN"/>
              </w:rPr>
              <w:t>考虑是否有必要增订现有的指导意见、技术准则和概况介绍，以反映</w:t>
            </w:r>
            <w:proofErr w:type="gramStart"/>
            <w:r w:rsidRPr="007C0EFF">
              <w:rPr>
                <w:rFonts w:eastAsia="SimSun"/>
                <w:lang w:val="zh-CN" w:eastAsia="zh-CN"/>
              </w:rPr>
              <w:t>因通过</w:t>
            </w:r>
            <w:proofErr w:type="gramEnd"/>
            <w:r w:rsidRPr="007C0EFF">
              <w:rPr>
                <w:rFonts w:eastAsia="SimSun"/>
                <w:lang w:val="zh-CN" w:eastAsia="zh-CN"/>
              </w:rPr>
              <w:t>电子废物修正而</w:t>
            </w:r>
            <w:proofErr w:type="gramStart"/>
            <w:r w:rsidRPr="007C0EFF">
              <w:rPr>
                <w:rFonts w:eastAsia="SimSun"/>
                <w:lang w:val="zh-CN" w:eastAsia="zh-CN"/>
              </w:rPr>
              <w:t>作出</w:t>
            </w:r>
            <w:proofErr w:type="gramEnd"/>
            <w:r w:rsidRPr="007C0EFF">
              <w:rPr>
                <w:rFonts w:eastAsia="SimSun"/>
                <w:lang w:val="zh-CN" w:eastAsia="zh-CN"/>
              </w:rPr>
              <w:t>的调整。</w:t>
            </w:r>
          </w:p>
        </w:tc>
        <w:tc>
          <w:tcPr>
            <w:tcW w:w="1671" w:type="dxa"/>
            <w:tcBorders>
              <w:top w:val="single" w:sz="4" w:space="0" w:color="auto"/>
              <w:bottom w:val="single" w:sz="4" w:space="0" w:color="auto"/>
            </w:tcBorders>
          </w:tcPr>
          <w:p w14:paraId="4B987583" w14:textId="77777777" w:rsidR="00895852" w:rsidRPr="007C0EFF" w:rsidRDefault="00895852" w:rsidP="006B115A">
            <w:pPr>
              <w:pStyle w:val="Normal-pool"/>
              <w:spacing w:before="40" w:after="40"/>
              <w:jc w:val="both"/>
              <w:rPr>
                <w:rFonts w:eastAsia="SimSun"/>
              </w:rPr>
            </w:pPr>
            <w:r w:rsidRPr="007C0EFF">
              <w:rPr>
                <w:rFonts w:eastAsia="SimSun"/>
                <w:lang w:val="zh-CN"/>
              </w:rPr>
              <w:t>BC-15/18</w:t>
            </w:r>
            <w:proofErr w:type="spellStart"/>
            <w:r w:rsidRPr="007C0EFF">
              <w:rPr>
                <w:rFonts w:eastAsia="SimSun"/>
                <w:lang w:val="zh-CN"/>
              </w:rPr>
              <w:t>号决定</w:t>
            </w:r>
            <w:proofErr w:type="spellEnd"/>
          </w:p>
        </w:tc>
        <w:tc>
          <w:tcPr>
            <w:tcW w:w="1107" w:type="dxa"/>
            <w:tcBorders>
              <w:top w:val="single" w:sz="4" w:space="0" w:color="auto"/>
              <w:bottom w:val="single" w:sz="4" w:space="0" w:color="auto"/>
            </w:tcBorders>
          </w:tcPr>
          <w:p w14:paraId="32E0EE58" w14:textId="77777777" w:rsidR="00895852" w:rsidRPr="007C0EFF"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5E1A4227" w14:textId="77777777" w:rsidTr="006B115A">
        <w:trPr>
          <w:trHeight w:val="57"/>
          <w:jc w:val="right"/>
        </w:trPr>
        <w:tc>
          <w:tcPr>
            <w:tcW w:w="2255" w:type="dxa"/>
            <w:tcBorders>
              <w:top w:val="single" w:sz="4" w:space="0" w:color="auto"/>
              <w:bottom w:val="single" w:sz="4" w:space="0" w:color="auto"/>
            </w:tcBorders>
          </w:tcPr>
          <w:p w14:paraId="633431CB" w14:textId="77777777" w:rsidR="00895852" w:rsidRPr="007C0EFF" w:rsidRDefault="00895852" w:rsidP="00895852">
            <w:pPr>
              <w:pStyle w:val="Normal-pool"/>
              <w:numPr>
                <w:ilvl w:val="0"/>
                <w:numId w:val="14"/>
              </w:numPr>
              <w:tabs>
                <w:tab w:val="clear" w:pos="1247"/>
                <w:tab w:val="left" w:pos="300"/>
              </w:tabs>
              <w:spacing w:before="40" w:after="40"/>
              <w:ind w:left="318" w:right="57" w:hanging="284"/>
              <w:jc w:val="both"/>
              <w:rPr>
                <w:rFonts w:eastAsia="SimSun"/>
                <w:lang w:eastAsia="zh-CN"/>
              </w:rPr>
            </w:pPr>
            <w:r w:rsidRPr="007C0EFF">
              <w:rPr>
                <w:rFonts w:eastAsia="SimSun"/>
                <w:lang w:val="zh-CN" w:eastAsia="zh-CN"/>
              </w:rPr>
              <w:t>对《巴塞尔公约》各项附件的修正</w:t>
            </w:r>
          </w:p>
        </w:tc>
        <w:tc>
          <w:tcPr>
            <w:tcW w:w="3274" w:type="dxa"/>
            <w:tcBorders>
              <w:top w:val="single" w:sz="4" w:space="0" w:color="auto"/>
              <w:bottom w:val="single" w:sz="4" w:space="0" w:color="auto"/>
            </w:tcBorders>
          </w:tcPr>
          <w:p w14:paraId="646733B4" w14:textId="77777777" w:rsidR="00895852" w:rsidRPr="007C0EFF" w:rsidRDefault="00895852" w:rsidP="006B115A">
            <w:pPr>
              <w:pStyle w:val="Normal-pool"/>
              <w:spacing w:before="40" w:after="40"/>
              <w:ind w:left="57" w:right="57"/>
              <w:jc w:val="both"/>
              <w:rPr>
                <w:rFonts w:eastAsia="SimSun"/>
                <w:lang w:eastAsia="zh-CN"/>
              </w:rPr>
            </w:pPr>
            <w:r w:rsidRPr="007C0EFF">
              <w:rPr>
                <w:rFonts w:eastAsia="SimSun"/>
                <w:lang w:val="zh-CN" w:eastAsia="zh-CN"/>
              </w:rPr>
              <w:t>审议和审查对《巴塞尔公约》</w:t>
            </w:r>
            <w:proofErr w:type="gramStart"/>
            <w:r w:rsidRPr="007C0EFF">
              <w:rPr>
                <w:rFonts w:eastAsia="SimSun"/>
                <w:lang w:val="zh-CN" w:eastAsia="zh-CN"/>
              </w:rPr>
              <w:t>附件八</w:t>
            </w:r>
            <w:proofErr w:type="gramEnd"/>
            <w:r w:rsidRPr="007C0EFF">
              <w:rPr>
                <w:rFonts w:eastAsia="SimSun"/>
                <w:lang w:val="zh-CN" w:eastAsia="zh-CN"/>
              </w:rPr>
              <w:t>和附件九中的废物清单的修改申请和更正。</w:t>
            </w:r>
          </w:p>
        </w:tc>
        <w:tc>
          <w:tcPr>
            <w:tcW w:w="1671" w:type="dxa"/>
            <w:tcBorders>
              <w:top w:val="single" w:sz="4" w:space="0" w:color="auto"/>
              <w:bottom w:val="single" w:sz="4" w:space="0" w:color="auto"/>
            </w:tcBorders>
          </w:tcPr>
          <w:p w14:paraId="66375D00" w14:textId="77777777" w:rsidR="00895852" w:rsidRPr="007C0EFF" w:rsidRDefault="00895852" w:rsidP="006B115A">
            <w:pPr>
              <w:pStyle w:val="Normal-pool"/>
              <w:spacing w:before="40" w:after="40"/>
              <w:jc w:val="both"/>
              <w:rPr>
                <w:rFonts w:eastAsia="SimSun"/>
              </w:rPr>
            </w:pPr>
            <w:r w:rsidRPr="007C0EFF">
              <w:rPr>
                <w:rFonts w:eastAsia="SimSun"/>
                <w:lang w:val="zh-CN"/>
              </w:rPr>
              <w:t>第</w:t>
            </w:r>
            <w:r w:rsidRPr="007C0EFF">
              <w:rPr>
                <w:rFonts w:eastAsia="SimSun"/>
                <w:lang w:val="zh-CN"/>
              </w:rPr>
              <w:t>VIII/15</w:t>
            </w:r>
            <w:proofErr w:type="spellStart"/>
            <w:r w:rsidRPr="007C0EFF">
              <w:rPr>
                <w:rFonts w:eastAsia="SimSun"/>
                <w:lang w:val="zh-CN"/>
              </w:rPr>
              <w:t>号决定</w:t>
            </w:r>
            <w:proofErr w:type="spellEnd"/>
          </w:p>
        </w:tc>
        <w:tc>
          <w:tcPr>
            <w:tcW w:w="1107" w:type="dxa"/>
            <w:tcBorders>
              <w:top w:val="single" w:sz="4" w:space="0" w:color="auto"/>
              <w:bottom w:val="single" w:sz="4" w:space="0" w:color="auto"/>
            </w:tcBorders>
          </w:tcPr>
          <w:p w14:paraId="74F7B651" w14:textId="77777777" w:rsidR="00895852" w:rsidRPr="007C0EFF"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3AF79643" w14:textId="77777777" w:rsidTr="006B115A">
        <w:trPr>
          <w:trHeight w:val="57"/>
          <w:jc w:val="right"/>
        </w:trPr>
        <w:tc>
          <w:tcPr>
            <w:tcW w:w="8307" w:type="dxa"/>
            <w:gridSpan w:val="4"/>
            <w:tcBorders>
              <w:top w:val="single" w:sz="4" w:space="0" w:color="auto"/>
            </w:tcBorders>
            <w:hideMark/>
          </w:tcPr>
          <w:p w14:paraId="3068AE68" w14:textId="77777777" w:rsidR="00895852" w:rsidRPr="007C0EFF" w:rsidRDefault="00895852" w:rsidP="006B115A">
            <w:pPr>
              <w:pStyle w:val="Normal-pool"/>
              <w:tabs>
                <w:tab w:val="clear" w:pos="1247"/>
              </w:tabs>
              <w:spacing w:before="40" w:after="40"/>
              <w:jc w:val="both"/>
              <w:rPr>
                <w:rFonts w:ascii="SimHei" w:eastAsia="SimHei"/>
                <w:b/>
                <w:iCs/>
                <w:lang w:eastAsia="zh-CN"/>
              </w:rPr>
            </w:pPr>
            <w:r w:rsidRPr="007C0EFF">
              <w:rPr>
                <w:rFonts w:ascii="SimHei" w:eastAsia="SimHei" w:hint="eastAsia"/>
                <w:b/>
                <w:bCs/>
                <w:lang w:val="zh-CN" w:eastAsia="zh-CN"/>
              </w:rPr>
              <w:t>三、法律、治理以及执行事项</w:t>
            </w:r>
          </w:p>
        </w:tc>
      </w:tr>
      <w:tr w:rsidR="00895852" w:rsidRPr="002A632F" w14:paraId="496F7962" w14:textId="77777777" w:rsidTr="006B115A">
        <w:trPr>
          <w:trHeight w:val="57"/>
          <w:jc w:val="right"/>
        </w:trPr>
        <w:tc>
          <w:tcPr>
            <w:tcW w:w="2255" w:type="dxa"/>
            <w:vMerge w:val="restart"/>
            <w:hideMark/>
          </w:tcPr>
          <w:p w14:paraId="474C50F2" w14:textId="77777777" w:rsidR="00895852" w:rsidRPr="007C0EFF" w:rsidRDefault="00895852" w:rsidP="00895852">
            <w:pPr>
              <w:pStyle w:val="Normal-pool"/>
              <w:numPr>
                <w:ilvl w:val="0"/>
                <w:numId w:val="15"/>
              </w:numPr>
              <w:tabs>
                <w:tab w:val="clear" w:pos="1247"/>
                <w:tab w:val="left" w:pos="300"/>
              </w:tabs>
              <w:spacing w:before="40" w:after="40"/>
              <w:ind w:left="318" w:right="57" w:hanging="284"/>
              <w:jc w:val="both"/>
              <w:rPr>
                <w:rFonts w:eastAsia="SimSun"/>
              </w:rPr>
            </w:pPr>
            <w:proofErr w:type="spellStart"/>
            <w:r w:rsidRPr="007C0EFF">
              <w:rPr>
                <w:rFonts w:eastAsia="SimSun"/>
                <w:lang w:val="zh-CN"/>
              </w:rPr>
              <w:t>提高法律明确性</w:t>
            </w:r>
            <w:proofErr w:type="spellEnd"/>
          </w:p>
        </w:tc>
        <w:tc>
          <w:tcPr>
            <w:tcW w:w="3274" w:type="dxa"/>
            <w:hideMark/>
          </w:tcPr>
          <w:p w14:paraId="55CA2E20" w14:textId="77777777" w:rsidR="00895852" w:rsidRPr="007C0EFF" w:rsidRDefault="00895852" w:rsidP="00895852">
            <w:pPr>
              <w:pStyle w:val="Normal-pool"/>
              <w:numPr>
                <w:ilvl w:val="0"/>
                <w:numId w:val="11"/>
              </w:numPr>
              <w:tabs>
                <w:tab w:val="clear" w:pos="1247"/>
                <w:tab w:val="left" w:pos="211"/>
              </w:tabs>
              <w:spacing w:before="40" w:after="40"/>
              <w:ind w:left="208" w:right="57" w:hanging="218"/>
              <w:jc w:val="both"/>
              <w:rPr>
                <w:rFonts w:eastAsia="SimSun"/>
                <w:color w:val="000000"/>
                <w:lang w:eastAsia="zh-CN"/>
              </w:rPr>
            </w:pPr>
            <w:r w:rsidRPr="007C0EFF">
              <w:rPr>
                <w:rFonts w:eastAsia="SimSun"/>
                <w:lang w:val="zh-CN" w:eastAsia="zh-CN"/>
              </w:rPr>
              <w:t>结合缔约方大会第十五次会议的讨论情况，审议欧洲联盟关于修正《巴塞尔公约》附件四及附件二和附件九中某些条目的提案以及专家工作组的建议和结论，并提出建议，供缔约方大会第十六次会议审议。</w:t>
            </w:r>
          </w:p>
        </w:tc>
        <w:tc>
          <w:tcPr>
            <w:tcW w:w="1671" w:type="dxa"/>
            <w:hideMark/>
          </w:tcPr>
          <w:p w14:paraId="48587623" w14:textId="77777777" w:rsidR="00895852" w:rsidRPr="007C0EFF" w:rsidRDefault="00895852" w:rsidP="006B115A">
            <w:pPr>
              <w:pStyle w:val="Normal-pool"/>
              <w:spacing w:before="40" w:after="40"/>
              <w:jc w:val="both"/>
              <w:rPr>
                <w:rFonts w:eastAsia="SimSun"/>
              </w:rPr>
            </w:pPr>
            <w:r w:rsidRPr="007C0EFF">
              <w:rPr>
                <w:rFonts w:eastAsia="SimSun"/>
                <w:lang w:val="zh-CN"/>
              </w:rPr>
              <w:t>BC-15/19</w:t>
            </w:r>
            <w:proofErr w:type="spellStart"/>
            <w:r w:rsidRPr="007C0EFF">
              <w:rPr>
                <w:rFonts w:eastAsia="SimSun"/>
                <w:lang w:val="zh-CN"/>
              </w:rPr>
              <w:t>号决定</w:t>
            </w:r>
            <w:proofErr w:type="spellEnd"/>
          </w:p>
        </w:tc>
        <w:tc>
          <w:tcPr>
            <w:tcW w:w="1107" w:type="dxa"/>
            <w:hideMark/>
          </w:tcPr>
          <w:p w14:paraId="04B907DE" w14:textId="77777777" w:rsidR="00895852" w:rsidRPr="007C0EFF"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39B5DFCB" w14:textId="77777777" w:rsidTr="006B115A">
        <w:trPr>
          <w:trHeight w:val="57"/>
          <w:jc w:val="right"/>
        </w:trPr>
        <w:tc>
          <w:tcPr>
            <w:tcW w:w="2255" w:type="dxa"/>
            <w:vMerge/>
            <w:tcBorders>
              <w:bottom w:val="single" w:sz="4" w:space="0" w:color="auto"/>
            </w:tcBorders>
          </w:tcPr>
          <w:p w14:paraId="5490851C" w14:textId="77777777" w:rsidR="00895852" w:rsidRPr="007C0EFF" w:rsidRDefault="00895852" w:rsidP="006B115A">
            <w:pPr>
              <w:pStyle w:val="Normal-pool"/>
              <w:tabs>
                <w:tab w:val="clear" w:pos="1247"/>
                <w:tab w:val="left" w:pos="300"/>
              </w:tabs>
              <w:spacing w:before="40" w:after="40"/>
              <w:ind w:right="57"/>
              <w:jc w:val="both"/>
              <w:rPr>
                <w:rFonts w:eastAsia="SimSun"/>
              </w:rPr>
            </w:pPr>
          </w:p>
        </w:tc>
        <w:tc>
          <w:tcPr>
            <w:tcW w:w="3274" w:type="dxa"/>
            <w:tcBorders>
              <w:bottom w:val="single" w:sz="4" w:space="0" w:color="auto"/>
            </w:tcBorders>
          </w:tcPr>
          <w:p w14:paraId="474F5B36" w14:textId="77777777" w:rsidR="00895852" w:rsidRPr="007C0EFF" w:rsidRDefault="00895852" w:rsidP="00895852">
            <w:pPr>
              <w:pStyle w:val="Normal-pool"/>
              <w:numPr>
                <w:ilvl w:val="0"/>
                <w:numId w:val="11"/>
              </w:numPr>
              <w:tabs>
                <w:tab w:val="clear" w:pos="1247"/>
                <w:tab w:val="left" w:pos="211"/>
              </w:tabs>
              <w:spacing w:before="40" w:after="40"/>
              <w:ind w:left="208" w:right="57" w:hanging="218"/>
              <w:jc w:val="both"/>
              <w:rPr>
                <w:rFonts w:eastAsia="SimSun"/>
                <w:lang w:eastAsia="zh-CN"/>
              </w:rPr>
            </w:pPr>
            <w:r w:rsidRPr="007C0EFF">
              <w:rPr>
                <w:rFonts w:eastAsia="SimSun"/>
                <w:lang w:val="zh-CN" w:eastAsia="zh-CN"/>
              </w:rPr>
              <w:t>审议在审查附件一和附件三方面取得的进展，并提出建议，供缔约方大会第十六次会议审议。</w:t>
            </w:r>
          </w:p>
        </w:tc>
        <w:tc>
          <w:tcPr>
            <w:tcW w:w="1671" w:type="dxa"/>
            <w:tcBorders>
              <w:bottom w:val="single" w:sz="4" w:space="0" w:color="auto"/>
            </w:tcBorders>
          </w:tcPr>
          <w:p w14:paraId="4A6B10DD" w14:textId="77777777" w:rsidR="00895852" w:rsidRPr="007C0EFF" w:rsidRDefault="00895852" w:rsidP="006B115A">
            <w:pPr>
              <w:pStyle w:val="Normal-pool"/>
              <w:spacing w:before="40" w:after="40"/>
              <w:jc w:val="both"/>
              <w:rPr>
                <w:rFonts w:eastAsia="SimSun"/>
              </w:rPr>
            </w:pPr>
            <w:r w:rsidRPr="007C0EFF">
              <w:rPr>
                <w:rFonts w:eastAsia="SimSun"/>
                <w:lang w:val="zh-CN"/>
              </w:rPr>
              <w:t>BC-15/19</w:t>
            </w:r>
            <w:proofErr w:type="spellStart"/>
            <w:r w:rsidRPr="007C0EFF">
              <w:rPr>
                <w:rFonts w:eastAsia="SimSun"/>
                <w:lang w:val="zh-CN"/>
              </w:rPr>
              <w:t>号决定</w:t>
            </w:r>
            <w:proofErr w:type="spellEnd"/>
          </w:p>
        </w:tc>
        <w:tc>
          <w:tcPr>
            <w:tcW w:w="1107" w:type="dxa"/>
            <w:tcBorders>
              <w:bottom w:val="single" w:sz="4" w:space="0" w:color="auto"/>
            </w:tcBorders>
          </w:tcPr>
          <w:p w14:paraId="0872DDDB" w14:textId="77777777" w:rsidR="00895852" w:rsidRPr="007C0EFF" w:rsidRDefault="00895852" w:rsidP="006B115A">
            <w:pPr>
              <w:pStyle w:val="Normal-pool"/>
              <w:spacing w:before="40" w:after="40"/>
              <w:jc w:val="both"/>
              <w:rPr>
                <w:rFonts w:eastAsia="SimSun"/>
              </w:rPr>
            </w:pPr>
            <w:r w:rsidRPr="007C0EFF">
              <w:rPr>
                <w:rFonts w:eastAsia="SimSun"/>
                <w:lang w:val="zh-CN"/>
              </w:rPr>
              <w:t>高</w:t>
            </w:r>
          </w:p>
        </w:tc>
      </w:tr>
      <w:tr w:rsidR="00895852" w:rsidRPr="002A632F" w14:paraId="5B96FF07" w14:textId="77777777" w:rsidTr="006B115A">
        <w:trPr>
          <w:trHeight w:val="57"/>
          <w:jc w:val="right"/>
        </w:trPr>
        <w:tc>
          <w:tcPr>
            <w:tcW w:w="8307" w:type="dxa"/>
            <w:gridSpan w:val="4"/>
            <w:tcBorders>
              <w:top w:val="single" w:sz="4" w:space="0" w:color="auto"/>
            </w:tcBorders>
            <w:hideMark/>
          </w:tcPr>
          <w:p w14:paraId="1157424B" w14:textId="77777777" w:rsidR="00895852" w:rsidRPr="007C0EFF" w:rsidRDefault="00895852" w:rsidP="006B115A">
            <w:pPr>
              <w:pStyle w:val="Normal-pool"/>
              <w:tabs>
                <w:tab w:val="clear" w:pos="1247"/>
              </w:tabs>
              <w:spacing w:before="40" w:after="40"/>
              <w:jc w:val="both"/>
              <w:rPr>
                <w:rFonts w:eastAsia="SimSun"/>
                <w:b/>
              </w:rPr>
            </w:pPr>
            <w:r w:rsidRPr="007C0EFF">
              <w:rPr>
                <w:rFonts w:ascii="SimHei" w:eastAsia="SimHei" w:hint="eastAsia"/>
                <w:b/>
                <w:bCs/>
                <w:lang w:val="zh-CN" w:eastAsia="zh-CN"/>
              </w:rPr>
              <w:t>四、</w:t>
            </w:r>
            <w:r w:rsidRPr="007C0EFF">
              <w:rPr>
                <w:rFonts w:ascii="SimHei" w:eastAsia="SimHei"/>
                <w:b/>
                <w:bCs/>
                <w:lang w:val="zh-CN" w:eastAsia="zh-CN"/>
              </w:rPr>
              <w:t>国际合作与协调</w:t>
            </w:r>
          </w:p>
        </w:tc>
      </w:tr>
      <w:tr w:rsidR="00895852" w:rsidRPr="002A632F" w14:paraId="2371F1EC" w14:textId="77777777" w:rsidTr="006B115A">
        <w:trPr>
          <w:trHeight w:val="57"/>
          <w:jc w:val="right"/>
        </w:trPr>
        <w:tc>
          <w:tcPr>
            <w:tcW w:w="2255" w:type="dxa"/>
            <w:vMerge w:val="restart"/>
            <w:shd w:val="clear" w:color="auto" w:fill="auto"/>
            <w:hideMark/>
          </w:tcPr>
          <w:p w14:paraId="4AC289D5" w14:textId="77777777" w:rsidR="00895852" w:rsidRPr="007C0EFF" w:rsidRDefault="00895852" w:rsidP="00895852">
            <w:pPr>
              <w:pStyle w:val="Normal-pool"/>
              <w:numPr>
                <w:ilvl w:val="0"/>
                <w:numId w:val="16"/>
              </w:numPr>
              <w:tabs>
                <w:tab w:val="clear" w:pos="1247"/>
                <w:tab w:val="left" w:pos="300"/>
              </w:tabs>
              <w:spacing w:before="40" w:after="40"/>
              <w:ind w:left="318" w:right="57" w:hanging="284"/>
              <w:jc w:val="both"/>
              <w:rPr>
                <w:rFonts w:eastAsia="SimSun"/>
                <w:lang w:eastAsia="zh-CN"/>
              </w:rPr>
            </w:pPr>
            <w:r w:rsidRPr="007C0EFF">
              <w:rPr>
                <w:rFonts w:eastAsia="SimSun"/>
                <w:lang w:val="zh-CN" w:eastAsia="zh-CN"/>
              </w:rPr>
              <w:t>巴塞尔公约伙伴关系方案</w:t>
            </w:r>
          </w:p>
        </w:tc>
        <w:tc>
          <w:tcPr>
            <w:tcW w:w="3274" w:type="dxa"/>
            <w:shd w:val="clear" w:color="auto" w:fill="auto"/>
            <w:hideMark/>
          </w:tcPr>
          <w:p w14:paraId="242E8580" w14:textId="77777777" w:rsidR="00895852" w:rsidRPr="007C0EFF" w:rsidRDefault="00895852" w:rsidP="00895852">
            <w:pPr>
              <w:pStyle w:val="Normal-pool"/>
              <w:numPr>
                <w:ilvl w:val="0"/>
                <w:numId w:val="12"/>
              </w:numPr>
              <w:tabs>
                <w:tab w:val="clear" w:pos="1247"/>
                <w:tab w:val="left" w:pos="211"/>
              </w:tabs>
              <w:spacing w:before="40" w:after="40"/>
              <w:ind w:left="208" w:right="57" w:hanging="218"/>
              <w:jc w:val="both"/>
              <w:rPr>
                <w:rFonts w:eastAsia="SimSun"/>
                <w:lang w:eastAsia="zh-CN"/>
              </w:rPr>
            </w:pPr>
            <w:r w:rsidRPr="007C0EFF">
              <w:rPr>
                <w:rFonts w:eastAsia="SimSun"/>
                <w:lang w:val="zh-CN" w:eastAsia="zh-CN"/>
              </w:rPr>
              <w:t>审议电子废物相关挑战</w:t>
            </w:r>
            <w:proofErr w:type="gramStart"/>
            <w:r w:rsidRPr="007C0EFF">
              <w:rPr>
                <w:rFonts w:eastAsia="SimSun"/>
                <w:lang w:val="zh-CN" w:eastAsia="zh-CN"/>
              </w:rPr>
              <w:t>行动伙伴</w:t>
            </w:r>
            <w:proofErr w:type="gramEnd"/>
            <w:r w:rsidRPr="007C0EFF">
              <w:rPr>
                <w:rFonts w:eastAsia="SimSun"/>
                <w:lang w:val="zh-CN" w:eastAsia="zh-CN"/>
              </w:rPr>
              <w:t>关系工作组</w:t>
            </w:r>
            <w:r w:rsidRPr="007C0EFF">
              <w:rPr>
                <w:rFonts w:eastAsia="SimSun"/>
                <w:lang w:val="zh-CN" w:eastAsia="zh-CN"/>
              </w:rPr>
              <w:t>2022–2023</w:t>
            </w:r>
            <w:r w:rsidRPr="007C0EFF">
              <w:rPr>
                <w:rFonts w:eastAsia="SimSun"/>
                <w:lang w:val="zh-CN" w:eastAsia="zh-CN"/>
              </w:rPr>
              <w:t>两年期工作方案的执行取得的进展，并就执行工作提供指导。</w:t>
            </w:r>
          </w:p>
        </w:tc>
        <w:tc>
          <w:tcPr>
            <w:tcW w:w="1671" w:type="dxa"/>
            <w:hideMark/>
          </w:tcPr>
          <w:p w14:paraId="27C4402A" w14:textId="77777777" w:rsidR="00895852" w:rsidRPr="007C0EFF" w:rsidRDefault="00895852" w:rsidP="006B115A">
            <w:pPr>
              <w:pStyle w:val="Normal-pool"/>
              <w:spacing w:before="40" w:after="40"/>
              <w:jc w:val="both"/>
              <w:rPr>
                <w:rFonts w:eastAsia="SimSun"/>
              </w:rPr>
            </w:pPr>
            <w:r w:rsidRPr="007C0EFF">
              <w:rPr>
                <w:rFonts w:eastAsia="SimSun"/>
                <w:lang w:val="zh-CN"/>
              </w:rPr>
              <w:t>BC-15/22</w:t>
            </w:r>
            <w:proofErr w:type="spellStart"/>
            <w:r w:rsidRPr="007C0EFF">
              <w:rPr>
                <w:rFonts w:eastAsia="SimSun"/>
                <w:lang w:val="zh-CN"/>
              </w:rPr>
              <w:t>号决定</w:t>
            </w:r>
            <w:proofErr w:type="spellEnd"/>
          </w:p>
        </w:tc>
        <w:tc>
          <w:tcPr>
            <w:tcW w:w="1107" w:type="dxa"/>
            <w:hideMark/>
          </w:tcPr>
          <w:p w14:paraId="2EDE5BBB" w14:textId="77777777" w:rsidR="00895852" w:rsidRPr="007C0EFF" w:rsidRDefault="00895852" w:rsidP="006B115A">
            <w:pPr>
              <w:pStyle w:val="Normal-pool"/>
              <w:spacing w:before="40" w:after="40"/>
              <w:jc w:val="both"/>
              <w:rPr>
                <w:rFonts w:eastAsia="SimSun"/>
              </w:rPr>
            </w:pPr>
            <w:r w:rsidRPr="007C0EFF">
              <w:rPr>
                <w:rFonts w:eastAsia="SimSun"/>
                <w:lang w:val="zh-CN"/>
              </w:rPr>
              <w:t>中</w:t>
            </w:r>
          </w:p>
        </w:tc>
      </w:tr>
      <w:tr w:rsidR="00895852" w:rsidRPr="002A632F" w14:paraId="4A8A6461" w14:textId="77777777" w:rsidTr="006B115A">
        <w:trPr>
          <w:trHeight w:val="57"/>
          <w:jc w:val="right"/>
        </w:trPr>
        <w:tc>
          <w:tcPr>
            <w:tcW w:w="2255" w:type="dxa"/>
            <w:vMerge/>
            <w:shd w:val="clear" w:color="auto" w:fill="auto"/>
          </w:tcPr>
          <w:p w14:paraId="655AAE2B" w14:textId="77777777" w:rsidR="00895852" w:rsidRPr="007C0EFF" w:rsidRDefault="00895852" w:rsidP="006B115A">
            <w:pPr>
              <w:pStyle w:val="Normal-pool"/>
              <w:tabs>
                <w:tab w:val="left" w:pos="300"/>
              </w:tabs>
              <w:spacing w:before="40" w:after="40"/>
              <w:ind w:left="316" w:right="57"/>
              <w:jc w:val="both"/>
              <w:rPr>
                <w:rFonts w:eastAsia="SimSun"/>
              </w:rPr>
            </w:pPr>
          </w:p>
        </w:tc>
        <w:tc>
          <w:tcPr>
            <w:tcW w:w="3274" w:type="dxa"/>
            <w:shd w:val="clear" w:color="auto" w:fill="auto"/>
          </w:tcPr>
          <w:p w14:paraId="62D893BE" w14:textId="77777777" w:rsidR="00895852" w:rsidRPr="007C0EFF" w:rsidRDefault="00895852" w:rsidP="00895852">
            <w:pPr>
              <w:pStyle w:val="Normal-pool"/>
              <w:numPr>
                <w:ilvl w:val="0"/>
                <w:numId w:val="12"/>
              </w:numPr>
              <w:tabs>
                <w:tab w:val="clear" w:pos="1247"/>
                <w:tab w:val="left" w:pos="211"/>
              </w:tabs>
              <w:spacing w:before="40" w:after="40"/>
              <w:ind w:left="208" w:right="57" w:hanging="218"/>
              <w:jc w:val="both"/>
              <w:rPr>
                <w:rFonts w:eastAsia="SimSun"/>
                <w:lang w:eastAsia="zh-CN"/>
              </w:rPr>
            </w:pPr>
            <w:r w:rsidRPr="007C0EFF">
              <w:rPr>
                <w:rFonts w:eastAsia="SimSun"/>
                <w:lang w:val="zh-CN" w:eastAsia="zh-CN"/>
              </w:rPr>
              <w:t>审议家庭废物伙伴关系工作组</w:t>
            </w:r>
            <w:r w:rsidRPr="007C0EFF">
              <w:rPr>
                <w:rFonts w:eastAsia="SimSun"/>
                <w:lang w:val="zh-CN" w:eastAsia="zh-CN"/>
              </w:rPr>
              <w:t>2022–2023</w:t>
            </w:r>
            <w:r w:rsidRPr="007C0EFF">
              <w:rPr>
                <w:rFonts w:eastAsia="SimSun"/>
                <w:lang w:val="zh-CN" w:eastAsia="zh-CN"/>
              </w:rPr>
              <w:t>两年期工作计划的执行取得的进展，并就执行工作提供指导。</w:t>
            </w:r>
          </w:p>
        </w:tc>
        <w:tc>
          <w:tcPr>
            <w:tcW w:w="1671" w:type="dxa"/>
          </w:tcPr>
          <w:p w14:paraId="29A8BDFC" w14:textId="77777777" w:rsidR="00895852" w:rsidRPr="007C0EFF" w:rsidRDefault="00895852" w:rsidP="006B115A">
            <w:pPr>
              <w:pStyle w:val="Normal-pool"/>
              <w:spacing w:before="40" w:after="40"/>
              <w:jc w:val="both"/>
              <w:rPr>
                <w:rFonts w:eastAsia="SimSun"/>
              </w:rPr>
            </w:pPr>
            <w:r w:rsidRPr="007C0EFF">
              <w:rPr>
                <w:rFonts w:eastAsia="SimSun"/>
                <w:lang w:val="zh-CN"/>
              </w:rPr>
              <w:t>BC-15/22</w:t>
            </w:r>
            <w:proofErr w:type="spellStart"/>
            <w:r w:rsidRPr="007C0EFF">
              <w:rPr>
                <w:rFonts w:eastAsia="SimSun"/>
                <w:lang w:val="zh-CN"/>
              </w:rPr>
              <w:t>号决定</w:t>
            </w:r>
            <w:proofErr w:type="spellEnd"/>
          </w:p>
        </w:tc>
        <w:tc>
          <w:tcPr>
            <w:tcW w:w="1107" w:type="dxa"/>
          </w:tcPr>
          <w:p w14:paraId="498D3DD8" w14:textId="77777777" w:rsidR="00895852" w:rsidRPr="007C0EFF" w:rsidRDefault="00895852" w:rsidP="006B115A">
            <w:pPr>
              <w:pStyle w:val="Normal-pool"/>
              <w:spacing w:before="40" w:after="40"/>
              <w:jc w:val="both"/>
              <w:rPr>
                <w:rFonts w:eastAsia="SimSun"/>
              </w:rPr>
            </w:pPr>
            <w:r w:rsidRPr="007C0EFF">
              <w:rPr>
                <w:rFonts w:eastAsia="SimSun"/>
                <w:lang w:val="zh-CN"/>
              </w:rPr>
              <w:t>中</w:t>
            </w:r>
          </w:p>
        </w:tc>
      </w:tr>
      <w:tr w:rsidR="00895852" w:rsidRPr="002A632F" w14:paraId="4A00C64E" w14:textId="77777777" w:rsidTr="006B115A">
        <w:trPr>
          <w:trHeight w:val="57"/>
          <w:jc w:val="right"/>
        </w:trPr>
        <w:tc>
          <w:tcPr>
            <w:tcW w:w="2255" w:type="dxa"/>
            <w:vMerge/>
            <w:tcBorders>
              <w:bottom w:val="single" w:sz="4" w:space="0" w:color="auto"/>
            </w:tcBorders>
            <w:shd w:val="clear" w:color="auto" w:fill="auto"/>
          </w:tcPr>
          <w:p w14:paraId="3A39C012" w14:textId="77777777" w:rsidR="00895852" w:rsidRPr="007C0EFF" w:rsidRDefault="00895852" w:rsidP="006B115A">
            <w:pPr>
              <w:pStyle w:val="Normal-pool"/>
              <w:tabs>
                <w:tab w:val="left" w:pos="300"/>
              </w:tabs>
              <w:spacing w:before="40" w:after="40"/>
              <w:ind w:left="316" w:right="57"/>
              <w:jc w:val="both"/>
              <w:rPr>
                <w:rFonts w:eastAsia="SimSun"/>
              </w:rPr>
            </w:pPr>
          </w:p>
        </w:tc>
        <w:tc>
          <w:tcPr>
            <w:tcW w:w="3274" w:type="dxa"/>
            <w:tcBorders>
              <w:bottom w:val="single" w:sz="4" w:space="0" w:color="auto"/>
            </w:tcBorders>
            <w:shd w:val="clear" w:color="auto" w:fill="auto"/>
          </w:tcPr>
          <w:p w14:paraId="548A3C6B" w14:textId="77777777" w:rsidR="00895852" w:rsidRPr="007C0EFF" w:rsidRDefault="00895852" w:rsidP="00895852">
            <w:pPr>
              <w:pStyle w:val="Normal-pool"/>
              <w:numPr>
                <w:ilvl w:val="0"/>
                <w:numId w:val="12"/>
              </w:numPr>
              <w:tabs>
                <w:tab w:val="clear" w:pos="1247"/>
                <w:tab w:val="left" w:pos="211"/>
              </w:tabs>
              <w:spacing w:before="40" w:after="40"/>
              <w:ind w:left="208" w:right="57" w:hanging="218"/>
              <w:jc w:val="both"/>
              <w:rPr>
                <w:rFonts w:eastAsia="SimSun"/>
                <w:lang w:eastAsia="zh-CN"/>
              </w:rPr>
            </w:pPr>
            <w:r w:rsidRPr="007C0EFF">
              <w:rPr>
                <w:rFonts w:eastAsia="SimSun"/>
                <w:lang w:val="zh-CN" w:eastAsia="zh-CN"/>
              </w:rPr>
              <w:t>审议塑料废物伙伴关系工作组</w:t>
            </w:r>
            <w:r w:rsidRPr="007C0EFF">
              <w:rPr>
                <w:rFonts w:eastAsia="SimSun"/>
                <w:lang w:val="zh-CN" w:eastAsia="zh-CN"/>
              </w:rPr>
              <w:t>2022–2023</w:t>
            </w:r>
            <w:r w:rsidRPr="007C0EFF">
              <w:rPr>
                <w:rFonts w:eastAsia="SimSun"/>
                <w:lang w:val="zh-CN" w:eastAsia="zh-CN"/>
              </w:rPr>
              <w:t>两年期工作计划的执行取得的进展，并就执行工作提供指导。</w:t>
            </w:r>
          </w:p>
        </w:tc>
        <w:tc>
          <w:tcPr>
            <w:tcW w:w="1671" w:type="dxa"/>
            <w:tcBorders>
              <w:bottom w:val="single" w:sz="4" w:space="0" w:color="auto"/>
            </w:tcBorders>
          </w:tcPr>
          <w:p w14:paraId="563CB275" w14:textId="77777777" w:rsidR="00895852" w:rsidRPr="007C0EFF" w:rsidRDefault="00895852" w:rsidP="006B115A">
            <w:pPr>
              <w:pStyle w:val="Normal-pool"/>
              <w:spacing w:before="40" w:after="40"/>
              <w:jc w:val="both"/>
              <w:rPr>
                <w:rFonts w:eastAsia="SimSun"/>
              </w:rPr>
            </w:pPr>
            <w:r w:rsidRPr="007C0EFF">
              <w:rPr>
                <w:rFonts w:eastAsia="SimSun"/>
                <w:lang w:val="zh-CN"/>
              </w:rPr>
              <w:t>BC-15/22</w:t>
            </w:r>
            <w:proofErr w:type="spellStart"/>
            <w:r w:rsidRPr="007C0EFF">
              <w:rPr>
                <w:rFonts w:eastAsia="SimSun"/>
                <w:lang w:val="zh-CN"/>
              </w:rPr>
              <w:t>号决定</w:t>
            </w:r>
            <w:proofErr w:type="spellEnd"/>
          </w:p>
        </w:tc>
        <w:tc>
          <w:tcPr>
            <w:tcW w:w="1107" w:type="dxa"/>
            <w:tcBorders>
              <w:bottom w:val="single" w:sz="4" w:space="0" w:color="auto"/>
            </w:tcBorders>
          </w:tcPr>
          <w:p w14:paraId="71970752" w14:textId="77777777" w:rsidR="00895852" w:rsidRPr="007C0EFF" w:rsidRDefault="00895852" w:rsidP="006B115A">
            <w:pPr>
              <w:pStyle w:val="Normal-pool"/>
              <w:spacing w:before="40" w:after="40"/>
              <w:jc w:val="both"/>
              <w:rPr>
                <w:rFonts w:eastAsia="SimSun"/>
              </w:rPr>
            </w:pPr>
            <w:r w:rsidRPr="007C0EFF">
              <w:rPr>
                <w:rFonts w:eastAsia="SimSun"/>
                <w:lang w:val="zh-CN"/>
              </w:rPr>
              <w:t>中</w:t>
            </w:r>
          </w:p>
        </w:tc>
      </w:tr>
      <w:tr w:rsidR="00895852" w:rsidRPr="002A632F" w14:paraId="578829BB" w14:textId="77777777" w:rsidTr="006B115A">
        <w:trPr>
          <w:trHeight w:val="57"/>
          <w:jc w:val="right"/>
        </w:trPr>
        <w:tc>
          <w:tcPr>
            <w:tcW w:w="2255" w:type="dxa"/>
            <w:tcBorders>
              <w:top w:val="single" w:sz="4" w:space="0" w:color="auto"/>
              <w:bottom w:val="single" w:sz="12" w:space="0" w:color="auto"/>
            </w:tcBorders>
            <w:shd w:val="clear" w:color="auto" w:fill="auto"/>
            <w:hideMark/>
          </w:tcPr>
          <w:p w14:paraId="1AC47F5F" w14:textId="77777777" w:rsidR="00895852" w:rsidRPr="007C0EFF" w:rsidRDefault="00895852" w:rsidP="00895852">
            <w:pPr>
              <w:pStyle w:val="Normal-pool"/>
              <w:numPr>
                <w:ilvl w:val="0"/>
                <w:numId w:val="16"/>
              </w:numPr>
              <w:tabs>
                <w:tab w:val="clear" w:pos="1247"/>
                <w:tab w:val="left" w:pos="300"/>
              </w:tabs>
              <w:spacing w:before="40" w:after="40"/>
              <w:ind w:left="318" w:right="57" w:hanging="284"/>
              <w:jc w:val="both"/>
              <w:rPr>
                <w:rFonts w:eastAsia="SimSun"/>
                <w:lang w:eastAsia="zh-CN"/>
              </w:rPr>
            </w:pPr>
            <w:r w:rsidRPr="007C0EFF">
              <w:rPr>
                <w:rFonts w:eastAsia="SimSun"/>
                <w:lang w:val="zh-CN" w:eastAsia="zh-CN"/>
              </w:rPr>
              <w:t>与世界海关组织关于商品名称及编码协调制度的合作</w:t>
            </w:r>
          </w:p>
        </w:tc>
        <w:tc>
          <w:tcPr>
            <w:tcW w:w="3274" w:type="dxa"/>
            <w:tcBorders>
              <w:top w:val="single" w:sz="4" w:space="0" w:color="auto"/>
              <w:bottom w:val="single" w:sz="12" w:space="0" w:color="auto"/>
            </w:tcBorders>
            <w:shd w:val="clear" w:color="auto" w:fill="auto"/>
            <w:hideMark/>
          </w:tcPr>
          <w:p w14:paraId="7F571B9A" w14:textId="77777777" w:rsidR="00895852" w:rsidRPr="007C0EFF" w:rsidRDefault="00895852" w:rsidP="006B115A">
            <w:pPr>
              <w:pStyle w:val="Normal-pool"/>
              <w:spacing w:before="40" w:after="40"/>
              <w:ind w:left="57" w:right="57"/>
              <w:jc w:val="both"/>
              <w:rPr>
                <w:rFonts w:eastAsia="SimSun"/>
                <w:lang w:eastAsia="zh-CN"/>
              </w:rPr>
            </w:pPr>
            <w:r w:rsidRPr="007C0EFF">
              <w:rPr>
                <w:rFonts w:eastAsia="SimSun"/>
                <w:lang w:val="zh-CN" w:eastAsia="zh-CN"/>
              </w:rPr>
              <w:t>审议将《巴塞尔公约》所列废物纳入世界海关组织商品名称及编码协调制度的进展。</w:t>
            </w:r>
          </w:p>
        </w:tc>
        <w:tc>
          <w:tcPr>
            <w:tcW w:w="1671" w:type="dxa"/>
            <w:tcBorders>
              <w:top w:val="single" w:sz="4" w:space="0" w:color="auto"/>
              <w:bottom w:val="single" w:sz="12" w:space="0" w:color="auto"/>
            </w:tcBorders>
            <w:hideMark/>
          </w:tcPr>
          <w:p w14:paraId="4BCAD6B6" w14:textId="77777777" w:rsidR="00895852" w:rsidRPr="007C0EFF" w:rsidRDefault="00895852" w:rsidP="006B115A">
            <w:pPr>
              <w:pStyle w:val="Normal-pool"/>
              <w:spacing w:before="40" w:after="40"/>
              <w:jc w:val="both"/>
              <w:rPr>
                <w:rFonts w:eastAsia="SimSun"/>
              </w:rPr>
            </w:pPr>
            <w:r w:rsidRPr="007C0EFF">
              <w:rPr>
                <w:rFonts w:eastAsia="SimSun"/>
                <w:lang w:val="zh-CN"/>
              </w:rPr>
              <w:t>BC-15/12</w:t>
            </w:r>
            <w:proofErr w:type="spellStart"/>
            <w:r w:rsidRPr="007C0EFF">
              <w:rPr>
                <w:rFonts w:eastAsia="SimSun"/>
                <w:lang w:val="zh-CN"/>
              </w:rPr>
              <w:t>号决定</w:t>
            </w:r>
            <w:proofErr w:type="spellEnd"/>
          </w:p>
        </w:tc>
        <w:tc>
          <w:tcPr>
            <w:tcW w:w="1107" w:type="dxa"/>
            <w:tcBorders>
              <w:top w:val="single" w:sz="4" w:space="0" w:color="auto"/>
              <w:bottom w:val="single" w:sz="12" w:space="0" w:color="auto"/>
            </w:tcBorders>
            <w:hideMark/>
          </w:tcPr>
          <w:p w14:paraId="3F9BD005" w14:textId="77777777" w:rsidR="00895852" w:rsidRPr="007C0EFF" w:rsidRDefault="00895852" w:rsidP="006B115A">
            <w:pPr>
              <w:pStyle w:val="Normal-pool"/>
              <w:spacing w:before="40" w:after="40"/>
              <w:jc w:val="both"/>
              <w:rPr>
                <w:rFonts w:eastAsia="SimSun"/>
              </w:rPr>
            </w:pPr>
            <w:r w:rsidRPr="007C0EFF">
              <w:rPr>
                <w:rFonts w:eastAsia="SimSun"/>
                <w:lang w:val="zh-CN"/>
              </w:rPr>
              <w:t>低</w:t>
            </w:r>
          </w:p>
        </w:tc>
      </w:tr>
      <w:bookmarkEnd w:id="0"/>
    </w:tbl>
    <w:p w14:paraId="1DB5C394" w14:textId="77777777" w:rsidR="00895852" w:rsidRPr="002A632F" w:rsidRDefault="00895852" w:rsidP="00895852">
      <w:pPr>
        <w:pStyle w:val="Normal-pool"/>
        <w:jc w:val="both"/>
        <w:rPr>
          <w:rFonts w:eastAsia="SimSun"/>
          <w:sz w:val="24"/>
          <w:szCs w:val="24"/>
        </w:rPr>
      </w:pPr>
    </w:p>
    <w:p w14:paraId="611CB3AB" w14:textId="77777777" w:rsidR="00895852" w:rsidRDefault="00895852" w:rsidP="00895852">
      <w:pPr>
        <w:pStyle w:val="CH1"/>
        <w:jc w:val="both"/>
        <w:rPr>
          <w:rFonts w:eastAsia="SimSun"/>
          <w:sz w:val="32"/>
          <w:szCs w:val="32"/>
          <w:lang w:val="zh-CN" w:eastAsia="zh-CN"/>
        </w:rPr>
      </w:pPr>
      <w:r w:rsidRPr="00B6535B">
        <w:rPr>
          <w:rFonts w:eastAsia="SimSun"/>
          <w:sz w:val="32"/>
          <w:szCs w:val="32"/>
          <w:lang w:val="zh-CN" w:eastAsia="zh-CN"/>
        </w:rPr>
        <w:tab/>
      </w:r>
      <w:r w:rsidRPr="00B6535B">
        <w:rPr>
          <w:rFonts w:eastAsia="SimSun"/>
          <w:sz w:val="32"/>
          <w:szCs w:val="32"/>
          <w:lang w:val="zh-CN" w:eastAsia="zh-CN"/>
        </w:rPr>
        <w:tab/>
      </w:r>
    </w:p>
    <w:p w14:paraId="0C07FE6E" w14:textId="6714DCE1" w:rsidR="00F935A6" w:rsidRPr="00895852" w:rsidRDefault="00F935A6" w:rsidP="00895852">
      <w:pPr>
        <w:spacing w:after="0" w:line="240" w:lineRule="auto"/>
        <w:jc w:val="left"/>
        <w:rPr>
          <w:rFonts w:eastAsia="SimSun" w:hint="eastAsia"/>
          <w:b/>
          <w:sz w:val="32"/>
          <w:szCs w:val="32"/>
          <w:lang w:val="zh-CN"/>
        </w:rPr>
      </w:pPr>
    </w:p>
    <w:sectPr w:rsidR="00F935A6" w:rsidRPr="0089585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9AC59" w14:textId="77777777" w:rsidR="00DC41E4" w:rsidRDefault="00DC41E4" w:rsidP="007B3521">
      <w:pPr>
        <w:spacing w:after="0" w:line="240" w:lineRule="auto"/>
      </w:pPr>
      <w:r>
        <w:separator/>
      </w:r>
    </w:p>
  </w:endnote>
  <w:endnote w:type="continuationSeparator" w:id="0">
    <w:p w14:paraId="7714FA67" w14:textId="77777777" w:rsidR="00DC41E4" w:rsidRDefault="00DC41E4"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361506" w14:textId="77777777" w:rsidR="00DC41E4" w:rsidRDefault="00DC41E4" w:rsidP="007B3521">
      <w:pPr>
        <w:spacing w:after="0" w:line="240" w:lineRule="auto"/>
      </w:pPr>
      <w:r>
        <w:separator/>
      </w:r>
    </w:p>
  </w:footnote>
  <w:footnote w:type="continuationSeparator" w:id="0">
    <w:p w14:paraId="7F2B3506" w14:textId="77777777" w:rsidR="00DC41E4" w:rsidRDefault="00DC41E4" w:rsidP="007B35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6B7153"/>
    <w:multiLevelType w:val="hybridMultilevel"/>
    <w:tmpl w:val="E9BE9FE4"/>
    <w:lvl w:ilvl="0" w:tplc="78B64472">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7A615AF"/>
    <w:multiLevelType w:val="hybridMultilevel"/>
    <w:tmpl w:val="0700F0D8"/>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7F56A30E">
      <w:start w:val="22"/>
      <w:numFmt w:val="decimal"/>
      <w:lvlText w:val="%3."/>
      <w:lvlJc w:val="left"/>
      <w:pPr>
        <w:ind w:left="4211" w:hanging="360"/>
      </w:pPr>
      <w:rPr>
        <w:rFonts w:hint="default"/>
      </w:r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3EA62E7B"/>
    <w:multiLevelType w:val="hybridMultilevel"/>
    <w:tmpl w:val="BBB82F96"/>
    <w:lvl w:ilvl="0" w:tplc="0809000F">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6" w15:restartNumberingAfterBreak="0">
    <w:nsid w:val="4990626E"/>
    <w:multiLevelType w:val="hybridMultilevel"/>
    <w:tmpl w:val="CF00CC14"/>
    <w:lvl w:ilvl="0" w:tplc="0809000F">
      <w:start w:val="1"/>
      <w:numFmt w:val="decimal"/>
      <w:lvlText w:val="%1."/>
      <w:lvlJc w:val="left"/>
      <w:pPr>
        <w:ind w:left="3215" w:hanging="360"/>
      </w:pPr>
    </w:lvl>
    <w:lvl w:ilvl="1" w:tplc="BA7A65DA">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7"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4"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5" w15:restartNumberingAfterBreak="0">
    <w:nsid w:val="7C5B024A"/>
    <w:multiLevelType w:val="hybridMultilevel"/>
    <w:tmpl w:val="1F3453EC"/>
    <w:lvl w:ilvl="0" w:tplc="D60E7C1E">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476533080">
    <w:abstractNumId w:val="15"/>
    <w:lvlOverride w:ilvl="0">
      <w:lvl w:ilvl="0" w:tplc="D60E7C1E">
        <w:start w:val="1"/>
        <w:numFmt w:val="decimal"/>
        <w:lvlText w:val="%1."/>
        <w:lvlJc w:val="left"/>
        <w:pPr>
          <w:ind w:left="2591" w:hanging="360"/>
        </w:pPr>
        <w:rPr>
          <w:rFonts w:ascii="Times New Roman" w:hAnsi="Times New Roman" w:cs="Times New Roman" w:hint="default"/>
          <w:i w:val="0"/>
          <w:iCs/>
        </w:rPr>
      </w:lvl>
    </w:lvlOverride>
  </w:num>
  <w:num w:numId="2" w16cid:durableId="1861503831">
    <w:abstractNumId w:val="4"/>
  </w:num>
  <w:num w:numId="3" w16cid:durableId="72509173">
    <w:abstractNumId w:val="10"/>
    <w:lvlOverride w:ilvl="0">
      <w:lvl w:ilvl="0" w:tplc="0B82E394">
        <w:start w:val="1"/>
        <w:numFmt w:val="lowerLetter"/>
        <w:lvlText w:val="(%1)"/>
        <w:lvlJc w:val="left"/>
        <w:pPr>
          <w:ind w:left="720" w:hanging="360"/>
        </w:pPr>
      </w:lvl>
    </w:lvlOverride>
  </w:num>
  <w:num w:numId="4" w16cid:durableId="1988391299">
    <w:abstractNumId w:val="12"/>
    <w:lvlOverride w:ilvl="0">
      <w:lvl w:ilvl="0" w:tplc="0B82E394">
        <w:start w:val="1"/>
        <w:numFmt w:val="lowerLetter"/>
        <w:lvlText w:val="(%1)"/>
        <w:lvlJc w:val="left"/>
        <w:pPr>
          <w:ind w:left="720" w:hanging="360"/>
        </w:pPr>
      </w:lvl>
    </w:lvlOverride>
  </w:num>
  <w:num w:numId="5" w16cid:durableId="854733247">
    <w:abstractNumId w:val="3"/>
    <w:lvlOverride w:ilvl="0">
      <w:lvl w:ilvl="0" w:tplc="78B64472">
        <w:start w:val="1"/>
        <w:numFmt w:val="chineseCounting"/>
        <w:lvlText w:val="（%1）"/>
        <w:lvlJc w:val="left"/>
        <w:pPr>
          <w:ind w:left="720" w:hanging="360"/>
        </w:pPr>
        <w:rPr>
          <w:sz w:val="20"/>
          <w:szCs w:val="20"/>
        </w:rPr>
      </w:lvl>
    </w:lvlOverride>
  </w:num>
  <w:num w:numId="6" w16cid:durableId="786967896">
    <w:abstractNumId w:val="7"/>
    <w:lvlOverride w:ilvl="0">
      <w:lvl w:ilvl="0" w:tplc="FFFFFFFF">
        <w:start w:val="1"/>
        <w:numFmt w:val="lowerLetter"/>
        <w:lvlText w:val="(%1)"/>
        <w:lvlJc w:val="left"/>
        <w:pPr>
          <w:ind w:left="720" w:hanging="360"/>
        </w:pPr>
      </w:lvl>
    </w:lvlOverride>
  </w:num>
  <w:num w:numId="7" w16cid:durableId="219444484">
    <w:abstractNumId w:val="6"/>
  </w:num>
  <w:num w:numId="8" w16cid:durableId="63918353">
    <w:abstractNumId w:val="14"/>
    <w:lvlOverride w:ilvl="0">
      <w:lvl w:ilvl="0" w:tplc="F702C356">
        <w:start w:val="1"/>
        <w:numFmt w:val="decimal"/>
        <w:lvlText w:val="%1."/>
        <w:lvlJc w:val="left"/>
        <w:pPr>
          <w:ind w:left="777" w:hanging="360"/>
        </w:pPr>
      </w:lvl>
    </w:lvlOverride>
  </w:num>
  <w:num w:numId="9" w16cid:durableId="1980961195">
    <w:abstractNumId w:val="8"/>
    <w:lvlOverride w:ilvl="0">
      <w:lvl w:ilvl="0" w:tplc="D8D03FBC">
        <w:start w:val="1"/>
        <w:numFmt w:val="upperLetter"/>
        <w:lvlText w:val="%1."/>
        <w:lvlJc w:val="left"/>
        <w:pPr>
          <w:ind w:left="777" w:hanging="360"/>
        </w:pPr>
        <w:rPr>
          <w:rFonts w:hint="default"/>
          <w:b w:val="0"/>
          <w:bCs w:val="0"/>
          <w:i w:val="0"/>
          <w:iCs w:val="0"/>
        </w:rPr>
      </w:lvl>
    </w:lvlOverride>
  </w:num>
  <w:num w:numId="10" w16cid:durableId="1886794993">
    <w:abstractNumId w:val="5"/>
    <w:lvlOverride w:ilvl="0">
      <w:lvl w:ilvl="0" w:tplc="0809000F">
        <w:start w:val="1"/>
        <w:numFmt w:val="lowerLetter"/>
        <w:lvlText w:val="(%1)"/>
        <w:lvlJc w:val="left"/>
        <w:pPr>
          <w:ind w:left="1070" w:hanging="360"/>
        </w:pPr>
        <w:rPr>
          <w:rFonts w:hint="default"/>
        </w:rPr>
      </w:lvl>
    </w:lvlOverride>
  </w:num>
  <w:num w:numId="11" w16cid:durableId="1833132637">
    <w:abstractNumId w:val="1"/>
    <w:lvlOverride w:ilvl="0">
      <w:lvl w:ilvl="0" w:tplc="F702C356">
        <w:start w:val="1"/>
        <w:numFmt w:val="decimal"/>
        <w:lvlText w:val="%1."/>
        <w:lvlJc w:val="left"/>
        <w:pPr>
          <w:ind w:left="777" w:hanging="360"/>
        </w:pPr>
      </w:lvl>
    </w:lvlOverride>
  </w:num>
  <w:num w:numId="12" w16cid:durableId="1215045112">
    <w:abstractNumId w:val="0"/>
    <w:lvlOverride w:ilvl="0">
      <w:lvl w:ilvl="0" w:tplc="F702C356">
        <w:start w:val="1"/>
        <w:numFmt w:val="decimal"/>
        <w:lvlText w:val="%1."/>
        <w:lvlJc w:val="left"/>
        <w:pPr>
          <w:ind w:left="777" w:hanging="360"/>
        </w:pPr>
      </w:lvl>
    </w:lvlOverride>
  </w:num>
  <w:num w:numId="13" w16cid:durableId="59521584">
    <w:abstractNumId w:val="13"/>
    <w:lvlOverride w:ilvl="0">
      <w:lvl w:ilvl="0" w:tplc="F702C356">
        <w:start w:val="1"/>
        <w:numFmt w:val="decimal"/>
        <w:lvlText w:val="%1."/>
        <w:lvlJc w:val="left"/>
        <w:pPr>
          <w:ind w:left="777" w:hanging="360"/>
        </w:pPr>
      </w:lvl>
    </w:lvlOverride>
  </w:num>
  <w:num w:numId="14" w16cid:durableId="38211686">
    <w:abstractNumId w:val="11"/>
    <w:lvlOverride w:ilvl="0">
      <w:lvl w:ilvl="0" w:tplc="D8D03FBC">
        <w:start w:val="1"/>
        <w:numFmt w:val="upperLetter"/>
        <w:lvlText w:val="%1."/>
        <w:lvlJc w:val="left"/>
        <w:pPr>
          <w:ind w:left="777" w:hanging="360"/>
        </w:pPr>
        <w:rPr>
          <w:rFonts w:hint="default"/>
          <w:b w:val="0"/>
          <w:bCs w:val="0"/>
          <w:i w:val="0"/>
          <w:iCs w:val="0"/>
        </w:rPr>
      </w:lvl>
    </w:lvlOverride>
  </w:num>
  <w:num w:numId="15" w16cid:durableId="91516187">
    <w:abstractNumId w:val="9"/>
    <w:lvlOverride w:ilvl="0">
      <w:lvl w:ilvl="0" w:tplc="D8D03FBC">
        <w:start w:val="1"/>
        <w:numFmt w:val="upperLetter"/>
        <w:lvlText w:val="%1."/>
        <w:lvlJc w:val="left"/>
        <w:pPr>
          <w:ind w:left="777" w:hanging="360"/>
        </w:pPr>
        <w:rPr>
          <w:rFonts w:hint="default"/>
          <w:b w:val="0"/>
          <w:bCs w:val="0"/>
          <w:i w:val="0"/>
          <w:iCs w:val="0"/>
        </w:rPr>
      </w:lvl>
    </w:lvlOverride>
  </w:num>
  <w:num w:numId="16" w16cid:durableId="1246575532">
    <w:abstractNumId w:val="2"/>
    <w:lvlOverride w:ilvl="0">
      <w:lvl w:ilvl="0" w:tplc="D8D03FBC">
        <w:start w:val="1"/>
        <w:numFmt w:val="upperLetter"/>
        <w:lvlText w:val="%1."/>
        <w:lvlJc w:val="left"/>
        <w:pPr>
          <w:ind w:left="777" w:hanging="360"/>
        </w:pPr>
        <w:rPr>
          <w:rFonts w:hint="default"/>
          <w:b w:val="0"/>
          <w:bCs w:val="0"/>
          <w:i w:val="0"/>
          <w:iCs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7B3521"/>
    <w:rsid w:val="00836B73"/>
    <w:rsid w:val="00895852"/>
    <w:rsid w:val="00910441"/>
    <w:rsid w:val="00C84536"/>
    <w:rsid w:val="00DC41E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 w:type="character" w:styleId="Hyperlink">
    <w:name w:val="Hyperlink"/>
    <w:uiPriority w:val="99"/>
    <w:unhideWhenUsed/>
    <w:rsid w:val="00910441"/>
    <w:rPr>
      <w:rFonts w:ascii="Times New Roman" w:hAnsi="Times New Roman"/>
      <w:color w:val="auto"/>
      <w:sz w:val="20"/>
      <w:szCs w:val="20"/>
      <w:u w:val="none"/>
      <w:lang w:val="en-US"/>
    </w:rPr>
  </w:style>
  <w:style w:type="paragraph" w:styleId="ListParagraph">
    <w:name w:val="List Paragraph"/>
    <w:basedOn w:val="Normal"/>
    <w:uiPriority w:val="1"/>
    <w:qFormat/>
    <w:rsid w:val="00910441"/>
    <w:pPr>
      <w:ind w:left="720"/>
      <w:contextualSpacing/>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910441"/>
    <w:rPr>
      <w:rFonts w:ascii="Times New Roman" w:eastAsia="SimSun" w:hAnsi="Times New Roman"/>
      <w:color w:val="000000"/>
      <w:spacing w:val="-5"/>
      <w:w w:val="130"/>
      <w:position w:val="-4"/>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910441"/>
    <w:pPr>
      <w:spacing w:before="120" w:after="160" w:line="240" w:lineRule="exact"/>
    </w:pPr>
    <w:rPr>
      <w:rFonts w:eastAsia="SimSun" w:cstheme="minorBidi"/>
      <w:color w:val="000000"/>
      <w:spacing w:val="-5"/>
      <w:w w:val="130"/>
      <w:position w:val="-4"/>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285</Words>
  <Characters>1626</Characters>
  <Application>Microsoft Office Word</Application>
  <DocSecurity>0</DocSecurity>
  <Lines>13</Lines>
  <Paragraphs>3</Paragraphs>
  <ScaleCrop>false</ScaleCrop>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2023-04-27T09:09:00Z</dcterms:created>
  <dcterms:modified xsi:type="dcterms:W3CDTF">2023-04-27T09:09:00Z</dcterms:modified>
</cp:coreProperties>
</file>