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57528" w14:textId="77777777" w:rsidR="00EF2313" w:rsidRPr="00B831E7" w:rsidRDefault="00EF2313" w:rsidP="00EF2313">
      <w:pPr>
        <w:pStyle w:val="CH1"/>
        <w:spacing w:before="0"/>
      </w:pPr>
      <w:r w:rsidRPr="00B831E7">
        <w:tab/>
      </w:r>
      <w:r w:rsidRPr="00B831E7">
        <w:tab/>
        <w:t>BC-15/23: Work programme of the Open-ended Working Group for the biennium 2022–2023</w:t>
      </w:r>
    </w:p>
    <w:p w14:paraId="314C5ADF" w14:textId="77777777" w:rsidR="00EF2313" w:rsidRPr="00B831E7" w:rsidRDefault="00EF2313" w:rsidP="00EF2313">
      <w:pPr>
        <w:pStyle w:val="Normal-pool"/>
        <w:spacing w:after="120"/>
        <w:ind w:left="1247" w:firstLine="624"/>
        <w:rPr>
          <w:i/>
          <w:iCs/>
        </w:rPr>
      </w:pPr>
      <w:r w:rsidRPr="00B831E7">
        <w:rPr>
          <w:i/>
          <w:iCs/>
        </w:rPr>
        <w:t>The Conference of the Parties</w:t>
      </w:r>
    </w:p>
    <w:p w14:paraId="5946E099" w14:textId="77777777" w:rsidR="00EF2313" w:rsidRPr="00B831E7" w:rsidRDefault="00EF2313" w:rsidP="00EF2313">
      <w:pPr>
        <w:pStyle w:val="Normal-pool"/>
        <w:spacing w:after="120"/>
        <w:ind w:left="1247" w:firstLine="624"/>
      </w:pPr>
      <w:r w:rsidRPr="00B831E7">
        <w:rPr>
          <w:i/>
        </w:rPr>
        <w:t>Adopts</w:t>
      </w:r>
      <w:r w:rsidRPr="00B831E7">
        <w:rPr>
          <w:iCs/>
        </w:rPr>
        <w:t xml:space="preserve"> </w:t>
      </w:r>
      <w:r w:rsidRPr="00B831E7">
        <w:t>the work programme of the Open-ended Working Group for the biennium 2022–2023 as set out in the annex to the present decision.</w:t>
      </w:r>
    </w:p>
    <w:p w14:paraId="0F232148" w14:textId="77777777" w:rsidR="00EF2313" w:rsidRPr="00B831E7" w:rsidRDefault="00EF2313" w:rsidP="00EF2313">
      <w:pPr>
        <w:pStyle w:val="CH1"/>
      </w:pPr>
      <w:r w:rsidRPr="00B831E7">
        <w:tab/>
      </w:r>
      <w:r w:rsidRPr="00B831E7">
        <w:tab/>
        <w:t>Annex to decision BC-15/23</w:t>
      </w:r>
    </w:p>
    <w:p w14:paraId="51C07683" w14:textId="77777777" w:rsidR="00EF2313" w:rsidRPr="00B831E7" w:rsidRDefault="00EF2313" w:rsidP="00EF2313">
      <w:pPr>
        <w:pStyle w:val="CH1"/>
      </w:pPr>
      <w:r w:rsidRPr="00B831E7">
        <w:tab/>
      </w:r>
      <w:r w:rsidRPr="00B831E7">
        <w:tab/>
        <w:t>Work programme of the Open-ended Working Group for the biennium 2022–2023</w:t>
      </w:r>
    </w:p>
    <w:tbl>
      <w:tblPr>
        <w:tblW w:w="8307" w:type="dxa"/>
        <w:jc w:val="right"/>
        <w:tblLayout w:type="fixed"/>
        <w:tblLook w:val="04A0" w:firstRow="1" w:lastRow="0" w:firstColumn="1" w:lastColumn="0" w:noHBand="0" w:noVBand="1"/>
      </w:tblPr>
      <w:tblGrid>
        <w:gridCol w:w="2255"/>
        <w:gridCol w:w="3274"/>
        <w:gridCol w:w="1842"/>
        <w:gridCol w:w="936"/>
      </w:tblGrid>
      <w:tr w:rsidR="00EF2313" w:rsidRPr="00B831E7" w14:paraId="54C01520" w14:textId="77777777" w:rsidTr="00AF1B49">
        <w:trPr>
          <w:trHeight w:val="57"/>
          <w:tblHeader/>
          <w:jc w:val="right"/>
        </w:trPr>
        <w:tc>
          <w:tcPr>
            <w:tcW w:w="2255" w:type="dxa"/>
            <w:tcBorders>
              <w:top w:val="single" w:sz="4" w:space="0" w:color="auto"/>
              <w:bottom w:val="single" w:sz="12" w:space="0" w:color="auto"/>
            </w:tcBorders>
            <w:vAlign w:val="bottom"/>
          </w:tcPr>
          <w:p w14:paraId="5F8F51A2" w14:textId="77777777" w:rsidR="00EF2313" w:rsidRPr="00B831E7" w:rsidRDefault="00EF2313" w:rsidP="00AF1B49">
            <w:pPr>
              <w:pStyle w:val="Normal-pool"/>
              <w:spacing w:before="40" w:after="40"/>
              <w:ind w:right="57"/>
              <w:rPr>
                <w:i/>
                <w:iCs/>
                <w:sz w:val="18"/>
                <w:szCs w:val="18"/>
              </w:rPr>
            </w:pPr>
            <w:bookmarkStart w:id="0" w:name="_Hlk57295111"/>
            <w:r w:rsidRPr="00B831E7">
              <w:rPr>
                <w:i/>
                <w:iCs/>
                <w:sz w:val="18"/>
                <w:szCs w:val="18"/>
              </w:rPr>
              <w:t>Topics</w:t>
            </w:r>
          </w:p>
        </w:tc>
        <w:tc>
          <w:tcPr>
            <w:tcW w:w="3274" w:type="dxa"/>
            <w:tcBorders>
              <w:top w:val="single" w:sz="4" w:space="0" w:color="auto"/>
              <w:bottom w:val="single" w:sz="12" w:space="0" w:color="auto"/>
            </w:tcBorders>
            <w:vAlign w:val="bottom"/>
          </w:tcPr>
          <w:p w14:paraId="183BB016" w14:textId="77777777" w:rsidR="00EF2313" w:rsidRPr="00B831E7" w:rsidRDefault="00EF2313" w:rsidP="00AF1B49">
            <w:pPr>
              <w:pStyle w:val="Normal-pool"/>
              <w:spacing w:before="40" w:after="40"/>
              <w:ind w:right="57"/>
              <w:rPr>
                <w:i/>
                <w:iCs/>
                <w:sz w:val="18"/>
                <w:szCs w:val="18"/>
              </w:rPr>
            </w:pPr>
            <w:r w:rsidRPr="00B831E7">
              <w:rPr>
                <w:i/>
                <w:iCs/>
                <w:sz w:val="18"/>
                <w:szCs w:val="18"/>
              </w:rPr>
              <w:t>Activities</w:t>
            </w:r>
          </w:p>
        </w:tc>
        <w:tc>
          <w:tcPr>
            <w:tcW w:w="1842" w:type="dxa"/>
            <w:tcBorders>
              <w:top w:val="single" w:sz="4" w:space="0" w:color="auto"/>
              <w:bottom w:val="single" w:sz="12" w:space="0" w:color="auto"/>
            </w:tcBorders>
            <w:vAlign w:val="bottom"/>
          </w:tcPr>
          <w:p w14:paraId="44DEF59D" w14:textId="77777777" w:rsidR="00EF2313" w:rsidRPr="00B831E7" w:rsidRDefault="00EF2313" w:rsidP="00AF1B49">
            <w:pPr>
              <w:pStyle w:val="Normal-pool"/>
              <w:spacing w:before="40" w:after="40"/>
              <w:ind w:right="57"/>
              <w:rPr>
                <w:i/>
                <w:iCs/>
                <w:sz w:val="18"/>
                <w:szCs w:val="18"/>
              </w:rPr>
            </w:pPr>
            <w:r w:rsidRPr="00B831E7">
              <w:rPr>
                <w:i/>
                <w:iCs/>
                <w:sz w:val="18"/>
                <w:szCs w:val="18"/>
              </w:rPr>
              <w:t>Mandate</w:t>
            </w:r>
          </w:p>
        </w:tc>
        <w:tc>
          <w:tcPr>
            <w:tcW w:w="936" w:type="dxa"/>
            <w:tcBorders>
              <w:top w:val="single" w:sz="4" w:space="0" w:color="auto"/>
              <w:bottom w:val="single" w:sz="12" w:space="0" w:color="auto"/>
            </w:tcBorders>
            <w:vAlign w:val="bottom"/>
          </w:tcPr>
          <w:p w14:paraId="388155A9" w14:textId="77777777" w:rsidR="00EF2313" w:rsidRPr="00B831E7" w:rsidRDefault="00EF2313" w:rsidP="00AF1B49">
            <w:pPr>
              <w:pStyle w:val="Normal-pool"/>
              <w:spacing w:before="40" w:after="40"/>
              <w:ind w:right="57"/>
              <w:rPr>
                <w:i/>
                <w:iCs/>
                <w:sz w:val="18"/>
                <w:szCs w:val="18"/>
              </w:rPr>
            </w:pPr>
            <w:r w:rsidRPr="00B831E7">
              <w:rPr>
                <w:i/>
                <w:iCs/>
                <w:sz w:val="18"/>
                <w:szCs w:val="18"/>
              </w:rPr>
              <w:t>Priority</w:t>
            </w:r>
          </w:p>
        </w:tc>
      </w:tr>
      <w:tr w:rsidR="00EF2313" w:rsidRPr="00B831E7" w14:paraId="173413ED" w14:textId="77777777" w:rsidTr="00AF1B49">
        <w:trPr>
          <w:trHeight w:val="57"/>
          <w:jc w:val="right"/>
        </w:trPr>
        <w:tc>
          <w:tcPr>
            <w:tcW w:w="8307" w:type="dxa"/>
            <w:gridSpan w:val="4"/>
            <w:tcBorders>
              <w:top w:val="single" w:sz="12" w:space="0" w:color="auto"/>
            </w:tcBorders>
            <w:vAlign w:val="bottom"/>
          </w:tcPr>
          <w:p w14:paraId="67F75992" w14:textId="77777777" w:rsidR="00EF2313" w:rsidRPr="00B831E7" w:rsidRDefault="00EF2313">
            <w:pPr>
              <w:pStyle w:val="Normal-pool"/>
              <w:numPr>
                <w:ilvl w:val="0"/>
                <w:numId w:val="4"/>
              </w:numPr>
              <w:tabs>
                <w:tab w:val="clear" w:pos="1247"/>
                <w:tab w:val="clear" w:pos="2381"/>
                <w:tab w:val="clear" w:pos="2948"/>
                <w:tab w:val="clear" w:pos="3515"/>
                <w:tab w:val="clear" w:pos="4082"/>
              </w:tabs>
              <w:spacing w:before="40" w:after="40"/>
              <w:ind w:left="318" w:hanging="284"/>
              <w:rPr>
                <w:sz w:val="18"/>
                <w:szCs w:val="18"/>
              </w:rPr>
            </w:pPr>
            <w:r w:rsidRPr="00B831E7">
              <w:rPr>
                <w:b/>
                <w:sz w:val="18"/>
                <w:szCs w:val="18"/>
              </w:rPr>
              <w:t>Strategic issues</w:t>
            </w:r>
          </w:p>
        </w:tc>
      </w:tr>
      <w:tr w:rsidR="00EF2313" w:rsidRPr="00B831E7" w14:paraId="45BDC0FF" w14:textId="77777777" w:rsidTr="00AF1B49">
        <w:trPr>
          <w:trHeight w:val="890"/>
          <w:jc w:val="right"/>
        </w:trPr>
        <w:tc>
          <w:tcPr>
            <w:tcW w:w="2255" w:type="dxa"/>
            <w:tcBorders>
              <w:bottom w:val="single" w:sz="4" w:space="0" w:color="auto"/>
            </w:tcBorders>
          </w:tcPr>
          <w:p w14:paraId="43ED356D" w14:textId="77777777" w:rsidR="00EF2313" w:rsidRPr="00B831E7" w:rsidRDefault="00EF2313">
            <w:pPr>
              <w:pStyle w:val="Normal-pool"/>
              <w:numPr>
                <w:ilvl w:val="0"/>
                <w:numId w:val="3"/>
              </w:numPr>
              <w:tabs>
                <w:tab w:val="clear" w:pos="1247"/>
                <w:tab w:val="clear" w:pos="2381"/>
                <w:tab w:val="clear" w:pos="2948"/>
                <w:tab w:val="clear" w:pos="3515"/>
                <w:tab w:val="clear" w:pos="4082"/>
                <w:tab w:val="left" w:pos="300"/>
              </w:tabs>
              <w:spacing w:before="40" w:after="40"/>
              <w:ind w:left="318" w:right="57" w:hanging="284"/>
              <w:rPr>
                <w:i/>
                <w:iCs/>
                <w:sz w:val="18"/>
                <w:szCs w:val="18"/>
              </w:rPr>
            </w:pPr>
            <w:r w:rsidRPr="00B831E7">
              <w:rPr>
                <w:sz w:val="18"/>
                <w:szCs w:val="18"/>
              </w:rPr>
              <w:t>Strategic</w:t>
            </w:r>
            <w:r w:rsidRPr="00B831E7">
              <w:rPr>
                <w:bCs/>
                <w:sz w:val="18"/>
                <w:szCs w:val="18"/>
              </w:rPr>
              <w:t xml:space="preserve"> </w:t>
            </w:r>
            <w:r w:rsidRPr="00B831E7">
              <w:rPr>
                <w:sz w:val="18"/>
                <w:szCs w:val="18"/>
              </w:rPr>
              <w:t>framework</w:t>
            </w:r>
          </w:p>
        </w:tc>
        <w:tc>
          <w:tcPr>
            <w:tcW w:w="3274" w:type="dxa"/>
            <w:tcBorders>
              <w:bottom w:val="single" w:sz="4" w:space="0" w:color="auto"/>
            </w:tcBorders>
          </w:tcPr>
          <w:p w14:paraId="7E2777A0" w14:textId="77777777" w:rsidR="00EF2313" w:rsidRPr="00B831E7" w:rsidRDefault="00EF2313" w:rsidP="00AF1B49">
            <w:pPr>
              <w:pStyle w:val="Normal-pool"/>
              <w:spacing w:before="40" w:after="120"/>
              <w:ind w:right="58"/>
              <w:rPr>
                <w:bCs/>
                <w:sz w:val="18"/>
                <w:szCs w:val="18"/>
              </w:rPr>
            </w:pPr>
            <w:r w:rsidRPr="00B831E7">
              <w:rPr>
                <w:bCs/>
                <w:sz w:val="18"/>
                <w:szCs w:val="18"/>
              </w:rPr>
              <w:t>Consider the draft report of findings and recommendations to improve, as appropriate, the strategic framework for the period 2012–2021.</w:t>
            </w:r>
          </w:p>
        </w:tc>
        <w:tc>
          <w:tcPr>
            <w:tcW w:w="1842" w:type="dxa"/>
            <w:tcBorders>
              <w:bottom w:val="single" w:sz="4" w:space="0" w:color="auto"/>
            </w:tcBorders>
          </w:tcPr>
          <w:p w14:paraId="4B253DF2" w14:textId="77777777" w:rsidR="00EF2313" w:rsidRPr="00B831E7" w:rsidRDefault="00EF2313" w:rsidP="00AF1B49">
            <w:pPr>
              <w:pStyle w:val="Normal-pool"/>
              <w:spacing w:before="40" w:after="40"/>
              <w:rPr>
                <w:i/>
                <w:iCs/>
                <w:sz w:val="18"/>
                <w:szCs w:val="18"/>
              </w:rPr>
            </w:pPr>
            <w:r w:rsidRPr="00B831E7">
              <w:rPr>
                <w:sz w:val="18"/>
                <w:szCs w:val="18"/>
              </w:rPr>
              <w:t>Decision</w:t>
            </w:r>
            <w:r w:rsidRPr="00B831E7">
              <w:rPr>
                <w:bCs/>
                <w:sz w:val="18"/>
                <w:szCs w:val="18"/>
              </w:rPr>
              <w:t xml:space="preserve"> BC-15/3</w:t>
            </w:r>
          </w:p>
        </w:tc>
        <w:tc>
          <w:tcPr>
            <w:tcW w:w="936" w:type="dxa"/>
            <w:tcBorders>
              <w:bottom w:val="single" w:sz="4" w:space="0" w:color="auto"/>
            </w:tcBorders>
          </w:tcPr>
          <w:p w14:paraId="6EC63A76" w14:textId="77777777" w:rsidR="00EF2313" w:rsidRPr="00B831E7" w:rsidRDefault="00EF2313" w:rsidP="00AF1B49">
            <w:pPr>
              <w:pStyle w:val="Normal-pool"/>
              <w:spacing w:before="40" w:after="40"/>
              <w:rPr>
                <w:i/>
                <w:iCs/>
                <w:sz w:val="18"/>
                <w:szCs w:val="18"/>
              </w:rPr>
            </w:pPr>
            <w:r w:rsidRPr="00B831E7">
              <w:rPr>
                <w:sz w:val="18"/>
                <w:szCs w:val="18"/>
              </w:rPr>
              <w:t>High</w:t>
            </w:r>
          </w:p>
        </w:tc>
      </w:tr>
      <w:tr w:rsidR="00EF2313" w:rsidRPr="00B831E7" w14:paraId="58E85680" w14:textId="77777777" w:rsidTr="00AF1B49">
        <w:trPr>
          <w:trHeight w:val="57"/>
          <w:jc w:val="right"/>
        </w:trPr>
        <w:tc>
          <w:tcPr>
            <w:tcW w:w="2255" w:type="dxa"/>
            <w:vMerge w:val="restart"/>
          </w:tcPr>
          <w:p w14:paraId="1BA1C17E" w14:textId="77777777" w:rsidR="00EF2313" w:rsidRPr="00B831E7" w:rsidRDefault="00EF2313">
            <w:pPr>
              <w:pStyle w:val="Normal-pool"/>
              <w:numPr>
                <w:ilvl w:val="0"/>
                <w:numId w:val="3"/>
              </w:numPr>
              <w:tabs>
                <w:tab w:val="clear" w:pos="1247"/>
                <w:tab w:val="clear" w:pos="2381"/>
                <w:tab w:val="clear" w:pos="2948"/>
                <w:tab w:val="clear" w:pos="3515"/>
                <w:tab w:val="clear" w:pos="4082"/>
                <w:tab w:val="left" w:pos="300"/>
              </w:tabs>
              <w:spacing w:before="40" w:after="40"/>
              <w:ind w:left="318" w:right="57" w:hanging="284"/>
              <w:rPr>
                <w:sz w:val="18"/>
                <w:szCs w:val="18"/>
              </w:rPr>
            </w:pPr>
            <w:r w:rsidRPr="00B831E7">
              <w:rPr>
                <w:sz w:val="18"/>
                <w:szCs w:val="18"/>
              </w:rPr>
              <w:t>Work to improve the functioning of the Prior Informed Consent procedure</w:t>
            </w:r>
          </w:p>
        </w:tc>
        <w:tc>
          <w:tcPr>
            <w:tcW w:w="3274" w:type="dxa"/>
          </w:tcPr>
          <w:p w14:paraId="2788C3DC" w14:textId="77777777" w:rsidR="00EF2313" w:rsidRPr="00B831E7" w:rsidRDefault="00EF2313">
            <w:pPr>
              <w:pStyle w:val="Normal-pool"/>
              <w:numPr>
                <w:ilvl w:val="0"/>
                <w:numId w:val="2"/>
              </w:numPr>
              <w:tabs>
                <w:tab w:val="clear" w:pos="1247"/>
                <w:tab w:val="clear" w:pos="2381"/>
                <w:tab w:val="clear" w:pos="2948"/>
                <w:tab w:val="clear" w:pos="3515"/>
                <w:tab w:val="clear" w:pos="4082"/>
                <w:tab w:val="left" w:pos="211"/>
              </w:tabs>
              <w:spacing w:before="40" w:after="40"/>
              <w:ind w:left="204" w:right="57" w:hanging="215"/>
              <w:rPr>
                <w:bCs/>
                <w:sz w:val="18"/>
                <w:szCs w:val="18"/>
              </w:rPr>
            </w:pPr>
            <w:r w:rsidRPr="00B831E7">
              <w:rPr>
                <w:bCs/>
                <w:sz w:val="18"/>
                <w:szCs w:val="18"/>
              </w:rPr>
              <w:t xml:space="preserve">Consider the compilation and synthesis of information on challenges in the </w:t>
            </w:r>
            <w:r w:rsidRPr="00B831E7">
              <w:rPr>
                <w:sz w:val="18"/>
                <w:szCs w:val="18"/>
              </w:rPr>
              <w:t>implementation</w:t>
            </w:r>
            <w:r w:rsidRPr="00B831E7">
              <w:rPr>
                <w:bCs/>
                <w:sz w:val="18"/>
                <w:szCs w:val="18"/>
              </w:rPr>
              <w:t xml:space="preserve"> of the prior informed consent procedure and on best practices, possible approaches, </w:t>
            </w:r>
            <w:proofErr w:type="gramStart"/>
            <w:r w:rsidRPr="00B831E7">
              <w:rPr>
                <w:bCs/>
                <w:sz w:val="18"/>
                <w:szCs w:val="18"/>
              </w:rPr>
              <w:t>initiatives</w:t>
            </w:r>
            <w:proofErr w:type="gramEnd"/>
            <w:r w:rsidRPr="00B831E7">
              <w:rPr>
                <w:bCs/>
                <w:sz w:val="18"/>
                <w:szCs w:val="18"/>
              </w:rPr>
              <w:t xml:space="preserve"> and views to improve the functioning of the procedure.</w:t>
            </w:r>
          </w:p>
        </w:tc>
        <w:tc>
          <w:tcPr>
            <w:tcW w:w="1842" w:type="dxa"/>
          </w:tcPr>
          <w:p w14:paraId="44CE9488" w14:textId="77777777" w:rsidR="00EF2313" w:rsidRPr="00B831E7" w:rsidRDefault="00EF2313" w:rsidP="00AF1B49">
            <w:pPr>
              <w:pStyle w:val="Normal-pool"/>
              <w:spacing w:before="40" w:after="40"/>
              <w:rPr>
                <w:sz w:val="18"/>
                <w:szCs w:val="18"/>
              </w:rPr>
            </w:pPr>
            <w:r w:rsidRPr="00B831E7">
              <w:rPr>
                <w:sz w:val="18"/>
                <w:szCs w:val="18"/>
              </w:rPr>
              <w:t>Decision</w:t>
            </w:r>
            <w:r w:rsidRPr="00B831E7">
              <w:rPr>
                <w:bCs/>
                <w:sz w:val="18"/>
                <w:szCs w:val="18"/>
              </w:rPr>
              <w:t xml:space="preserve"> BC-15/3</w:t>
            </w:r>
          </w:p>
        </w:tc>
        <w:tc>
          <w:tcPr>
            <w:tcW w:w="936" w:type="dxa"/>
          </w:tcPr>
          <w:p w14:paraId="4424F56E" w14:textId="77777777" w:rsidR="00EF2313" w:rsidRPr="00B831E7" w:rsidRDefault="00EF2313" w:rsidP="00AF1B49">
            <w:pPr>
              <w:pStyle w:val="Normal-pool"/>
              <w:spacing w:before="40" w:after="40"/>
              <w:rPr>
                <w:sz w:val="18"/>
                <w:szCs w:val="18"/>
              </w:rPr>
            </w:pPr>
            <w:r w:rsidRPr="00B831E7">
              <w:rPr>
                <w:sz w:val="18"/>
                <w:szCs w:val="18"/>
              </w:rPr>
              <w:t>High</w:t>
            </w:r>
          </w:p>
        </w:tc>
      </w:tr>
      <w:tr w:rsidR="00EF2313" w:rsidRPr="00B831E7" w14:paraId="36EFD12A" w14:textId="77777777" w:rsidTr="00AF1B49">
        <w:trPr>
          <w:trHeight w:val="57"/>
          <w:jc w:val="right"/>
        </w:trPr>
        <w:tc>
          <w:tcPr>
            <w:tcW w:w="2255" w:type="dxa"/>
            <w:vMerge/>
            <w:tcBorders>
              <w:bottom w:val="single" w:sz="4" w:space="0" w:color="auto"/>
            </w:tcBorders>
          </w:tcPr>
          <w:p w14:paraId="644B48A9" w14:textId="77777777" w:rsidR="00EF2313" w:rsidRPr="00B831E7" w:rsidRDefault="00EF2313" w:rsidP="00AF1B49">
            <w:pPr>
              <w:pStyle w:val="Normal-pool"/>
              <w:tabs>
                <w:tab w:val="clear" w:pos="1247"/>
                <w:tab w:val="left" w:pos="300"/>
              </w:tabs>
              <w:spacing w:before="40" w:after="40"/>
              <w:ind w:right="57"/>
              <w:rPr>
                <w:sz w:val="18"/>
                <w:szCs w:val="18"/>
              </w:rPr>
            </w:pPr>
          </w:p>
        </w:tc>
        <w:tc>
          <w:tcPr>
            <w:tcW w:w="3274" w:type="dxa"/>
            <w:tcBorders>
              <w:bottom w:val="single" w:sz="4" w:space="0" w:color="auto"/>
            </w:tcBorders>
          </w:tcPr>
          <w:p w14:paraId="372F6545" w14:textId="77777777" w:rsidR="00EF2313" w:rsidRPr="00B831E7" w:rsidRDefault="00EF2313">
            <w:pPr>
              <w:pStyle w:val="Normal-pool"/>
              <w:numPr>
                <w:ilvl w:val="0"/>
                <w:numId w:val="2"/>
              </w:numPr>
              <w:tabs>
                <w:tab w:val="clear" w:pos="1247"/>
                <w:tab w:val="clear" w:pos="2381"/>
                <w:tab w:val="clear" w:pos="2948"/>
                <w:tab w:val="clear" w:pos="3515"/>
                <w:tab w:val="clear" w:pos="4082"/>
                <w:tab w:val="left" w:pos="211"/>
              </w:tabs>
              <w:spacing w:before="40" w:after="40"/>
              <w:ind w:left="208" w:right="57" w:hanging="218"/>
              <w:rPr>
                <w:bCs/>
                <w:sz w:val="18"/>
                <w:szCs w:val="18"/>
              </w:rPr>
            </w:pPr>
            <w:proofErr w:type="gramStart"/>
            <w:r w:rsidRPr="00B831E7">
              <w:rPr>
                <w:bCs/>
                <w:sz w:val="18"/>
                <w:szCs w:val="18"/>
              </w:rPr>
              <w:t>On the basis of</w:t>
            </w:r>
            <w:proofErr w:type="gramEnd"/>
            <w:r w:rsidRPr="00B831E7">
              <w:rPr>
                <w:bCs/>
                <w:sz w:val="18"/>
                <w:szCs w:val="18"/>
              </w:rPr>
              <w:t xml:space="preserve"> its consideration of the </w:t>
            </w:r>
            <w:r w:rsidRPr="00B831E7">
              <w:rPr>
                <w:sz w:val="18"/>
                <w:szCs w:val="18"/>
              </w:rPr>
              <w:t>compilation</w:t>
            </w:r>
            <w:r w:rsidRPr="00B831E7">
              <w:rPr>
                <w:bCs/>
                <w:sz w:val="18"/>
                <w:szCs w:val="18"/>
              </w:rPr>
              <w:t xml:space="preserve"> and synthesis of information referred to in paragraph 1, develop draft recommendations for consideration by the Conference of the Parties at its sixteenth meeting.</w:t>
            </w:r>
          </w:p>
        </w:tc>
        <w:tc>
          <w:tcPr>
            <w:tcW w:w="1842" w:type="dxa"/>
            <w:tcBorders>
              <w:bottom w:val="single" w:sz="4" w:space="0" w:color="auto"/>
            </w:tcBorders>
          </w:tcPr>
          <w:p w14:paraId="304CD4CB" w14:textId="77777777" w:rsidR="00EF2313" w:rsidRPr="00B831E7" w:rsidRDefault="00EF2313" w:rsidP="00AF1B49">
            <w:pPr>
              <w:pStyle w:val="Normal-pool"/>
              <w:spacing w:before="40" w:after="40"/>
              <w:rPr>
                <w:sz w:val="18"/>
                <w:szCs w:val="18"/>
              </w:rPr>
            </w:pPr>
            <w:r w:rsidRPr="00B831E7">
              <w:rPr>
                <w:sz w:val="18"/>
                <w:szCs w:val="18"/>
              </w:rPr>
              <w:t>Decision</w:t>
            </w:r>
            <w:r w:rsidRPr="00B831E7">
              <w:rPr>
                <w:bCs/>
                <w:sz w:val="18"/>
                <w:szCs w:val="18"/>
              </w:rPr>
              <w:t xml:space="preserve"> BC-15/3</w:t>
            </w:r>
          </w:p>
        </w:tc>
        <w:tc>
          <w:tcPr>
            <w:tcW w:w="936" w:type="dxa"/>
            <w:tcBorders>
              <w:bottom w:val="single" w:sz="4" w:space="0" w:color="auto"/>
            </w:tcBorders>
          </w:tcPr>
          <w:p w14:paraId="0E8C4997" w14:textId="77777777" w:rsidR="00EF2313" w:rsidRPr="00B831E7" w:rsidRDefault="00EF2313" w:rsidP="00AF1B49">
            <w:pPr>
              <w:pStyle w:val="Normal-pool"/>
              <w:spacing w:before="40" w:after="40"/>
              <w:rPr>
                <w:sz w:val="18"/>
                <w:szCs w:val="18"/>
              </w:rPr>
            </w:pPr>
            <w:r w:rsidRPr="00B831E7">
              <w:rPr>
                <w:sz w:val="18"/>
                <w:szCs w:val="18"/>
              </w:rPr>
              <w:t>High</w:t>
            </w:r>
          </w:p>
        </w:tc>
      </w:tr>
      <w:tr w:rsidR="00EF2313" w:rsidRPr="00B831E7" w14:paraId="6709DB87" w14:textId="77777777" w:rsidTr="00AF1B49">
        <w:trPr>
          <w:trHeight w:val="57"/>
          <w:jc w:val="right"/>
        </w:trPr>
        <w:tc>
          <w:tcPr>
            <w:tcW w:w="8307" w:type="dxa"/>
            <w:gridSpan w:val="4"/>
          </w:tcPr>
          <w:p w14:paraId="293811A6" w14:textId="77777777" w:rsidR="00EF2313" w:rsidRPr="00B831E7" w:rsidRDefault="00EF2313">
            <w:pPr>
              <w:pStyle w:val="Normal-pool"/>
              <w:numPr>
                <w:ilvl w:val="0"/>
                <w:numId w:val="4"/>
              </w:numPr>
              <w:tabs>
                <w:tab w:val="clear" w:pos="1247"/>
                <w:tab w:val="clear" w:pos="2381"/>
                <w:tab w:val="clear" w:pos="2948"/>
                <w:tab w:val="clear" w:pos="3515"/>
                <w:tab w:val="clear" w:pos="4082"/>
              </w:tabs>
              <w:spacing w:before="40" w:after="40"/>
              <w:ind w:left="318" w:hanging="284"/>
              <w:rPr>
                <w:sz w:val="18"/>
                <w:szCs w:val="18"/>
              </w:rPr>
            </w:pPr>
            <w:r w:rsidRPr="00B831E7">
              <w:rPr>
                <w:b/>
                <w:sz w:val="18"/>
                <w:szCs w:val="18"/>
              </w:rPr>
              <w:t>Scientific and technical matters</w:t>
            </w:r>
          </w:p>
        </w:tc>
      </w:tr>
      <w:tr w:rsidR="00EF2313" w:rsidRPr="00B831E7" w14:paraId="33AC62CD" w14:textId="77777777" w:rsidTr="00AF1B49">
        <w:trPr>
          <w:trHeight w:val="57"/>
          <w:jc w:val="right"/>
        </w:trPr>
        <w:tc>
          <w:tcPr>
            <w:tcW w:w="2255" w:type="dxa"/>
            <w:vMerge w:val="restart"/>
          </w:tcPr>
          <w:p w14:paraId="0037BC2A" w14:textId="77777777" w:rsidR="00EF2313" w:rsidRPr="00B831E7" w:rsidRDefault="00EF2313">
            <w:pPr>
              <w:pStyle w:val="Normal-pool"/>
              <w:numPr>
                <w:ilvl w:val="0"/>
                <w:numId w:val="9"/>
              </w:numPr>
              <w:tabs>
                <w:tab w:val="clear" w:pos="1247"/>
                <w:tab w:val="clear" w:pos="2381"/>
                <w:tab w:val="clear" w:pos="2948"/>
                <w:tab w:val="clear" w:pos="3515"/>
                <w:tab w:val="clear" w:pos="4082"/>
                <w:tab w:val="left" w:pos="300"/>
              </w:tabs>
              <w:spacing w:before="40" w:after="40"/>
              <w:ind w:left="318" w:right="57" w:hanging="284"/>
              <w:rPr>
                <w:sz w:val="18"/>
                <w:szCs w:val="18"/>
              </w:rPr>
            </w:pPr>
            <w:r w:rsidRPr="00B831E7">
              <w:rPr>
                <w:sz w:val="18"/>
                <w:szCs w:val="18"/>
              </w:rPr>
              <w:t>Technical guidelines</w:t>
            </w:r>
          </w:p>
        </w:tc>
        <w:tc>
          <w:tcPr>
            <w:tcW w:w="3274" w:type="dxa"/>
          </w:tcPr>
          <w:p w14:paraId="753A3CDE" w14:textId="77777777" w:rsidR="00EF2313" w:rsidRPr="00B831E7" w:rsidRDefault="00EF2313">
            <w:pPr>
              <w:pStyle w:val="Normal-pool"/>
              <w:numPr>
                <w:ilvl w:val="0"/>
                <w:numId w:val="8"/>
              </w:numPr>
              <w:tabs>
                <w:tab w:val="clear" w:pos="1247"/>
                <w:tab w:val="clear" w:pos="2381"/>
                <w:tab w:val="clear" w:pos="2948"/>
                <w:tab w:val="clear" w:pos="3515"/>
                <w:tab w:val="clear" w:pos="4082"/>
                <w:tab w:val="left" w:pos="211"/>
              </w:tabs>
              <w:spacing w:before="40" w:after="40"/>
              <w:ind w:left="208" w:right="57" w:hanging="218"/>
              <w:rPr>
                <w:sz w:val="18"/>
                <w:szCs w:val="18"/>
              </w:rPr>
            </w:pPr>
            <w:r w:rsidRPr="00B831E7">
              <w:rPr>
                <w:sz w:val="18"/>
                <w:szCs w:val="18"/>
              </w:rPr>
              <w:t>Consider comments and information relating to the review of provisional low persistent organic pollutant content values in the general technical guidelines referred to in decision BC</w:t>
            </w:r>
            <w:r w:rsidRPr="00B831E7">
              <w:rPr>
                <w:sz w:val="18"/>
                <w:szCs w:val="18"/>
              </w:rPr>
              <w:noBreakHyphen/>
              <w:t>15/6 and other technical guidelines, as appropriate.</w:t>
            </w:r>
          </w:p>
        </w:tc>
        <w:tc>
          <w:tcPr>
            <w:tcW w:w="1842" w:type="dxa"/>
          </w:tcPr>
          <w:p w14:paraId="563E17E5" w14:textId="77777777" w:rsidR="00EF2313" w:rsidRPr="00B831E7" w:rsidRDefault="00EF2313" w:rsidP="00AF1B49">
            <w:pPr>
              <w:pStyle w:val="Normal-pool"/>
              <w:spacing w:before="40" w:after="40"/>
              <w:rPr>
                <w:sz w:val="18"/>
                <w:szCs w:val="18"/>
              </w:rPr>
            </w:pPr>
            <w:r w:rsidRPr="00B831E7">
              <w:rPr>
                <w:sz w:val="18"/>
                <w:szCs w:val="18"/>
              </w:rPr>
              <w:t>Decision BC-15/6</w:t>
            </w:r>
          </w:p>
        </w:tc>
        <w:tc>
          <w:tcPr>
            <w:tcW w:w="936" w:type="dxa"/>
          </w:tcPr>
          <w:p w14:paraId="27278F2C" w14:textId="77777777" w:rsidR="00EF2313" w:rsidRPr="00B831E7" w:rsidRDefault="00EF2313" w:rsidP="00AF1B49">
            <w:pPr>
              <w:pStyle w:val="Normal-pool"/>
              <w:spacing w:before="40" w:after="40"/>
              <w:rPr>
                <w:sz w:val="18"/>
                <w:szCs w:val="18"/>
              </w:rPr>
            </w:pPr>
            <w:r w:rsidRPr="00B831E7">
              <w:rPr>
                <w:sz w:val="18"/>
                <w:szCs w:val="18"/>
              </w:rPr>
              <w:t>High</w:t>
            </w:r>
          </w:p>
        </w:tc>
      </w:tr>
      <w:tr w:rsidR="00EF2313" w:rsidRPr="00B831E7" w14:paraId="7BE37E64" w14:textId="77777777" w:rsidTr="00AF1B49">
        <w:trPr>
          <w:trHeight w:val="57"/>
          <w:jc w:val="right"/>
        </w:trPr>
        <w:tc>
          <w:tcPr>
            <w:tcW w:w="2255" w:type="dxa"/>
            <w:vMerge/>
          </w:tcPr>
          <w:p w14:paraId="775727D0" w14:textId="77777777" w:rsidR="00EF2313" w:rsidRPr="00B831E7" w:rsidRDefault="00EF2313" w:rsidP="00AF1B49">
            <w:pPr>
              <w:pStyle w:val="Normal-pool"/>
              <w:tabs>
                <w:tab w:val="left" w:pos="300"/>
              </w:tabs>
              <w:spacing w:before="40" w:after="40"/>
              <w:ind w:left="57" w:right="57"/>
              <w:rPr>
                <w:sz w:val="18"/>
                <w:szCs w:val="18"/>
              </w:rPr>
            </w:pPr>
          </w:p>
        </w:tc>
        <w:tc>
          <w:tcPr>
            <w:tcW w:w="3274" w:type="dxa"/>
          </w:tcPr>
          <w:p w14:paraId="659F527E" w14:textId="77777777" w:rsidR="00EF2313" w:rsidRPr="00B831E7" w:rsidRDefault="00EF2313">
            <w:pPr>
              <w:pStyle w:val="Normal-pool"/>
              <w:numPr>
                <w:ilvl w:val="0"/>
                <w:numId w:val="8"/>
              </w:numPr>
              <w:tabs>
                <w:tab w:val="clear" w:pos="1247"/>
                <w:tab w:val="clear" w:pos="2381"/>
                <w:tab w:val="clear" w:pos="2948"/>
                <w:tab w:val="clear" w:pos="3515"/>
                <w:tab w:val="clear" w:pos="4082"/>
                <w:tab w:val="left" w:pos="211"/>
              </w:tabs>
              <w:spacing w:before="40" w:after="40"/>
              <w:ind w:left="208" w:right="57" w:hanging="218"/>
              <w:rPr>
                <w:sz w:val="18"/>
                <w:szCs w:val="18"/>
              </w:rPr>
            </w:pPr>
            <w:r w:rsidRPr="00B831E7">
              <w:rPr>
                <w:sz w:val="18"/>
                <w:szCs w:val="18"/>
              </w:rPr>
              <w:t xml:space="preserve">Update the general technical guidelines for the environmentally sound management of wastes consisting of, containing or contaminated with persistent organic pollutants, and the technical guidelines on </w:t>
            </w:r>
            <w:proofErr w:type="spellStart"/>
            <w:r w:rsidRPr="00B831E7">
              <w:rPr>
                <w:sz w:val="18"/>
                <w:szCs w:val="18"/>
              </w:rPr>
              <w:t>perfluorooctane</w:t>
            </w:r>
            <w:proofErr w:type="spellEnd"/>
            <w:r w:rsidRPr="00B831E7">
              <w:rPr>
                <w:sz w:val="18"/>
                <w:szCs w:val="18"/>
              </w:rPr>
              <w:t xml:space="preserve"> sulfonic acid, its salts and </w:t>
            </w:r>
            <w:proofErr w:type="spellStart"/>
            <w:r w:rsidRPr="00B831E7">
              <w:rPr>
                <w:sz w:val="18"/>
                <w:szCs w:val="18"/>
              </w:rPr>
              <w:t>perfluorooctane</w:t>
            </w:r>
            <w:proofErr w:type="spellEnd"/>
            <w:r w:rsidRPr="00B831E7">
              <w:rPr>
                <w:sz w:val="18"/>
                <w:szCs w:val="18"/>
              </w:rPr>
              <w:t xml:space="preserve"> sulfonyl fluoride and perfluorooctanoic acid (PFOA), its salts and PFOA-related compounds, to include </w:t>
            </w:r>
            <w:proofErr w:type="spellStart"/>
            <w:r w:rsidRPr="00B831E7">
              <w:rPr>
                <w:sz w:val="18"/>
                <w:szCs w:val="18"/>
              </w:rPr>
              <w:t>perfluorohexane</w:t>
            </w:r>
            <w:proofErr w:type="spellEnd"/>
            <w:r w:rsidRPr="00B831E7">
              <w:rPr>
                <w:sz w:val="18"/>
                <w:szCs w:val="18"/>
              </w:rPr>
              <w:t xml:space="preserve"> sulfonic acid (</w:t>
            </w:r>
            <w:proofErr w:type="spellStart"/>
            <w:r w:rsidRPr="00B831E7">
              <w:rPr>
                <w:sz w:val="18"/>
                <w:szCs w:val="18"/>
              </w:rPr>
              <w:t>PFHxS</w:t>
            </w:r>
            <w:proofErr w:type="spellEnd"/>
            <w:r w:rsidRPr="00B831E7">
              <w:rPr>
                <w:sz w:val="18"/>
                <w:szCs w:val="18"/>
              </w:rPr>
              <w:t xml:space="preserve">), its salts and </w:t>
            </w:r>
            <w:proofErr w:type="spellStart"/>
            <w:r w:rsidRPr="00B831E7">
              <w:rPr>
                <w:sz w:val="18"/>
                <w:szCs w:val="18"/>
              </w:rPr>
              <w:t>PFHxS</w:t>
            </w:r>
            <w:proofErr w:type="spellEnd"/>
            <w:r w:rsidRPr="00B831E7">
              <w:rPr>
                <w:sz w:val="18"/>
                <w:szCs w:val="18"/>
              </w:rPr>
              <w:t>-related compounds, taking into account decision SC-10/9 of the Conference of the Parties to the Stockholm Convention, including the following:</w:t>
            </w:r>
          </w:p>
          <w:p w14:paraId="2C2C9666" w14:textId="77777777" w:rsidR="00EF2313" w:rsidRPr="00B831E7" w:rsidRDefault="00EF2313">
            <w:pPr>
              <w:pStyle w:val="Normal-pool"/>
              <w:keepNext/>
              <w:keepLines/>
              <w:numPr>
                <w:ilvl w:val="0"/>
                <w:numId w:val="5"/>
              </w:numPr>
              <w:tabs>
                <w:tab w:val="clear" w:pos="1247"/>
                <w:tab w:val="clear" w:pos="1814"/>
                <w:tab w:val="clear" w:pos="2381"/>
                <w:tab w:val="clear" w:pos="2948"/>
                <w:tab w:val="clear" w:pos="3515"/>
                <w:tab w:val="clear" w:pos="4082"/>
                <w:tab w:val="left" w:pos="481"/>
              </w:tabs>
              <w:spacing w:before="40" w:after="40"/>
              <w:ind w:left="465" w:right="57" w:hanging="284"/>
              <w:rPr>
                <w:rFonts w:eastAsia="Batang"/>
                <w:sz w:val="18"/>
                <w:szCs w:val="18"/>
                <w:lang w:eastAsia="ko-KR"/>
              </w:rPr>
            </w:pPr>
            <w:r w:rsidRPr="00B831E7">
              <w:rPr>
                <w:sz w:val="18"/>
                <w:szCs w:val="18"/>
              </w:rPr>
              <w:lastRenderedPageBreak/>
              <w:t xml:space="preserve">Establishment of levels of destruction and irreversible transformation for the chemicals necessary to ensure that, when disposed of, they do not exhibit the characteristics of persistent organic pollutants specified in paragraph 1 of Annex D to the Stockholm </w:t>
            </w:r>
            <w:proofErr w:type="gramStart"/>
            <w:r w:rsidRPr="00B831E7">
              <w:rPr>
                <w:sz w:val="18"/>
                <w:szCs w:val="18"/>
              </w:rPr>
              <w:t>Convention;</w:t>
            </w:r>
            <w:proofErr w:type="gramEnd"/>
            <w:r w:rsidRPr="00B831E7">
              <w:rPr>
                <w:sz w:val="18"/>
                <w:szCs w:val="18"/>
              </w:rPr>
              <w:t xml:space="preserve"> </w:t>
            </w:r>
          </w:p>
          <w:p w14:paraId="45928CBD" w14:textId="77777777" w:rsidR="00EF2313" w:rsidRPr="00B831E7" w:rsidRDefault="00EF2313">
            <w:pPr>
              <w:pStyle w:val="Normal-pool"/>
              <w:numPr>
                <w:ilvl w:val="0"/>
                <w:numId w:val="5"/>
              </w:numPr>
              <w:tabs>
                <w:tab w:val="clear" w:pos="1247"/>
                <w:tab w:val="clear" w:pos="2381"/>
                <w:tab w:val="clear" w:pos="2948"/>
                <w:tab w:val="clear" w:pos="3515"/>
                <w:tab w:val="clear" w:pos="4082"/>
                <w:tab w:val="left" w:pos="481"/>
              </w:tabs>
              <w:spacing w:before="40" w:after="40"/>
              <w:ind w:left="465" w:right="57" w:hanging="284"/>
              <w:rPr>
                <w:sz w:val="18"/>
                <w:szCs w:val="18"/>
              </w:rPr>
            </w:pPr>
            <w:r w:rsidRPr="00B831E7">
              <w:rPr>
                <w:sz w:val="18"/>
                <w:szCs w:val="18"/>
              </w:rPr>
              <w:t xml:space="preserve">Determination of which disposal methods constitute environmentally sound disposal as referred to in paragraph 1 (d) (ii) of Article 6 of the Stockholm </w:t>
            </w:r>
            <w:proofErr w:type="gramStart"/>
            <w:r w:rsidRPr="00B831E7">
              <w:rPr>
                <w:sz w:val="18"/>
                <w:szCs w:val="18"/>
              </w:rPr>
              <w:t>Convention;</w:t>
            </w:r>
            <w:proofErr w:type="gramEnd"/>
            <w:r w:rsidRPr="00B831E7">
              <w:rPr>
                <w:sz w:val="18"/>
                <w:szCs w:val="18"/>
              </w:rPr>
              <w:t xml:space="preserve"> </w:t>
            </w:r>
          </w:p>
          <w:p w14:paraId="222E05A7" w14:textId="77777777" w:rsidR="00EF2313" w:rsidRPr="00B831E7" w:rsidRDefault="00EF2313">
            <w:pPr>
              <w:pStyle w:val="Normal-pool"/>
              <w:numPr>
                <w:ilvl w:val="0"/>
                <w:numId w:val="5"/>
              </w:numPr>
              <w:tabs>
                <w:tab w:val="clear" w:pos="1247"/>
                <w:tab w:val="clear" w:pos="2381"/>
                <w:tab w:val="clear" w:pos="2948"/>
                <w:tab w:val="clear" w:pos="3515"/>
                <w:tab w:val="clear" w:pos="4082"/>
                <w:tab w:val="left" w:pos="481"/>
              </w:tabs>
              <w:spacing w:before="40" w:after="40"/>
              <w:ind w:left="475" w:right="58" w:hanging="288"/>
              <w:rPr>
                <w:sz w:val="18"/>
                <w:szCs w:val="18"/>
              </w:rPr>
            </w:pPr>
            <w:r w:rsidRPr="00B831E7">
              <w:rPr>
                <w:sz w:val="18"/>
                <w:szCs w:val="18"/>
              </w:rPr>
              <w:t xml:space="preserve">Establishment, as appropriate, of the concentration levels of the chemicals </w:t>
            </w:r>
            <w:proofErr w:type="gramStart"/>
            <w:r w:rsidRPr="00B831E7">
              <w:rPr>
                <w:sz w:val="18"/>
                <w:szCs w:val="18"/>
              </w:rPr>
              <w:t>in order to</w:t>
            </w:r>
            <w:proofErr w:type="gramEnd"/>
            <w:r w:rsidRPr="00B831E7">
              <w:rPr>
                <w:sz w:val="18"/>
                <w:szCs w:val="18"/>
              </w:rPr>
              <w:t xml:space="preserve"> define for them low persistent organic pollutant content as referred to in paragraph 1 (d) (ii) of Article 6 of the Stockholm Convention.</w:t>
            </w:r>
          </w:p>
        </w:tc>
        <w:tc>
          <w:tcPr>
            <w:tcW w:w="1842" w:type="dxa"/>
          </w:tcPr>
          <w:p w14:paraId="5A9BAD16" w14:textId="77777777" w:rsidR="00EF2313" w:rsidRPr="00B831E7" w:rsidRDefault="00EF2313" w:rsidP="00AF1B49">
            <w:pPr>
              <w:pStyle w:val="Normal-pool"/>
              <w:spacing w:before="40" w:after="40"/>
              <w:rPr>
                <w:sz w:val="18"/>
                <w:szCs w:val="18"/>
              </w:rPr>
            </w:pPr>
            <w:r w:rsidRPr="00B831E7">
              <w:rPr>
                <w:sz w:val="18"/>
                <w:szCs w:val="18"/>
              </w:rPr>
              <w:lastRenderedPageBreak/>
              <w:t>Decision BC-15/6</w:t>
            </w:r>
          </w:p>
        </w:tc>
        <w:tc>
          <w:tcPr>
            <w:tcW w:w="936" w:type="dxa"/>
          </w:tcPr>
          <w:p w14:paraId="214C0188" w14:textId="77777777" w:rsidR="00EF2313" w:rsidRPr="00B831E7" w:rsidRDefault="00EF2313" w:rsidP="00AF1B49">
            <w:pPr>
              <w:pStyle w:val="Normal-pool"/>
              <w:spacing w:before="40" w:after="40"/>
              <w:rPr>
                <w:sz w:val="18"/>
                <w:szCs w:val="18"/>
              </w:rPr>
            </w:pPr>
            <w:r w:rsidRPr="00B831E7">
              <w:rPr>
                <w:sz w:val="18"/>
                <w:szCs w:val="18"/>
              </w:rPr>
              <w:t>High</w:t>
            </w:r>
          </w:p>
        </w:tc>
      </w:tr>
      <w:tr w:rsidR="00EF2313" w:rsidRPr="00B831E7" w14:paraId="1E2C50D0" w14:textId="77777777" w:rsidTr="00AF1B49">
        <w:trPr>
          <w:trHeight w:val="57"/>
          <w:jc w:val="right"/>
        </w:trPr>
        <w:tc>
          <w:tcPr>
            <w:tcW w:w="2255" w:type="dxa"/>
            <w:vMerge/>
          </w:tcPr>
          <w:p w14:paraId="6174C72D" w14:textId="77777777" w:rsidR="00EF2313" w:rsidRPr="00B831E7" w:rsidRDefault="00EF2313" w:rsidP="00AF1B49">
            <w:pPr>
              <w:pStyle w:val="Normal-pool"/>
              <w:tabs>
                <w:tab w:val="left" w:pos="300"/>
              </w:tabs>
              <w:spacing w:before="40" w:after="40"/>
              <w:ind w:left="57" w:right="57"/>
              <w:rPr>
                <w:sz w:val="18"/>
                <w:szCs w:val="18"/>
              </w:rPr>
            </w:pPr>
          </w:p>
        </w:tc>
        <w:tc>
          <w:tcPr>
            <w:tcW w:w="3274" w:type="dxa"/>
          </w:tcPr>
          <w:p w14:paraId="5809E522" w14:textId="77777777" w:rsidR="00EF2313" w:rsidRPr="00B831E7" w:rsidRDefault="00EF2313">
            <w:pPr>
              <w:pStyle w:val="Normal-pool"/>
              <w:numPr>
                <w:ilvl w:val="0"/>
                <w:numId w:val="8"/>
              </w:numPr>
              <w:tabs>
                <w:tab w:val="clear" w:pos="1247"/>
                <w:tab w:val="clear" w:pos="2381"/>
                <w:tab w:val="clear" w:pos="2948"/>
                <w:tab w:val="clear" w:pos="3515"/>
                <w:tab w:val="clear" w:pos="4082"/>
                <w:tab w:val="left" w:pos="211"/>
              </w:tabs>
              <w:spacing w:before="40" w:after="40"/>
              <w:ind w:left="202" w:right="58" w:hanging="216"/>
              <w:rPr>
                <w:sz w:val="18"/>
                <w:szCs w:val="18"/>
              </w:rPr>
            </w:pPr>
            <w:r w:rsidRPr="00B831E7">
              <w:rPr>
                <w:sz w:val="18"/>
                <w:szCs w:val="18"/>
              </w:rPr>
              <w:t xml:space="preserve">Consider the report on progress in the implementation of decision BC-15/7 on technical guidelines on transboundary movements of electrical and electronic waste and used electrical and electronic equipment, </w:t>
            </w:r>
            <w:proofErr w:type="gramStart"/>
            <w:r w:rsidRPr="00B831E7">
              <w:rPr>
                <w:sz w:val="18"/>
                <w:szCs w:val="18"/>
              </w:rPr>
              <w:t>in particular regarding</w:t>
            </w:r>
            <w:proofErr w:type="gramEnd"/>
            <w:r w:rsidRPr="00B831E7">
              <w:rPr>
                <w:sz w:val="18"/>
                <w:szCs w:val="18"/>
              </w:rPr>
              <w:t xml:space="preserve"> the distinction between waste and non</w:t>
            </w:r>
            <w:r w:rsidRPr="00B831E7">
              <w:rPr>
                <w:sz w:val="18"/>
                <w:szCs w:val="18"/>
              </w:rPr>
              <w:noBreakHyphen/>
              <w:t>waste under the Basel Convention.</w:t>
            </w:r>
          </w:p>
        </w:tc>
        <w:tc>
          <w:tcPr>
            <w:tcW w:w="1842" w:type="dxa"/>
          </w:tcPr>
          <w:p w14:paraId="0EA836C0" w14:textId="77777777" w:rsidR="00EF2313" w:rsidRPr="00B831E7" w:rsidRDefault="00EF2313" w:rsidP="00AF1B49">
            <w:pPr>
              <w:pStyle w:val="Normal-pool"/>
              <w:spacing w:before="40" w:after="40"/>
              <w:rPr>
                <w:sz w:val="18"/>
                <w:szCs w:val="18"/>
              </w:rPr>
            </w:pPr>
            <w:r w:rsidRPr="00B831E7">
              <w:rPr>
                <w:sz w:val="18"/>
                <w:szCs w:val="18"/>
              </w:rPr>
              <w:t>Decision BC-15/7</w:t>
            </w:r>
          </w:p>
        </w:tc>
        <w:tc>
          <w:tcPr>
            <w:tcW w:w="936" w:type="dxa"/>
          </w:tcPr>
          <w:p w14:paraId="66491EB7" w14:textId="77777777" w:rsidR="00EF2313" w:rsidRPr="00B831E7" w:rsidRDefault="00EF2313" w:rsidP="00AF1B49">
            <w:pPr>
              <w:pStyle w:val="Normal-pool"/>
              <w:spacing w:before="40" w:after="40"/>
              <w:rPr>
                <w:sz w:val="18"/>
                <w:szCs w:val="18"/>
              </w:rPr>
            </w:pPr>
            <w:r w:rsidRPr="00B831E7">
              <w:rPr>
                <w:sz w:val="18"/>
                <w:szCs w:val="18"/>
              </w:rPr>
              <w:t>Medium</w:t>
            </w:r>
          </w:p>
        </w:tc>
      </w:tr>
      <w:tr w:rsidR="00EF2313" w:rsidRPr="00B831E7" w14:paraId="69127C5A" w14:textId="77777777" w:rsidTr="00AF1B49">
        <w:trPr>
          <w:trHeight w:val="57"/>
          <w:jc w:val="right"/>
        </w:trPr>
        <w:tc>
          <w:tcPr>
            <w:tcW w:w="2255" w:type="dxa"/>
            <w:vMerge/>
          </w:tcPr>
          <w:p w14:paraId="2524F87B" w14:textId="77777777" w:rsidR="00EF2313" w:rsidRPr="00B831E7" w:rsidRDefault="00EF2313" w:rsidP="00AF1B49">
            <w:pPr>
              <w:pStyle w:val="Normal-pool"/>
              <w:tabs>
                <w:tab w:val="left" w:pos="300"/>
              </w:tabs>
              <w:spacing w:before="40" w:after="40"/>
              <w:ind w:left="57" w:right="57"/>
              <w:rPr>
                <w:sz w:val="18"/>
                <w:szCs w:val="18"/>
              </w:rPr>
            </w:pPr>
          </w:p>
        </w:tc>
        <w:tc>
          <w:tcPr>
            <w:tcW w:w="3274" w:type="dxa"/>
          </w:tcPr>
          <w:p w14:paraId="165D5403" w14:textId="77777777" w:rsidR="00EF2313" w:rsidRPr="00B831E7" w:rsidRDefault="00EF2313">
            <w:pPr>
              <w:pStyle w:val="Normal-pool"/>
              <w:numPr>
                <w:ilvl w:val="0"/>
                <w:numId w:val="8"/>
              </w:numPr>
              <w:tabs>
                <w:tab w:val="clear" w:pos="1247"/>
                <w:tab w:val="clear" w:pos="2381"/>
                <w:tab w:val="clear" w:pos="2948"/>
                <w:tab w:val="clear" w:pos="3515"/>
                <w:tab w:val="clear" w:pos="4082"/>
                <w:tab w:val="left" w:pos="211"/>
              </w:tabs>
              <w:spacing w:before="40" w:after="40"/>
              <w:ind w:left="202" w:right="58" w:hanging="216"/>
              <w:rPr>
                <w:sz w:val="18"/>
                <w:szCs w:val="18"/>
              </w:rPr>
            </w:pPr>
            <w:r w:rsidRPr="00B831E7">
              <w:rPr>
                <w:sz w:val="18"/>
                <w:szCs w:val="18"/>
              </w:rPr>
              <w:t>Consider the draft updated technical guidelines on the environmentally sound management of plastic wastes.</w:t>
            </w:r>
          </w:p>
        </w:tc>
        <w:tc>
          <w:tcPr>
            <w:tcW w:w="1842" w:type="dxa"/>
          </w:tcPr>
          <w:p w14:paraId="156CBBF4" w14:textId="77777777" w:rsidR="00EF2313" w:rsidRPr="00B831E7" w:rsidRDefault="00EF2313" w:rsidP="00AF1B49">
            <w:pPr>
              <w:pStyle w:val="Normal-pool"/>
              <w:spacing w:before="40" w:after="40"/>
              <w:rPr>
                <w:sz w:val="18"/>
                <w:szCs w:val="18"/>
              </w:rPr>
            </w:pPr>
            <w:r w:rsidRPr="00B831E7">
              <w:rPr>
                <w:sz w:val="18"/>
                <w:szCs w:val="18"/>
              </w:rPr>
              <w:t>Decision BC-15/10</w:t>
            </w:r>
          </w:p>
        </w:tc>
        <w:tc>
          <w:tcPr>
            <w:tcW w:w="936" w:type="dxa"/>
          </w:tcPr>
          <w:p w14:paraId="07733059" w14:textId="77777777" w:rsidR="00EF2313" w:rsidRPr="00B831E7" w:rsidRDefault="00EF2313" w:rsidP="00AF1B49">
            <w:pPr>
              <w:pStyle w:val="Normal-pool"/>
              <w:spacing w:before="40" w:after="40"/>
              <w:rPr>
                <w:sz w:val="18"/>
                <w:szCs w:val="18"/>
              </w:rPr>
            </w:pPr>
            <w:r w:rsidRPr="00B831E7">
              <w:rPr>
                <w:sz w:val="18"/>
                <w:szCs w:val="18"/>
              </w:rPr>
              <w:t>High</w:t>
            </w:r>
          </w:p>
        </w:tc>
      </w:tr>
      <w:tr w:rsidR="00EF2313" w:rsidRPr="00B831E7" w14:paraId="2C31A076" w14:textId="77777777" w:rsidTr="00AF1B49">
        <w:trPr>
          <w:trHeight w:val="963"/>
          <w:jc w:val="right"/>
        </w:trPr>
        <w:tc>
          <w:tcPr>
            <w:tcW w:w="2255" w:type="dxa"/>
            <w:vMerge/>
          </w:tcPr>
          <w:p w14:paraId="0539877A" w14:textId="77777777" w:rsidR="00EF2313" w:rsidRPr="00B831E7" w:rsidRDefault="00EF2313" w:rsidP="00AF1B49">
            <w:pPr>
              <w:pStyle w:val="Normal-pool"/>
              <w:tabs>
                <w:tab w:val="left" w:pos="300"/>
              </w:tabs>
              <w:spacing w:before="40" w:after="40"/>
              <w:ind w:left="57" w:right="57"/>
              <w:rPr>
                <w:sz w:val="18"/>
                <w:szCs w:val="18"/>
              </w:rPr>
            </w:pPr>
          </w:p>
        </w:tc>
        <w:tc>
          <w:tcPr>
            <w:tcW w:w="3274" w:type="dxa"/>
          </w:tcPr>
          <w:p w14:paraId="0B0F13B0" w14:textId="77777777" w:rsidR="00EF2313" w:rsidRPr="00B831E7" w:rsidRDefault="00EF2313">
            <w:pPr>
              <w:pStyle w:val="Normal-pool"/>
              <w:numPr>
                <w:ilvl w:val="0"/>
                <w:numId w:val="8"/>
              </w:numPr>
              <w:tabs>
                <w:tab w:val="clear" w:pos="1247"/>
                <w:tab w:val="clear" w:pos="2381"/>
                <w:tab w:val="clear" w:pos="2948"/>
                <w:tab w:val="clear" w:pos="3515"/>
                <w:tab w:val="clear" w:pos="4082"/>
                <w:tab w:val="left" w:pos="211"/>
              </w:tabs>
              <w:spacing w:before="40" w:after="40"/>
              <w:ind w:left="202" w:right="58" w:hanging="216"/>
              <w:rPr>
                <w:sz w:val="18"/>
                <w:szCs w:val="18"/>
              </w:rPr>
            </w:pPr>
            <w:r w:rsidRPr="00B831E7">
              <w:rPr>
                <w:sz w:val="18"/>
                <w:szCs w:val="18"/>
              </w:rPr>
              <w:t xml:space="preserve">Consider the draft updated technical guidelines on the environmentally sound management of waste lead-acid batteries. </w:t>
            </w:r>
          </w:p>
        </w:tc>
        <w:tc>
          <w:tcPr>
            <w:tcW w:w="1842" w:type="dxa"/>
          </w:tcPr>
          <w:p w14:paraId="5C72FB89" w14:textId="77777777" w:rsidR="00EF2313" w:rsidRPr="00B831E7" w:rsidRDefault="00EF2313" w:rsidP="00AF1B49">
            <w:pPr>
              <w:pStyle w:val="Normal-pool"/>
              <w:spacing w:before="40" w:after="40"/>
              <w:rPr>
                <w:sz w:val="18"/>
                <w:szCs w:val="18"/>
              </w:rPr>
            </w:pPr>
            <w:r w:rsidRPr="00B831E7">
              <w:rPr>
                <w:sz w:val="18"/>
                <w:szCs w:val="18"/>
              </w:rPr>
              <w:t>Decision BC-15/11</w:t>
            </w:r>
          </w:p>
        </w:tc>
        <w:tc>
          <w:tcPr>
            <w:tcW w:w="936" w:type="dxa"/>
          </w:tcPr>
          <w:p w14:paraId="4228A43D" w14:textId="77777777" w:rsidR="00EF2313" w:rsidRPr="00B831E7" w:rsidDel="00D46555" w:rsidRDefault="00EF2313" w:rsidP="00AF1B49">
            <w:pPr>
              <w:pStyle w:val="Normal-pool"/>
              <w:spacing w:before="40" w:after="40"/>
              <w:rPr>
                <w:sz w:val="18"/>
                <w:szCs w:val="18"/>
              </w:rPr>
            </w:pPr>
            <w:r w:rsidRPr="00B831E7">
              <w:rPr>
                <w:sz w:val="18"/>
                <w:szCs w:val="18"/>
              </w:rPr>
              <w:t>High</w:t>
            </w:r>
          </w:p>
        </w:tc>
      </w:tr>
      <w:tr w:rsidR="00EF2313" w:rsidRPr="00B831E7" w14:paraId="7F908FF2" w14:textId="77777777" w:rsidTr="00AF1B49">
        <w:trPr>
          <w:trHeight w:val="57"/>
          <w:jc w:val="right"/>
        </w:trPr>
        <w:tc>
          <w:tcPr>
            <w:tcW w:w="2255" w:type="dxa"/>
            <w:vMerge/>
          </w:tcPr>
          <w:p w14:paraId="06E5A2B7" w14:textId="77777777" w:rsidR="00EF2313" w:rsidRPr="00B831E7" w:rsidRDefault="00EF2313" w:rsidP="00AF1B49">
            <w:pPr>
              <w:pStyle w:val="Normal-pool"/>
              <w:tabs>
                <w:tab w:val="left" w:pos="300"/>
              </w:tabs>
              <w:spacing w:before="40" w:after="40"/>
              <w:ind w:left="57" w:right="57"/>
              <w:rPr>
                <w:sz w:val="18"/>
                <w:szCs w:val="18"/>
              </w:rPr>
            </w:pPr>
          </w:p>
        </w:tc>
        <w:tc>
          <w:tcPr>
            <w:tcW w:w="3274" w:type="dxa"/>
          </w:tcPr>
          <w:p w14:paraId="32A003C6" w14:textId="77777777" w:rsidR="00EF2313" w:rsidRPr="00B831E7" w:rsidRDefault="00EF2313">
            <w:pPr>
              <w:pStyle w:val="Normal-pool"/>
              <w:numPr>
                <w:ilvl w:val="0"/>
                <w:numId w:val="8"/>
              </w:numPr>
              <w:tabs>
                <w:tab w:val="clear" w:pos="1247"/>
                <w:tab w:val="clear" w:pos="2381"/>
                <w:tab w:val="clear" w:pos="2948"/>
                <w:tab w:val="clear" w:pos="3515"/>
                <w:tab w:val="clear" w:pos="4082"/>
                <w:tab w:val="left" w:pos="211"/>
              </w:tabs>
              <w:spacing w:before="40" w:after="40"/>
              <w:ind w:left="204" w:right="57" w:hanging="215"/>
              <w:rPr>
                <w:sz w:val="18"/>
                <w:szCs w:val="18"/>
              </w:rPr>
            </w:pPr>
            <w:r w:rsidRPr="00B831E7">
              <w:rPr>
                <w:sz w:val="18"/>
                <w:szCs w:val="18"/>
              </w:rPr>
              <w:t>Consider the draft updated technical guidelines on the environmentally sound management of used and waste pneumatic tyres.</w:t>
            </w:r>
          </w:p>
        </w:tc>
        <w:tc>
          <w:tcPr>
            <w:tcW w:w="1842" w:type="dxa"/>
          </w:tcPr>
          <w:p w14:paraId="3FBD8CBC" w14:textId="77777777" w:rsidR="00EF2313" w:rsidRPr="00B831E7" w:rsidRDefault="00EF2313" w:rsidP="00AF1B49">
            <w:pPr>
              <w:pStyle w:val="Normal-pool"/>
              <w:spacing w:before="40" w:after="40"/>
              <w:rPr>
                <w:sz w:val="18"/>
                <w:szCs w:val="18"/>
              </w:rPr>
            </w:pPr>
            <w:r w:rsidRPr="00B831E7">
              <w:rPr>
                <w:sz w:val="18"/>
                <w:szCs w:val="18"/>
              </w:rPr>
              <w:t>Decision BC-15/15</w:t>
            </w:r>
          </w:p>
        </w:tc>
        <w:tc>
          <w:tcPr>
            <w:tcW w:w="936" w:type="dxa"/>
          </w:tcPr>
          <w:p w14:paraId="65CCDEE9" w14:textId="77777777" w:rsidR="00EF2313" w:rsidRPr="00B831E7" w:rsidRDefault="00EF2313" w:rsidP="00AF1B49">
            <w:pPr>
              <w:pStyle w:val="Normal-pool"/>
              <w:spacing w:before="40" w:after="40"/>
              <w:rPr>
                <w:sz w:val="18"/>
                <w:szCs w:val="18"/>
              </w:rPr>
            </w:pPr>
            <w:r w:rsidRPr="00B831E7">
              <w:rPr>
                <w:sz w:val="18"/>
                <w:szCs w:val="18"/>
              </w:rPr>
              <w:t>Medium</w:t>
            </w:r>
          </w:p>
        </w:tc>
      </w:tr>
      <w:tr w:rsidR="00EF2313" w:rsidRPr="00B831E7" w14:paraId="4EDCE76D" w14:textId="77777777" w:rsidTr="00AF1B49">
        <w:trPr>
          <w:trHeight w:val="57"/>
          <w:jc w:val="right"/>
        </w:trPr>
        <w:tc>
          <w:tcPr>
            <w:tcW w:w="2255" w:type="dxa"/>
            <w:vMerge/>
            <w:tcBorders>
              <w:bottom w:val="single" w:sz="4" w:space="0" w:color="auto"/>
            </w:tcBorders>
          </w:tcPr>
          <w:p w14:paraId="67EF280E" w14:textId="77777777" w:rsidR="00EF2313" w:rsidRPr="00B831E7" w:rsidRDefault="00EF2313" w:rsidP="00AF1B49">
            <w:pPr>
              <w:pStyle w:val="Normal-pool"/>
              <w:tabs>
                <w:tab w:val="left" w:pos="300"/>
              </w:tabs>
              <w:spacing w:before="40" w:after="40"/>
              <w:ind w:left="57" w:right="57"/>
              <w:rPr>
                <w:sz w:val="18"/>
                <w:szCs w:val="18"/>
              </w:rPr>
            </w:pPr>
          </w:p>
        </w:tc>
        <w:tc>
          <w:tcPr>
            <w:tcW w:w="3274" w:type="dxa"/>
            <w:tcBorders>
              <w:bottom w:val="single" w:sz="4" w:space="0" w:color="auto"/>
            </w:tcBorders>
          </w:tcPr>
          <w:p w14:paraId="5CE085B7" w14:textId="77777777" w:rsidR="00EF2313" w:rsidRPr="00B831E7" w:rsidRDefault="00EF2313">
            <w:pPr>
              <w:pStyle w:val="Normal-pool"/>
              <w:numPr>
                <w:ilvl w:val="0"/>
                <w:numId w:val="8"/>
              </w:numPr>
              <w:tabs>
                <w:tab w:val="clear" w:pos="1247"/>
                <w:tab w:val="clear" w:pos="2381"/>
                <w:tab w:val="clear" w:pos="2948"/>
                <w:tab w:val="clear" w:pos="3515"/>
                <w:tab w:val="clear" w:pos="4082"/>
                <w:tab w:val="left" w:pos="211"/>
              </w:tabs>
              <w:spacing w:before="40" w:after="40"/>
              <w:ind w:left="202" w:right="58" w:hanging="216"/>
              <w:rPr>
                <w:sz w:val="18"/>
                <w:szCs w:val="18"/>
              </w:rPr>
            </w:pPr>
            <w:r w:rsidRPr="00B831E7">
              <w:rPr>
                <w:sz w:val="18"/>
                <w:szCs w:val="18"/>
              </w:rPr>
              <w:t>Consider whether technical guidelines on the environmentally sound management of rubber wastes (entry B3040) and waste parings and scrap of rubber (entry B3080) should be developed.</w:t>
            </w:r>
          </w:p>
        </w:tc>
        <w:tc>
          <w:tcPr>
            <w:tcW w:w="1842" w:type="dxa"/>
            <w:tcBorders>
              <w:bottom w:val="single" w:sz="4" w:space="0" w:color="auto"/>
            </w:tcBorders>
          </w:tcPr>
          <w:p w14:paraId="2C769526" w14:textId="77777777" w:rsidR="00EF2313" w:rsidRPr="00B831E7" w:rsidRDefault="00EF2313" w:rsidP="00AF1B49">
            <w:pPr>
              <w:pStyle w:val="Normal-pool"/>
              <w:spacing w:before="40" w:after="40"/>
              <w:rPr>
                <w:sz w:val="18"/>
                <w:szCs w:val="18"/>
              </w:rPr>
            </w:pPr>
            <w:r w:rsidRPr="00B831E7">
              <w:rPr>
                <w:sz w:val="18"/>
                <w:szCs w:val="18"/>
              </w:rPr>
              <w:t>Decision BC-15/15</w:t>
            </w:r>
          </w:p>
        </w:tc>
        <w:tc>
          <w:tcPr>
            <w:tcW w:w="936" w:type="dxa"/>
            <w:tcBorders>
              <w:bottom w:val="single" w:sz="4" w:space="0" w:color="auto"/>
            </w:tcBorders>
          </w:tcPr>
          <w:p w14:paraId="5C449A36" w14:textId="77777777" w:rsidR="00EF2313" w:rsidRPr="00B831E7" w:rsidRDefault="00EF2313" w:rsidP="00AF1B49">
            <w:pPr>
              <w:pStyle w:val="Normal-pool"/>
              <w:spacing w:before="40" w:after="40"/>
              <w:rPr>
                <w:sz w:val="18"/>
                <w:szCs w:val="18"/>
              </w:rPr>
            </w:pPr>
            <w:r w:rsidRPr="00B831E7">
              <w:rPr>
                <w:sz w:val="18"/>
                <w:szCs w:val="18"/>
              </w:rPr>
              <w:t>Medium</w:t>
            </w:r>
          </w:p>
        </w:tc>
      </w:tr>
      <w:tr w:rsidR="00EF2313" w:rsidRPr="00B831E7" w14:paraId="62964E5C" w14:textId="77777777" w:rsidTr="00AF1B49">
        <w:trPr>
          <w:trHeight w:val="57"/>
          <w:jc w:val="right"/>
        </w:trPr>
        <w:tc>
          <w:tcPr>
            <w:tcW w:w="2255" w:type="dxa"/>
            <w:tcBorders>
              <w:top w:val="single" w:sz="4" w:space="0" w:color="auto"/>
              <w:bottom w:val="single" w:sz="4" w:space="0" w:color="auto"/>
            </w:tcBorders>
            <w:hideMark/>
          </w:tcPr>
          <w:p w14:paraId="0BA72A53" w14:textId="77777777" w:rsidR="00EF2313" w:rsidRPr="00B831E7" w:rsidRDefault="00EF2313">
            <w:pPr>
              <w:pStyle w:val="Normal-pool"/>
              <w:numPr>
                <w:ilvl w:val="0"/>
                <w:numId w:val="9"/>
              </w:numPr>
              <w:tabs>
                <w:tab w:val="clear" w:pos="1247"/>
                <w:tab w:val="clear" w:pos="2381"/>
                <w:tab w:val="clear" w:pos="2948"/>
                <w:tab w:val="clear" w:pos="3515"/>
                <w:tab w:val="clear" w:pos="4082"/>
                <w:tab w:val="left" w:pos="300"/>
              </w:tabs>
              <w:spacing w:before="40" w:after="40"/>
              <w:ind w:left="318" w:right="57" w:hanging="284"/>
              <w:rPr>
                <w:sz w:val="18"/>
                <w:szCs w:val="18"/>
              </w:rPr>
            </w:pPr>
            <w:r w:rsidRPr="00B831E7">
              <w:rPr>
                <w:sz w:val="18"/>
                <w:szCs w:val="18"/>
              </w:rPr>
              <w:t>Electronic approaches to the notification and movement documents</w:t>
            </w:r>
          </w:p>
        </w:tc>
        <w:tc>
          <w:tcPr>
            <w:tcW w:w="3274" w:type="dxa"/>
            <w:tcBorders>
              <w:top w:val="single" w:sz="4" w:space="0" w:color="auto"/>
              <w:bottom w:val="single" w:sz="4" w:space="0" w:color="auto"/>
            </w:tcBorders>
            <w:hideMark/>
          </w:tcPr>
          <w:p w14:paraId="270F70F2" w14:textId="77777777" w:rsidR="00EF2313" w:rsidRPr="00B831E7" w:rsidRDefault="00EF2313" w:rsidP="00AF1B49">
            <w:pPr>
              <w:pStyle w:val="Normal-pool"/>
              <w:spacing w:before="40" w:after="40"/>
              <w:ind w:left="57" w:right="57"/>
              <w:rPr>
                <w:sz w:val="18"/>
                <w:szCs w:val="18"/>
              </w:rPr>
            </w:pPr>
            <w:r w:rsidRPr="00B831E7">
              <w:rPr>
                <w:sz w:val="18"/>
                <w:szCs w:val="18"/>
              </w:rPr>
              <w:t>Consider the report with recommendations on the next steps regarding the work on electronic approaches to the notification and movement documents.</w:t>
            </w:r>
          </w:p>
        </w:tc>
        <w:tc>
          <w:tcPr>
            <w:tcW w:w="1842" w:type="dxa"/>
            <w:tcBorders>
              <w:top w:val="single" w:sz="4" w:space="0" w:color="auto"/>
              <w:bottom w:val="single" w:sz="4" w:space="0" w:color="auto"/>
            </w:tcBorders>
            <w:hideMark/>
          </w:tcPr>
          <w:p w14:paraId="166CAFA3" w14:textId="77777777" w:rsidR="00EF2313" w:rsidRPr="00B831E7" w:rsidRDefault="00EF2313" w:rsidP="00AF1B49">
            <w:pPr>
              <w:pStyle w:val="Normal-pool"/>
              <w:spacing w:before="40" w:after="40"/>
              <w:rPr>
                <w:sz w:val="18"/>
                <w:szCs w:val="18"/>
              </w:rPr>
            </w:pPr>
            <w:r w:rsidRPr="00B831E7">
              <w:rPr>
                <w:sz w:val="18"/>
                <w:szCs w:val="18"/>
              </w:rPr>
              <w:t>Decision BC-15/14</w:t>
            </w:r>
          </w:p>
        </w:tc>
        <w:tc>
          <w:tcPr>
            <w:tcW w:w="936" w:type="dxa"/>
            <w:tcBorders>
              <w:top w:val="single" w:sz="4" w:space="0" w:color="auto"/>
              <w:bottom w:val="single" w:sz="4" w:space="0" w:color="auto"/>
            </w:tcBorders>
            <w:hideMark/>
          </w:tcPr>
          <w:p w14:paraId="629AAAC6" w14:textId="77777777" w:rsidR="00EF2313" w:rsidRPr="00B831E7" w:rsidRDefault="00EF2313" w:rsidP="00AF1B49">
            <w:pPr>
              <w:pStyle w:val="Normal-pool"/>
              <w:spacing w:before="40" w:after="40"/>
              <w:rPr>
                <w:sz w:val="18"/>
                <w:szCs w:val="18"/>
              </w:rPr>
            </w:pPr>
            <w:r w:rsidRPr="00B831E7">
              <w:rPr>
                <w:sz w:val="18"/>
                <w:szCs w:val="18"/>
              </w:rPr>
              <w:t>Medium</w:t>
            </w:r>
          </w:p>
        </w:tc>
      </w:tr>
      <w:tr w:rsidR="00EF2313" w:rsidRPr="00B831E7" w14:paraId="2F3E1227" w14:textId="77777777" w:rsidTr="00AF1B49">
        <w:trPr>
          <w:trHeight w:val="57"/>
          <w:jc w:val="right"/>
        </w:trPr>
        <w:tc>
          <w:tcPr>
            <w:tcW w:w="2255" w:type="dxa"/>
            <w:tcBorders>
              <w:top w:val="single" w:sz="4" w:space="0" w:color="auto"/>
              <w:bottom w:val="single" w:sz="4" w:space="0" w:color="auto"/>
            </w:tcBorders>
            <w:hideMark/>
          </w:tcPr>
          <w:p w14:paraId="3B4916DC" w14:textId="77777777" w:rsidR="00EF2313" w:rsidRPr="00B831E7" w:rsidRDefault="00EF2313">
            <w:pPr>
              <w:pStyle w:val="Normal-pool"/>
              <w:numPr>
                <w:ilvl w:val="0"/>
                <w:numId w:val="9"/>
              </w:numPr>
              <w:tabs>
                <w:tab w:val="clear" w:pos="1247"/>
                <w:tab w:val="clear" w:pos="2381"/>
                <w:tab w:val="clear" w:pos="2948"/>
                <w:tab w:val="clear" w:pos="3515"/>
                <w:tab w:val="clear" w:pos="4082"/>
                <w:tab w:val="left" w:pos="300"/>
              </w:tabs>
              <w:spacing w:before="40" w:after="40"/>
              <w:ind w:left="318" w:right="57" w:hanging="284"/>
              <w:rPr>
                <w:sz w:val="18"/>
                <w:szCs w:val="18"/>
              </w:rPr>
            </w:pPr>
            <w:r w:rsidRPr="00B831E7">
              <w:rPr>
                <w:sz w:val="18"/>
                <w:szCs w:val="18"/>
              </w:rPr>
              <w:t>Further consideration of plastic waste</w:t>
            </w:r>
          </w:p>
        </w:tc>
        <w:tc>
          <w:tcPr>
            <w:tcW w:w="3274" w:type="dxa"/>
            <w:tcBorders>
              <w:top w:val="single" w:sz="4" w:space="0" w:color="auto"/>
              <w:bottom w:val="single" w:sz="4" w:space="0" w:color="auto"/>
            </w:tcBorders>
            <w:hideMark/>
          </w:tcPr>
          <w:p w14:paraId="7DFEBDED" w14:textId="77777777" w:rsidR="00EF2313" w:rsidRPr="00B831E7" w:rsidRDefault="00EF2313" w:rsidP="00AF1B49">
            <w:pPr>
              <w:pStyle w:val="Normal-pool"/>
              <w:spacing w:before="40" w:after="40"/>
              <w:ind w:left="57" w:right="57"/>
              <w:rPr>
                <w:rFonts w:eastAsia="Batang"/>
                <w:color w:val="000000"/>
                <w:sz w:val="18"/>
                <w:szCs w:val="18"/>
                <w:lang w:eastAsia="ko-KR"/>
              </w:rPr>
            </w:pPr>
            <w:r w:rsidRPr="00B831E7">
              <w:rPr>
                <w:rFonts w:eastAsia="Batang"/>
                <w:color w:val="000000"/>
                <w:sz w:val="18"/>
                <w:szCs w:val="18"/>
                <w:lang w:eastAsia="ko-KR"/>
              </w:rPr>
              <w:t xml:space="preserve">Consider possible further activities that could be conducted under the Basel Convention in response to developments in scientific knowledge and </w:t>
            </w:r>
            <w:r w:rsidRPr="00B831E7">
              <w:rPr>
                <w:rFonts w:eastAsia="Batang"/>
                <w:color w:val="000000"/>
                <w:sz w:val="18"/>
                <w:szCs w:val="18"/>
                <w:lang w:eastAsia="ko-KR"/>
              </w:rPr>
              <w:lastRenderedPageBreak/>
              <w:t>environmental information and health impacts related to plastic waste as a source of land pollution, marine plastic litter and microplastics.</w:t>
            </w:r>
          </w:p>
        </w:tc>
        <w:tc>
          <w:tcPr>
            <w:tcW w:w="1842" w:type="dxa"/>
            <w:tcBorders>
              <w:top w:val="single" w:sz="4" w:space="0" w:color="auto"/>
              <w:bottom w:val="single" w:sz="4" w:space="0" w:color="auto"/>
            </w:tcBorders>
            <w:hideMark/>
          </w:tcPr>
          <w:p w14:paraId="30C91C4B" w14:textId="77777777" w:rsidR="00EF2313" w:rsidRPr="00B831E7" w:rsidRDefault="00EF2313" w:rsidP="00AF1B49">
            <w:pPr>
              <w:pStyle w:val="Normal-pool"/>
              <w:spacing w:before="40" w:after="40"/>
              <w:rPr>
                <w:sz w:val="18"/>
                <w:szCs w:val="18"/>
              </w:rPr>
            </w:pPr>
            <w:r w:rsidRPr="00B831E7">
              <w:rPr>
                <w:sz w:val="18"/>
                <w:szCs w:val="18"/>
              </w:rPr>
              <w:lastRenderedPageBreak/>
              <w:t>Decision BC-15/15</w:t>
            </w:r>
          </w:p>
        </w:tc>
        <w:tc>
          <w:tcPr>
            <w:tcW w:w="936" w:type="dxa"/>
            <w:tcBorders>
              <w:top w:val="single" w:sz="4" w:space="0" w:color="auto"/>
              <w:bottom w:val="single" w:sz="4" w:space="0" w:color="auto"/>
            </w:tcBorders>
            <w:hideMark/>
          </w:tcPr>
          <w:p w14:paraId="2E4F3201" w14:textId="77777777" w:rsidR="00EF2313" w:rsidRPr="00B831E7" w:rsidRDefault="00EF2313" w:rsidP="00AF1B49">
            <w:pPr>
              <w:pStyle w:val="Normal-pool"/>
              <w:spacing w:before="40" w:after="40"/>
              <w:rPr>
                <w:sz w:val="18"/>
                <w:szCs w:val="18"/>
              </w:rPr>
            </w:pPr>
            <w:r w:rsidRPr="00B831E7">
              <w:rPr>
                <w:sz w:val="18"/>
                <w:szCs w:val="18"/>
              </w:rPr>
              <w:t>Medium</w:t>
            </w:r>
          </w:p>
        </w:tc>
      </w:tr>
      <w:tr w:rsidR="00EF2313" w:rsidRPr="00B831E7" w14:paraId="5C05522D" w14:textId="77777777" w:rsidTr="00AF1B49">
        <w:trPr>
          <w:trHeight w:val="57"/>
          <w:jc w:val="right"/>
        </w:trPr>
        <w:tc>
          <w:tcPr>
            <w:tcW w:w="2255" w:type="dxa"/>
            <w:tcBorders>
              <w:top w:val="single" w:sz="4" w:space="0" w:color="auto"/>
              <w:bottom w:val="single" w:sz="4" w:space="0" w:color="auto"/>
            </w:tcBorders>
            <w:hideMark/>
          </w:tcPr>
          <w:p w14:paraId="7B4B2813" w14:textId="77777777" w:rsidR="00EF2313" w:rsidRPr="00B831E7" w:rsidRDefault="00EF2313">
            <w:pPr>
              <w:pStyle w:val="Normal-pool"/>
              <w:keepNext/>
              <w:keepLines/>
              <w:numPr>
                <w:ilvl w:val="0"/>
                <w:numId w:val="9"/>
              </w:numPr>
              <w:tabs>
                <w:tab w:val="clear" w:pos="1247"/>
                <w:tab w:val="clear" w:pos="2381"/>
                <w:tab w:val="clear" w:pos="2948"/>
                <w:tab w:val="clear" w:pos="3515"/>
                <w:tab w:val="clear" w:pos="4082"/>
                <w:tab w:val="left" w:pos="300"/>
              </w:tabs>
              <w:spacing w:before="40" w:after="40"/>
              <w:ind w:left="318" w:right="57" w:hanging="284"/>
              <w:rPr>
                <w:sz w:val="18"/>
                <w:szCs w:val="18"/>
              </w:rPr>
            </w:pPr>
            <w:r w:rsidRPr="00B831E7">
              <w:rPr>
                <w:sz w:val="18"/>
                <w:szCs w:val="18"/>
              </w:rPr>
              <w:t>Waste containing nanomaterials</w:t>
            </w:r>
          </w:p>
        </w:tc>
        <w:tc>
          <w:tcPr>
            <w:tcW w:w="3274" w:type="dxa"/>
            <w:tcBorders>
              <w:top w:val="single" w:sz="4" w:space="0" w:color="auto"/>
              <w:bottom w:val="single" w:sz="4" w:space="0" w:color="auto"/>
            </w:tcBorders>
            <w:hideMark/>
          </w:tcPr>
          <w:p w14:paraId="0D4D4CCD" w14:textId="77777777" w:rsidR="00EF2313" w:rsidRPr="00B831E7" w:rsidRDefault="00EF2313" w:rsidP="00AF1B49">
            <w:pPr>
              <w:pStyle w:val="Normal-pool"/>
              <w:keepNext/>
              <w:keepLines/>
              <w:spacing w:before="40" w:after="40"/>
              <w:ind w:left="57" w:right="57"/>
              <w:rPr>
                <w:sz w:val="18"/>
                <w:szCs w:val="18"/>
              </w:rPr>
            </w:pPr>
            <w:r w:rsidRPr="00B831E7">
              <w:rPr>
                <w:sz w:val="18"/>
                <w:szCs w:val="18"/>
              </w:rPr>
              <w:t>Consider information related to activities aimed at addressing issues related to waste containing nanomaterials.</w:t>
            </w:r>
          </w:p>
        </w:tc>
        <w:tc>
          <w:tcPr>
            <w:tcW w:w="1842" w:type="dxa"/>
            <w:tcBorders>
              <w:top w:val="single" w:sz="4" w:space="0" w:color="auto"/>
              <w:bottom w:val="single" w:sz="4" w:space="0" w:color="auto"/>
            </w:tcBorders>
            <w:hideMark/>
          </w:tcPr>
          <w:p w14:paraId="69881D87" w14:textId="77777777" w:rsidR="00EF2313" w:rsidRPr="00B831E7" w:rsidRDefault="00EF2313" w:rsidP="00AF1B49">
            <w:pPr>
              <w:pStyle w:val="Normal-pool"/>
              <w:keepNext/>
              <w:keepLines/>
              <w:spacing w:before="40" w:after="40"/>
              <w:rPr>
                <w:sz w:val="18"/>
                <w:szCs w:val="18"/>
              </w:rPr>
            </w:pPr>
            <w:r w:rsidRPr="00B831E7">
              <w:rPr>
                <w:sz w:val="18"/>
                <w:szCs w:val="18"/>
              </w:rPr>
              <w:t>Decision BC-15/16</w:t>
            </w:r>
          </w:p>
        </w:tc>
        <w:tc>
          <w:tcPr>
            <w:tcW w:w="936" w:type="dxa"/>
            <w:tcBorders>
              <w:top w:val="single" w:sz="4" w:space="0" w:color="auto"/>
              <w:bottom w:val="single" w:sz="4" w:space="0" w:color="auto"/>
            </w:tcBorders>
            <w:hideMark/>
          </w:tcPr>
          <w:p w14:paraId="25E1A1B5" w14:textId="77777777" w:rsidR="00EF2313" w:rsidRPr="00B831E7" w:rsidRDefault="00EF2313" w:rsidP="00AF1B49">
            <w:pPr>
              <w:pStyle w:val="Normal-pool"/>
              <w:keepNext/>
              <w:keepLines/>
              <w:spacing w:before="40" w:after="40"/>
              <w:rPr>
                <w:rFonts w:eastAsia="Batang"/>
                <w:sz w:val="18"/>
                <w:szCs w:val="18"/>
                <w:lang w:eastAsia="ko-KR"/>
              </w:rPr>
            </w:pPr>
            <w:r w:rsidRPr="00B831E7">
              <w:rPr>
                <w:sz w:val="18"/>
                <w:szCs w:val="18"/>
              </w:rPr>
              <w:t>Medium</w:t>
            </w:r>
          </w:p>
        </w:tc>
      </w:tr>
      <w:tr w:rsidR="00EF2313" w:rsidRPr="00B831E7" w14:paraId="52AF5B31" w14:textId="77777777" w:rsidTr="00AF1B49">
        <w:trPr>
          <w:trHeight w:val="57"/>
          <w:jc w:val="right"/>
        </w:trPr>
        <w:tc>
          <w:tcPr>
            <w:tcW w:w="2255" w:type="dxa"/>
            <w:tcBorders>
              <w:top w:val="single" w:sz="4" w:space="0" w:color="auto"/>
              <w:bottom w:val="single" w:sz="4" w:space="0" w:color="auto"/>
            </w:tcBorders>
          </w:tcPr>
          <w:p w14:paraId="532E75BE" w14:textId="77777777" w:rsidR="00EF2313" w:rsidRPr="00B831E7" w:rsidRDefault="00EF2313">
            <w:pPr>
              <w:pStyle w:val="Normal-pool"/>
              <w:numPr>
                <w:ilvl w:val="0"/>
                <w:numId w:val="9"/>
              </w:numPr>
              <w:tabs>
                <w:tab w:val="clear" w:pos="1247"/>
                <w:tab w:val="clear" w:pos="2381"/>
                <w:tab w:val="clear" w:pos="2948"/>
                <w:tab w:val="clear" w:pos="3515"/>
                <w:tab w:val="clear" w:pos="4082"/>
                <w:tab w:val="left" w:pos="300"/>
              </w:tabs>
              <w:spacing w:before="40" w:after="40"/>
              <w:ind w:left="318" w:right="57" w:hanging="284"/>
              <w:rPr>
                <w:sz w:val="18"/>
                <w:szCs w:val="18"/>
              </w:rPr>
            </w:pPr>
            <w:r w:rsidRPr="00B831E7">
              <w:rPr>
                <w:sz w:val="18"/>
                <w:szCs w:val="18"/>
              </w:rPr>
              <w:t>Amendments to Annexes II, VIII and IX on e-waste</w:t>
            </w:r>
          </w:p>
        </w:tc>
        <w:tc>
          <w:tcPr>
            <w:tcW w:w="3274" w:type="dxa"/>
            <w:tcBorders>
              <w:top w:val="single" w:sz="4" w:space="0" w:color="auto"/>
              <w:bottom w:val="single" w:sz="4" w:space="0" w:color="auto"/>
            </w:tcBorders>
          </w:tcPr>
          <w:p w14:paraId="3867DB5B" w14:textId="77777777" w:rsidR="00EF2313" w:rsidRPr="00B831E7" w:rsidRDefault="00EF2313" w:rsidP="00AF1B49">
            <w:pPr>
              <w:pStyle w:val="Normal-pool"/>
              <w:spacing w:before="40" w:after="40"/>
              <w:ind w:left="57" w:right="57"/>
              <w:rPr>
                <w:sz w:val="18"/>
                <w:szCs w:val="18"/>
              </w:rPr>
            </w:pPr>
            <w:r w:rsidRPr="00B831E7">
              <w:rPr>
                <w:sz w:val="18"/>
                <w:szCs w:val="18"/>
              </w:rPr>
              <w:t xml:space="preserve">Consider the need to update existing guidance, technical </w:t>
            </w:r>
            <w:proofErr w:type="gramStart"/>
            <w:r w:rsidRPr="00B831E7">
              <w:rPr>
                <w:sz w:val="18"/>
                <w:szCs w:val="18"/>
              </w:rPr>
              <w:t>guidelines</w:t>
            </w:r>
            <w:proofErr w:type="gramEnd"/>
            <w:r w:rsidRPr="00B831E7">
              <w:rPr>
                <w:sz w:val="18"/>
                <w:szCs w:val="18"/>
              </w:rPr>
              <w:t xml:space="preserve"> and factsheets in order to reflect adjustments consequential to the adoption of the e</w:t>
            </w:r>
            <w:r w:rsidRPr="00B831E7">
              <w:rPr>
                <w:sz w:val="18"/>
                <w:szCs w:val="18"/>
              </w:rPr>
              <w:noBreakHyphen/>
              <w:t>waste amendments.</w:t>
            </w:r>
          </w:p>
        </w:tc>
        <w:tc>
          <w:tcPr>
            <w:tcW w:w="1842" w:type="dxa"/>
            <w:tcBorders>
              <w:top w:val="single" w:sz="4" w:space="0" w:color="auto"/>
              <w:bottom w:val="single" w:sz="4" w:space="0" w:color="auto"/>
            </w:tcBorders>
          </w:tcPr>
          <w:p w14:paraId="03570A07" w14:textId="77777777" w:rsidR="00EF2313" w:rsidRPr="00B831E7" w:rsidRDefault="00EF2313" w:rsidP="00AF1B49">
            <w:pPr>
              <w:pStyle w:val="Normal-pool"/>
              <w:spacing w:before="40" w:after="40"/>
              <w:jc w:val="center"/>
              <w:rPr>
                <w:sz w:val="18"/>
                <w:szCs w:val="18"/>
              </w:rPr>
            </w:pPr>
            <w:r w:rsidRPr="00B831E7">
              <w:rPr>
                <w:sz w:val="18"/>
                <w:szCs w:val="18"/>
              </w:rPr>
              <w:t>Decision BC-15/18</w:t>
            </w:r>
          </w:p>
        </w:tc>
        <w:tc>
          <w:tcPr>
            <w:tcW w:w="936" w:type="dxa"/>
            <w:tcBorders>
              <w:top w:val="single" w:sz="4" w:space="0" w:color="auto"/>
              <w:bottom w:val="single" w:sz="4" w:space="0" w:color="auto"/>
            </w:tcBorders>
          </w:tcPr>
          <w:p w14:paraId="3D286B76" w14:textId="77777777" w:rsidR="00EF2313" w:rsidRPr="00B831E7" w:rsidRDefault="00EF2313" w:rsidP="00AF1B49">
            <w:pPr>
              <w:pStyle w:val="Normal-pool"/>
              <w:spacing w:before="40" w:after="40"/>
              <w:rPr>
                <w:sz w:val="18"/>
                <w:szCs w:val="18"/>
              </w:rPr>
            </w:pPr>
            <w:r w:rsidRPr="00B831E7">
              <w:rPr>
                <w:sz w:val="18"/>
                <w:szCs w:val="18"/>
              </w:rPr>
              <w:t>High</w:t>
            </w:r>
          </w:p>
        </w:tc>
      </w:tr>
      <w:tr w:rsidR="00EF2313" w:rsidRPr="00B831E7" w14:paraId="71383E31" w14:textId="77777777" w:rsidTr="00AF1B49">
        <w:trPr>
          <w:trHeight w:val="57"/>
          <w:jc w:val="right"/>
        </w:trPr>
        <w:tc>
          <w:tcPr>
            <w:tcW w:w="2255" w:type="dxa"/>
            <w:tcBorders>
              <w:top w:val="single" w:sz="4" w:space="0" w:color="auto"/>
              <w:bottom w:val="single" w:sz="4" w:space="0" w:color="auto"/>
            </w:tcBorders>
          </w:tcPr>
          <w:p w14:paraId="2C4A5206" w14:textId="77777777" w:rsidR="00EF2313" w:rsidRPr="00B831E7" w:rsidRDefault="00EF2313">
            <w:pPr>
              <w:pStyle w:val="Normal-pool"/>
              <w:numPr>
                <w:ilvl w:val="0"/>
                <w:numId w:val="9"/>
              </w:numPr>
              <w:tabs>
                <w:tab w:val="clear" w:pos="1247"/>
                <w:tab w:val="clear" w:pos="2381"/>
                <w:tab w:val="clear" w:pos="2948"/>
                <w:tab w:val="clear" w:pos="3515"/>
                <w:tab w:val="clear" w:pos="4082"/>
                <w:tab w:val="left" w:pos="300"/>
              </w:tabs>
              <w:spacing w:before="40" w:after="40"/>
              <w:ind w:left="318" w:right="57" w:hanging="284"/>
              <w:rPr>
                <w:sz w:val="18"/>
                <w:szCs w:val="18"/>
              </w:rPr>
            </w:pPr>
            <w:r w:rsidRPr="00B831E7">
              <w:rPr>
                <w:sz w:val="18"/>
                <w:szCs w:val="18"/>
              </w:rPr>
              <w:t>Amendments to the annexes to the Basel Convention</w:t>
            </w:r>
          </w:p>
        </w:tc>
        <w:tc>
          <w:tcPr>
            <w:tcW w:w="3274" w:type="dxa"/>
            <w:tcBorders>
              <w:top w:val="single" w:sz="4" w:space="0" w:color="auto"/>
              <w:bottom w:val="single" w:sz="4" w:space="0" w:color="auto"/>
            </w:tcBorders>
          </w:tcPr>
          <w:p w14:paraId="3A39873F" w14:textId="77777777" w:rsidR="00EF2313" w:rsidRPr="00B831E7" w:rsidRDefault="00EF2313" w:rsidP="00AF1B49">
            <w:pPr>
              <w:pStyle w:val="Normal-pool"/>
              <w:spacing w:before="40" w:after="40"/>
              <w:ind w:left="57" w:right="57"/>
              <w:rPr>
                <w:sz w:val="18"/>
                <w:szCs w:val="18"/>
              </w:rPr>
            </w:pPr>
            <w:r w:rsidRPr="00B831E7">
              <w:rPr>
                <w:sz w:val="18"/>
                <w:szCs w:val="18"/>
              </w:rPr>
              <w:t>Consider and review any applications for changes and any corrections to the list of wastes contained in Annexes VIII and IX to the Basel Convention.</w:t>
            </w:r>
          </w:p>
        </w:tc>
        <w:tc>
          <w:tcPr>
            <w:tcW w:w="1842" w:type="dxa"/>
            <w:tcBorders>
              <w:top w:val="single" w:sz="4" w:space="0" w:color="auto"/>
              <w:bottom w:val="single" w:sz="4" w:space="0" w:color="auto"/>
            </w:tcBorders>
          </w:tcPr>
          <w:p w14:paraId="4C065846" w14:textId="77777777" w:rsidR="00EF2313" w:rsidRPr="00B831E7" w:rsidRDefault="00EF2313" w:rsidP="00AF1B49">
            <w:pPr>
              <w:pStyle w:val="Normal-pool"/>
              <w:spacing w:before="40" w:after="40"/>
              <w:jc w:val="center"/>
              <w:rPr>
                <w:sz w:val="18"/>
                <w:szCs w:val="18"/>
              </w:rPr>
            </w:pPr>
            <w:r w:rsidRPr="00B831E7">
              <w:rPr>
                <w:sz w:val="18"/>
                <w:szCs w:val="18"/>
              </w:rPr>
              <w:t>Decision VIII/15</w:t>
            </w:r>
          </w:p>
        </w:tc>
        <w:tc>
          <w:tcPr>
            <w:tcW w:w="936" w:type="dxa"/>
            <w:tcBorders>
              <w:top w:val="single" w:sz="4" w:space="0" w:color="auto"/>
              <w:bottom w:val="single" w:sz="4" w:space="0" w:color="auto"/>
            </w:tcBorders>
          </w:tcPr>
          <w:p w14:paraId="2A754DD9" w14:textId="77777777" w:rsidR="00EF2313" w:rsidRPr="00B831E7" w:rsidRDefault="00EF2313" w:rsidP="00AF1B49">
            <w:pPr>
              <w:pStyle w:val="Normal-pool"/>
              <w:spacing w:before="40" w:after="40"/>
              <w:rPr>
                <w:sz w:val="18"/>
                <w:szCs w:val="18"/>
              </w:rPr>
            </w:pPr>
            <w:r w:rsidRPr="00B831E7">
              <w:rPr>
                <w:sz w:val="18"/>
                <w:szCs w:val="18"/>
              </w:rPr>
              <w:t>High</w:t>
            </w:r>
          </w:p>
        </w:tc>
      </w:tr>
      <w:tr w:rsidR="00EF2313" w:rsidRPr="00B831E7" w14:paraId="239ABC3F" w14:textId="77777777" w:rsidTr="00AF1B49">
        <w:trPr>
          <w:trHeight w:val="57"/>
          <w:jc w:val="right"/>
        </w:trPr>
        <w:tc>
          <w:tcPr>
            <w:tcW w:w="8307" w:type="dxa"/>
            <w:gridSpan w:val="4"/>
            <w:tcBorders>
              <w:top w:val="single" w:sz="4" w:space="0" w:color="auto"/>
            </w:tcBorders>
            <w:hideMark/>
          </w:tcPr>
          <w:p w14:paraId="15B6DF21" w14:textId="77777777" w:rsidR="00EF2313" w:rsidRPr="00B831E7" w:rsidRDefault="00EF2313">
            <w:pPr>
              <w:pStyle w:val="Normal-pool"/>
              <w:numPr>
                <w:ilvl w:val="0"/>
                <w:numId w:val="4"/>
              </w:numPr>
              <w:tabs>
                <w:tab w:val="clear" w:pos="1247"/>
                <w:tab w:val="clear" w:pos="2381"/>
                <w:tab w:val="clear" w:pos="2948"/>
                <w:tab w:val="clear" w:pos="3515"/>
                <w:tab w:val="clear" w:pos="4082"/>
              </w:tabs>
              <w:spacing w:before="40" w:after="40"/>
              <w:ind w:left="318" w:hanging="284"/>
              <w:rPr>
                <w:b/>
                <w:iCs/>
                <w:sz w:val="18"/>
                <w:szCs w:val="18"/>
              </w:rPr>
            </w:pPr>
            <w:r w:rsidRPr="00B831E7">
              <w:rPr>
                <w:b/>
                <w:sz w:val="18"/>
                <w:szCs w:val="18"/>
              </w:rPr>
              <w:t xml:space="preserve">Legal, governance and enforcement matters </w:t>
            </w:r>
          </w:p>
        </w:tc>
      </w:tr>
      <w:tr w:rsidR="00EF2313" w:rsidRPr="00B831E7" w14:paraId="4C0AC6C5" w14:textId="77777777" w:rsidTr="00AF1B49">
        <w:trPr>
          <w:trHeight w:val="57"/>
          <w:jc w:val="right"/>
        </w:trPr>
        <w:tc>
          <w:tcPr>
            <w:tcW w:w="2255" w:type="dxa"/>
            <w:vMerge w:val="restart"/>
            <w:hideMark/>
          </w:tcPr>
          <w:p w14:paraId="02348CC4" w14:textId="77777777" w:rsidR="00EF2313" w:rsidRPr="00B831E7" w:rsidRDefault="00EF2313">
            <w:pPr>
              <w:pStyle w:val="Normal-pool"/>
              <w:numPr>
                <w:ilvl w:val="0"/>
                <w:numId w:val="10"/>
              </w:numPr>
              <w:tabs>
                <w:tab w:val="clear" w:pos="1247"/>
                <w:tab w:val="clear" w:pos="2381"/>
                <w:tab w:val="clear" w:pos="2948"/>
                <w:tab w:val="clear" w:pos="3515"/>
                <w:tab w:val="clear" w:pos="4082"/>
                <w:tab w:val="left" w:pos="300"/>
              </w:tabs>
              <w:spacing w:before="40" w:after="40"/>
              <w:ind w:left="318" w:right="57" w:hanging="284"/>
              <w:rPr>
                <w:sz w:val="18"/>
                <w:szCs w:val="18"/>
              </w:rPr>
            </w:pPr>
            <w:r w:rsidRPr="00B831E7">
              <w:rPr>
                <w:sz w:val="18"/>
                <w:szCs w:val="18"/>
              </w:rPr>
              <w:t xml:space="preserve">Providing further legal clarity </w:t>
            </w:r>
          </w:p>
        </w:tc>
        <w:tc>
          <w:tcPr>
            <w:tcW w:w="3274" w:type="dxa"/>
            <w:hideMark/>
          </w:tcPr>
          <w:p w14:paraId="3508E072" w14:textId="77777777" w:rsidR="00EF2313" w:rsidRPr="00B831E7" w:rsidRDefault="00EF2313">
            <w:pPr>
              <w:pStyle w:val="Normal-pool"/>
              <w:numPr>
                <w:ilvl w:val="0"/>
                <w:numId w:val="6"/>
              </w:numPr>
              <w:tabs>
                <w:tab w:val="clear" w:pos="1247"/>
                <w:tab w:val="clear" w:pos="2381"/>
                <w:tab w:val="clear" w:pos="2948"/>
                <w:tab w:val="clear" w:pos="3515"/>
                <w:tab w:val="clear" w:pos="4082"/>
                <w:tab w:val="left" w:pos="211"/>
              </w:tabs>
              <w:spacing w:before="40" w:after="40"/>
              <w:ind w:left="208" w:right="57" w:hanging="218"/>
              <w:rPr>
                <w:color w:val="000000"/>
                <w:sz w:val="18"/>
              </w:rPr>
            </w:pPr>
            <w:r w:rsidRPr="00B831E7">
              <w:rPr>
                <w:sz w:val="18"/>
                <w:szCs w:val="18"/>
              </w:rPr>
              <w:t xml:space="preserve">Consider the proposals by the European Union to amend Annex IV and certain entries in Annexes II and IX to the Basel Convention and the recommendations and findings of the expert working group, </w:t>
            </w:r>
            <w:proofErr w:type="gramStart"/>
            <w:r w:rsidRPr="00B831E7">
              <w:rPr>
                <w:sz w:val="18"/>
                <w:szCs w:val="18"/>
              </w:rPr>
              <w:t>taking into account</w:t>
            </w:r>
            <w:proofErr w:type="gramEnd"/>
            <w:r w:rsidRPr="00B831E7">
              <w:rPr>
                <w:sz w:val="18"/>
                <w:szCs w:val="18"/>
              </w:rPr>
              <w:t xml:space="preserve"> the discussions at the fifteenth meeting of the Conference of the Parties, and provide recommendations for consideration by the Conference of the Parties at its sixteenth meeting.</w:t>
            </w:r>
          </w:p>
        </w:tc>
        <w:tc>
          <w:tcPr>
            <w:tcW w:w="1842" w:type="dxa"/>
            <w:hideMark/>
          </w:tcPr>
          <w:p w14:paraId="30973375" w14:textId="77777777" w:rsidR="00EF2313" w:rsidRPr="00B831E7" w:rsidRDefault="00EF2313" w:rsidP="00AF1B49">
            <w:pPr>
              <w:pStyle w:val="Normal-pool"/>
              <w:spacing w:before="40" w:after="40"/>
              <w:rPr>
                <w:sz w:val="18"/>
                <w:szCs w:val="18"/>
              </w:rPr>
            </w:pPr>
            <w:r w:rsidRPr="00B831E7">
              <w:rPr>
                <w:sz w:val="18"/>
                <w:szCs w:val="18"/>
              </w:rPr>
              <w:t>Decision BC-15/19</w:t>
            </w:r>
          </w:p>
        </w:tc>
        <w:tc>
          <w:tcPr>
            <w:tcW w:w="936" w:type="dxa"/>
            <w:hideMark/>
          </w:tcPr>
          <w:p w14:paraId="339DE945" w14:textId="77777777" w:rsidR="00EF2313" w:rsidRPr="00B831E7" w:rsidRDefault="00EF2313" w:rsidP="00AF1B49">
            <w:pPr>
              <w:pStyle w:val="Normal-pool"/>
              <w:spacing w:before="40" w:after="40"/>
              <w:rPr>
                <w:sz w:val="18"/>
                <w:szCs w:val="18"/>
              </w:rPr>
            </w:pPr>
            <w:r w:rsidRPr="00B831E7">
              <w:rPr>
                <w:sz w:val="18"/>
                <w:szCs w:val="18"/>
              </w:rPr>
              <w:t>High</w:t>
            </w:r>
          </w:p>
        </w:tc>
      </w:tr>
      <w:tr w:rsidR="00EF2313" w:rsidRPr="00B831E7" w14:paraId="637991AF" w14:textId="77777777" w:rsidTr="00AF1B49">
        <w:trPr>
          <w:trHeight w:val="57"/>
          <w:jc w:val="right"/>
        </w:trPr>
        <w:tc>
          <w:tcPr>
            <w:tcW w:w="2255" w:type="dxa"/>
            <w:vMerge/>
            <w:tcBorders>
              <w:bottom w:val="single" w:sz="4" w:space="0" w:color="auto"/>
            </w:tcBorders>
          </w:tcPr>
          <w:p w14:paraId="54785113" w14:textId="77777777" w:rsidR="00EF2313" w:rsidRPr="00B831E7" w:rsidRDefault="00EF2313" w:rsidP="00AF1B49">
            <w:pPr>
              <w:pStyle w:val="Normal-pool"/>
              <w:tabs>
                <w:tab w:val="clear" w:pos="1247"/>
                <w:tab w:val="left" w:pos="300"/>
              </w:tabs>
              <w:spacing w:before="40" w:after="40"/>
              <w:ind w:right="57"/>
              <w:rPr>
                <w:sz w:val="18"/>
                <w:szCs w:val="18"/>
              </w:rPr>
            </w:pPr>
          </w:p>
        </w:tc>
        <w:tc>
          <w:tcPr>
            <w:tcW w:w="3274" w:type="dxa"/>
            <w:tcBorders>
              <w:bottom w:val="single" w:sz="4" w:space="0" w:color="auto"/>
            </w:tcBorders>
          </w:tcPr>
          <w:p w14:paraId="26CB3A1E" w14:textId="77777777" w:rsidR="00EF2313" w:rsidRPr="00B831E7" w:rsidRDefault="00EF2313">
            <w:pPr>
              <w:pStyle w:val="Normal-pool"/>
              <w:numPr>
                <w:ilvl w:val="0"/>
                <w:numId w:val="6"/>
              </w:numPr>
              <w:tabs>
                <w:tab w:val="clear" w:pos="1247"/>
                <w:tab w:val="clear" w:pos="2381"/>
                <w:tab w:val="clear" w:pos="2948"/>
                <w:tab w:val="clear" w:pos="3515"/>
                <w:tab w:val="clear" w:pos="4082"/>
                <w:tab w:val="left" w:pos="211"/>
              </w:tabs>
              <w:spacing w:before="40" w:after="40"/>
              <w:ind w:left="208" w:right="57" w:hanging="218"/>
              <w:rPr>
                <w:sz w:val="18"/>
                <w:szCs w:val="18"/>
              </w:rPr>
            </w:pPr>
            <w:r w:rsidRPr="00B831E7">
              <w:rPr>
                <w:sz w:val="18"/>
                <w:szCs w:val="18"/>
              </w:rPr>
              <w:t xml:space="preserve">Consider progress made in the review of Annexes I and III and </w:t>
            </w:r>
            <w:r w:rsidRPr="00B831E7">
              <w:rPr>
                <w:sz w:val="18"/>
              </w:rPr>
              <w:t>provide recommendations for consideration by the Conference of the Parties at its sixteenth meeting</w:t>
            </w:r>
            <w:r w:rsidRPr="00B831E7">
              <w:rPr>
                <w:sz w:val="18"/>
                <w:szCs w:val="18"/>
              </w:rPr>
              <w:t>.</w:t>
            </w:r>
          </w:p>
        </w:tc>
        <w:tc>
          <w:tcPr>
            <w:tcW w:w="1842" w:type="dxa"/>
            <w:tcBorders>
              <w:bottom w:val="single" w:sz="4" w:space="0" w:color="auto"/>
            </w:tcBorders>
          </w:tcPr>
          <w:p w14:paraId="5D81602C" w14:textId="77777777" w:rsidR="00EF2313" w:rsidRPr="00B831E7" w:rsidRDefault="00EF2313" w:rsidP="00AF1B49">
            <w:pPr>
              <w:pStyle w:val="Normal-pool"/>
              <w:spacing w:before="40" w:after="40"/>
              <w:rPr>
                <w:sz w:val="18"/>
                <w:szCs w:val="18"/>
              </w:rPr>
            </w:pPr>
            <w:r w:rsidRPr="00B831E7">
              <w:rPr>
                <w:sz w:val="18"/>
                <w:szCs w:val="18"/>
              </w:rPr>
              <w:t>Decision BC-15/19</w:t>
            </w:r>
          </w:p>
        </w:tc>
        <w:tc>
          <w:tcPr>
            <w:tcW w:w="936" w:type="dxa"/>
            <w:tcBorders>
              <w:bottom w:val="single" w:sz="4" w:space="0" w:color="auto"/>
            </w:tcBorders>
          </w:tcPr>
          <w:p w14:paraId="47535891" w14:textId="77777777" w:rsidR="00EF2313" w:rsidRPr="00B831E7" w:rsidRDefault="00EF2313" w:rsidP="00AF1B49">
            <w:pPr>
              <w:pStyle w:val="Normal-pool"/>
              <w:spacing w:before="40" w:after="40"/>
              <w:rPr>
                <w:sz w:val="18"/>
                <w:szCs w:val="18"/>
              </w:rPr>
            </w:pPr>
            <w:r w:rsidRPr="00B831E7">
              <w:rPr>
                <w:sz w:val="18"/>
                <w:szCs w:val="18"/>
              </w:rPr>
              <w:t>High</w:t>
            </w:r>
          </w:p>
        </w:tc>
      </w:tr>
      <w:tr w:rsidR="00EF2313" w:rsidRPr="00B831E7" w14:paraId="5077DEF8" w14:textId="77777777" w:rsidTr="00AF1B49">
        <w:trPr>
          <w:trHeight w:val="57"/>
          <w:jc w:val="right"/>
        </w:trPr>
        <w:tc>
          <w:tcPr>
            <w:tcW w:w="8307" w:type="dxa"/>
            <w:gridSpan w:val="4"/>
            <w:tcBorders>
              <w:top w:val="single" w:sz="4" w:space="0" w:color="auto"/>
            </w:tcBorders>
            <w:hideMark/>
          </w:tcPr>
          <w:p w14:paraId="49D6CCB4" w14:textId="77777777" w:rsidR="00EF2313" w:rsidRPr="00B831E7" w:rsidRDefault="00EF2313">
            <w:pPr>
              <w:pStyle w:val="Normal-pool"/>
              <w:numPr>
                <w:ilvl w:val="0"/>
                <w:numId w:val="4"/>
              </w:numPr>
              <w:tabs>
                <w:tab w:val="clear" w:pos="1247"/>
                <w:tab w:val="clear" w:pos="2381"/>
                <w:tab w:val="clear" w:pos="2948"/>
                <w:tab w:val="clear" w:pos="3515"/>
                <w:tab w:val="clear" w:pos="4082"/>
              </w:tabs>
              <w:spacing w:before="40" w:after="40"/>
              <w:ind w:left="318" w:hanging="284"/>
              <w:rPr>
                <w:b/>
                <w:sz w:val="18"/>
                <w:szCs w:val="18"/>
              </w:rPr>
            </w:pPr>
            <w:r w:rsidRPr="00B831E7">
              <w:rPr>
                <w:b/>
                <w:sz w:val="18"/>
                <w:szCs w:val="18"/>
              </w:rPr>
              <w:t xml:space="preserve">International cooperation and coordination </w:t>
            </w:r>
          </w:p>
        </w:tc>
      </w:tr>
      <w:tr w:rsidR="00EF2313" w:rsidRPr="00B831E7" w14:paraId="267F0BEE" w14:textId="77777777" w:rsidTr="00AF1B49">
        <w:trPr>
          <w:trHeight w:val="57"/>
          <w:jc w:val="right"/>
        </w:trPr>
        <w:tc>
          <w:tcPr>
            <w:tcW w:w="2255" w:type="dxa"/>
            <w:vMerge w:val="restart"/>
            <w:shd w:val="clear" w:color="auto" w:fill="auto"/>
            <w:hideMark/>
          </w:tcPr>
          <w:p w14:paraId="21B1B82C" w14:textId="77777777" w:rsidR="00EF2313" w:rsidRPr="00B831E7" w:rsidRDefault="00EF2313">
            <w:pPr>
              <w:pStyle w:val="Normal-pool"/>
              <w:numPr>
                <w:ilvl w:val="0"/>
                <w:numId w:val="11"/>
              </w:numPr>
              <w:tabs>
                <w:tab w:val="clear" w:pos="1247"/>
                <w:tab w:val="clear" w:pos="2381"/>
                <w:tab w:val="clear" w:pos="2948"/>
                <w:tab w:val="clear" w:pos="3515"/>
                <w:tab w:val="clear" w:pos="4082"/>
                <w:tab w:val="left" w:pos="300"/>
              </w:tabs>
              <w:spacing w:before="40" w:after="40"/>
              <w:ind w:left="318" w:right="57" w:hanging="284"/>
              <w:rPr>
                <w:sz w:val="18"/>
                <w:szCs w:val="18"/>
              </w:rPr>
            </w:pPr>
            <w:r w:rsidRPr="00B831E7">
              <w:rPr>
                <w:sz w:val="18"/>
                <w:szCs w:val="18"/>
              </w:rPr>
              <w:t>Basel Convention Partnership Programme</w:t>
            </w:r>
          </w:p>
        </w:tc>
        <w:tc>
          <w:tcPr>
            <w:tcW w:w="3274" w:type="dxa"/>
            <w:shd w:val="clear" w:color="auto" w:fill="auto"/>
            <w:hideMark/>
          </w:tcPr>
          <w:p w14:paraId="39F32EED" w14:textId="77777777" w:rsidR="00EF2313" w:rsidRPr="00B831E7" w:rsidRDefault="00EF2313">
            <w:pPr>
              <w:pStyle w:val="Normal-pool"/>
              <w:numPr>
                <w:ilvl w:val="0"/>
                <w:numId w:val="7"/>
              </w:numPr>
              <w:tabs>
                <w:tab w:val="clear" w:pos="1247"/>
                <w:tab w:val="clear" w:pos="2381"/>
                <w:tab w:val="clear" w:pos="2948"/>
                <w:tab w:val="clear" w:pos="3515"/>
                <w:tab w:val="clear" w:pos="4082"/>
                <w:tab w:val="left" w:pos="211"/>
              </w:tabs>
              <w:spacing w:before="40" w:after="40"/>
              <w:ind w:left="208" w:right="57" w:hanging="218"/>
              <w:rPr>
                <w:sz w:val="18"/>
                <w:szCs w:val="18"/>
              </w:rPr>
            </w:pPr>
            <w:r w:rsidRPr="00B831E7">
              <w:rPr>
                <w:sz w:val="18"/>
                <w:szCs w:val="18"/>
              </w:rPr>
              <w:t>Consider progress made in and provide guidance on the implementation of the programme of work of the working group of the Partnership for Action on Challenges relating to E-waste for the biennium 2022</w:t>
            </w:r>
            <w:r w:rsidRPr="00B831E7">
              <w:rPr>
                <w:rFonts w:ascii="Symbol" w:eastAsia="Symbol" w:hAnsi="Symbol" w:cs="Symbol"/>
                <w:sz w:val="18"/>
                <w:szCs w:val="18"/>
              </w:rPr>
              <w:t>-</w:t>
            </w:r>
            <w:r w:rsidRPr="00B831E7">
              <w:rPr>
                <w:sz w:val="18"/>
                <w:szCs w:val="18"/>
              </w:rPr>
              <w:t xml:space="preserve">2023. </w:t>
            </w:r>
          </w:p>
        </w:tc>
        <w:tc>
          <w:tcPr>
            <w:tcW w:w="1842" w:type="dxa"/>
            <w:hideMark/>
          </w:tcPr>
          <w:p w14:paraId="415C03C1" w14:textId="77777777" w:rsidR="00EF2313" w:rsidRPr="00B831E7" w:rsidRDefault="00EF2313" w:rsidP="00AF1B49">
            <w:pPr>
              <w:pStyle w:val="Normal-pool"/>
              <w:spacing w:before="40" w:after="40"/>
              <w:rPr>
                <w:sz w:val="18"/>
                <w:szCs w:val="18"/>
              </w:rPr>
            </w:pPr>
            <w:r w:rsidRPr="00B831E7">
              <w:rPr>
                <w:sz w:val="18"/>
                <w:szCs w:val="18"/>
              </w:rPr>
              <w:t>Decision BC-15/22</w:t>
            </w:r>
          </w:p>
        </w:tc>
        <w:tc>
          <w:tcPr>
            <w:tcW w:w="936" w:type="dxa"/>
            <w:hideMark/>
          </w:tcPr>
          <w:p w14:paraId="0208CBCC" w14:textId="77777777" w:rsidR="00EF2313" w:rsidRPr="00B831E7" w:rsidRDefault="00EF2313" w:rsidP="00AF1B49">
            <w:pPr>
              <w:pStyle w:val="Normal-pool"/>
              <w:spacing w:before="40" w:after="40"/>
              <w:rPr>
                <w:sz w:val="18"/>
                <w:szCs w:val="18"/>
              </w:rPr>
            </w:pPr>
            <w:r w:rsidRPr="00B831E7">
              <w:rPr>
                <w:sz w:val="18"/>
                <w:szCs w:val="18"/>
              </w:rPr>
              <w:t>Medium</w:t>
            </w:r>
          </w:p>
        </w:tc>
      </w:tr>
      <w:tr w:rsidR="00EF2313" w:rsidRPr="00B831E7" w14:paraId="047BFABD" w14:textId="77777777" w:rsidTr="00AF1B49">
        <w:trPr>
          <w:trHeight w:val="57"/>
          <w:jc w:val="right"/>
        </w:trPr>
        <w:tc>
          <w:tcPr>
            <w:tcW w:w="2255" w:type="dxa"/>
            <w:vMerge/>
            <w:shd w:val="clear" w:color="auto" w:fill="auto"/>
          </w:tcPr>
          <w:p w14:paraId="72F9737D" w14:textId="77777777" w:rsidR="00EF2313" w:rsidRPr="00B831E7" w:rsidRDefault="00EF2313" w:rsidP="00AF1B49">
            <w:pPr>
              <w:pStyle w:val="Normal-pool"/>
              <w:tabs>
                <w:tab w:val="left" w:pos="300"/>
              </w:tabs>
              <w:spacing w:before="40" w:after="40"/>
              <w:ind w:left="316" w:right="57"/>
              <w:rPr>
                <w:sz w:val="18"/>
                <w:szCs w:val="18"/>
              </w:rPr>
            </w:pPr>
          </w:p>
        </w:tc>
        <w:tc>
          <w:tcPr>
            <w:tcW w:w="3274" w:type="dxa"/>
            <w:shd w:val="clear" w:color="auto" w:fill="auto"/>
          </w:tcPr>
          <w:p w14:paraId="66D084EF" w14:textId="77777777" w:rsidR="00EF2313" w:rsidRPr="00B831E7" w:rsidRDefault="00EF2313">
            <w:pPr>
              <w:pStyle w:val="Normal-pool"/>
              <w:numPr>
                <w:ilvl w:val="0"/>
                <w:numId w:val="7"/>
              </w:numPr>
              <w:tabs>
                <w:tab w:val="clear" w:pos="1247"/>
                <w:tab w:val="clear" w:pos="2381"/>
                <w:tab w:val="clear" w:pos="2948"/>
                <w:tab w:val="clear" w:pos="3515"/>
                <w:tab w:val="clear" w:pos="4082"/>
                <w:tab w:val="left" w:pos="211"/>
              </w:tabs>
              <w:spacing w:before="40" w:after="40"/>
              <w:ind w:left="208" w:right="57" w:hanging="218"/>
              <w:rPr>
                <w:sz w:val="18"/>
                <w:szCs w:val="18"/>
              </w:rPr>
            </w:pPr>
            <w:r w:rsidRPr="00B831E7">
              <w:rPr>
                <w:sz w:val="18"/>
                <w:szCs w:val="18"/>
              </w:rPr>
              <w:t>Consider progress made in and provide guidance on the implementation of the workplan of the working group of the Household Waste Partnership for the biennium 2022</w:t>
            </w:r>
            <w:r w:rsidRPr="00B831E7">
              <w:rPr>
                <w:rFonts w:ascii="Symbol" w:eastAsia="Symbol" w:hAnsi="Symbol" w:cs="Symbol"/>
                <w:sz w:val="18"/>
                <w:szCs w:val="18"/>
              </w:rPr>
              <w:t>-</w:t>
            </w:r>
            <w:r w:rsidRPr="00B831E7">
              <w:rPr>
                <w:sz w:val="18"/>
                <w:szCs w:val="18"/>
              </w:rPr>
              <w:t xml:space="preserve">2023. </w:t>
            </w:r>
          </w:p>
        </w:tc>
        <w:tc>
          <w:tcPr>
            <w:tcW w:w="1842" w:type="dxa"/>
          </w:tcPr>
          <w:p w14:paraId="6888AED8" w14:textId="77777777" w:rsidR="00EF2313" w:rsidRPr="00B831E7" w:rsidRDefault="00EF2313" w:rsidP="00AF1B49">
            <w:pPr>
              <w:pStyle w:val="Normal-pool"/>
              <w:spacing w:before="40" w:after="40"/>
              <w:rPr>
                <w:sz w:val="18"/>
                <w:szCs w:val="18"/>
              </w:rPr>
            </w:pPr>
            <w:r w:rsidRPr="00B831E7">
              <w:rPr>
                <w:sz w:val="18"/>
                <w:szCs w:val="18"/>
              </w:rPr>
              <w:t>Decision BC-15/22</w:t>
            </w:r>
          </w:p>
        </w:tc>
        <w:tc>
          <w:tcPr>
            <w:tcW w:w="936" w:type="dxa"/>
          </w:tcPr>
          <w:p w14:paraId="5EA8957E" w14:textId="77777777" w:rsidR="00EF2313" w:rsidRPr="00B831E7" w:rsidRDefault="00EF2313" w:rsidP="00AF1B49">
            <w:pPr>
              <w:pStyle w:val="Normal-pool"/>
              <w:spacing w:before="40" w:after="40"/>
              <w:rPr>
                <w:sz w:val="18"/>
                <w:szCs w:val="18"/>
              </w:rPr>
            </w:pPr>
            <w:r w:rsidRPr="00B831E7">
              <w:rPr>
                <w:sz w:val="18"/>
                <w:szCs w:val="18"/>
              </w:rPr>
              <w:t>Medium</w:t>
            </w:r>
          </w:p>
        </w:tc>
      </w:tr>
      <w:tr w:rsidR="00EF2313" w:rsidRPr="00B831E7" w14:paraId="7A558EBD" w14:textId="77777777" w:rsidTr="00AF1B49">
        <w:trPr>
          <w:trHeight w:val="57"/>
          <w:jc w:val="right"/>
        </w:trPr>
        <w:tc>
          <w:tcPr>
            <w:tcW w:w="2255" w:type="dxa"/>
            <w:vMerge/>
            <w:tcBorders>
              <w:bottom w:val="single" w:sz="4" w:space="0" w:color="auto"/>
            </w:tcBorders>
            <w:shd w:val="clear" w:color="auto" w:fill="auto"/>
          </w:tcPr>
          <w:p w14:paraId="234ED0B8" w14:textId="77777777" w:rsidR="00EF2313" w:rsidRPr="00B831E7" w:rsidRDefault="00EF2313" w:rsidP="00AF1B49">
            <w:pPr>
              <w:pStyle w:val="Normal-pool"/>
              <w:tabs>
                <w:tab w:val="left" w:pos="300"/>
              </w:tabs>
              <w:spacing w:before="40" w:after="40"/>
              <w:ind w:left="316" w:right="57"/>
              <w:rPr>
                <w:sz w:val="18"/>
                <w:szCs w:val="18"/>
              </w:rPr>
            </w:pPr>
          </w:p>
        </w:tc>
        <w:tc>
          <w:tcPr>
            <w:tcW w:w="3274" w:type="dxa"/>
            <w:tcBorders>
              <w:bottom w:val="single" w:sz="4" w:space="0" w:color="auto"/>
            </w:tcBorders>
            <w:shd w:val="clear" w:color="auto" w:fill="auto"/>
          </w:tcPr>
          <w:p w14:paraId="21A9F531" w14:textId="77777777" w:rsidR="00EF2313" w:rsidRPr="00B831E7" w:rsidRDefault="00EF2313">
            <w:pPr>
              <w:pStyle w:val="Normal-pool"/>
              <w:numPr>
                <w:ilvl w:val="0"/>
                <w:numId w:val="7"/>
              </w:numPr>
              <w:tabs>
                <w:tab w:val="clear" w:pos="1247"/>
                <w:tab w:val="clear" w:pos="2381"/>
                <w:tab w:val="clear" w:pos="2948"/>
                <w:tab w:val="clear" w:pos="3515"/>
                <w:tab w:val="clear" w:pos="4082"/>
                <w:tab w:val="left" w:pos="211"/>
              </w:tabs>
              <w:spacing w:before="40" w:after="40"/>
              <w:ind w:left="208" w:right="57" w:hanging="218"/>
              <w:rPr>
                <w:sz w:val="18"/>
                <w:szCs w:val="18"/>
              </w:rPr>
            </w:pPr>
            <w:r w:rsidRPr="00B831E7">
              <w:rPr>
                <w:sz w:val="18"/>
                <w:szCs w:val="18"/>
              </w:rPr>
              <w:t>Consider progress made in and provide guidance on the implementation of the workplan of the working group of the Partnership on Plastic Waste for the biennium 2022</w:t>
            </w:r>
            <w:r w:rsidRPr="00B831E7">
              <w:rPr>
                <w:rFonts w:ascii="Symbol" w:eastAsia="Symbol" w:hAnsi="Symbol" w:cs="Symbol"/>
                <w:sz w:val="18"/>
                <w:szCs w:val="18"/>
              </w:rPr>
              <w:t>-</w:t>
            </w:r>
            <w:r w:rsidRPr="00B831E7">
              <w:rPr>
                <w:sz w:val="18"/>
                <w:szCs w:val="18"/>
              </w:rPr>
              <w:t>2023.</w:t>
            </w:r>
          </w:p>
        </w:tc>
        <w:tc>
          <w:tcPr>
            <w:tcW w:w="1842" w:type="dxa"/>
            <w:tcBorders>
              <w:bottom w:val="single" w:sz="4" w:space="0" w:color="auto"/>
            </w:tcBorders>
          </w:tcPr>
          <w:p w14:paraId="1030242F" w14:textId="77777777" w:rsidR="00EF2313" w:rsidRPr="00B831E7" w:rsidRDefault="00EF2313" w:rsidP="00AF1B49">
            <w:pPr>
              <w:pStyle w:val="Normal-pool"/>
              <w:spacing w:before="40" w:after="40"/>
              <w:rPr>
                <w:sz w:val="18"/>
                <w:szCs w:val="18"/>
              </w:rPr>
            </w:pPr>
            <w:r w:rsidRPr="00B831E7">
              <w:rPr>
                <w:sz w:val="18"/>
                <w:szCs w:val="18"/>
              </w:rPr>
              <w:t>Decision BC-15/22</w:t>
            </w:r>
          </w:p>
        </w:tc>
        <w:tc>
          <w:tcPr>
            <w:tcW w:w="936" w:type="dxa"/>
            <w:tcBorders>
              <w:bottom w:val="single" w:sz="4" w:space="0" w:color="auto"/>
            </w:tcBorders>
          </w:tcPr>
          <w:p w14:paraId="21E8C836" w14:textId="77777777" w:rsidR="00EF2313" w:rsidRPr="00B831E7" w:rsidRDefault="00EF2313" w:rsidP="00AF1B49">
            <w:pPr>
              <w:pStyle w:val="Normal-pool"/>
              <w:spacing w:before="40" w:after="40"/>
              <w:rPr>
                <w:sz w:val="18"/>
                <w:szCs w:val="18"/>
              </w:rPr>
            </w:pPr>
            <w:r w:rsidRPr="00B831E7">
              <w:rPr>
                <w:sz w:val="18"/>
                <w:szCs w:val="18"/>
              </w:rPr>
              <w:t>Medium</w:t>
            </w:r>
          </w:p>
        </w:tc>
      </w:tr>
      <w:tr w:rsidR="00EF2313" w:rsidRPr="00B831E7" w14:paraId="0FFFE2E8" w14:textId="77777777" w:rsidTr="00AF1B49">
        <w:trPr>
          <w:trHeight w:val="57"/>
          <w:jc w:val="right"/>
        </w:trPr>
        <w:tc>
          <w:tcPr>
            <w:tcW w:w="2255" w:type="dxa"/>
            <w:tcBorders>
              <w:top w:val="single" w:sz="4" w:space="0" w:color="auto"/>
              <w:bottom w:val="single" w:sz="12" w:space="0" w:color="auto"/>
            </w:tcBorders>
            <w:shd w:val="clear" w:color="auto" w:fill="auto"/>
            <w:hideMark/>
          </w:tcPr>
          <w:p w14:paraId="3F51E1AB" w14:textId="77777777" w:rsidR="00EF2313" w:rsidRPr="00B831E7" w:rsidRDefault="00EF2313">
            <w:pPr>
              <w:pStyle w:val="Normal-pool"/>
              <w:numPr>
                <w:ilvl w:val="0"/>
                <w:numId w:val="11"/>
              </w:numPr>
              <w:tabs>
                <w:tab w:val="clear" w:pos="1247"/>
                <w:tab w:val="clear" w:pos="2381"/>
                <w:tab w:val="clear" w:pos="2948"/>
                <w:tab w:val="clear" w:pos="3515"/>
                <w:tab w:val="clear" w:pos="4082"/>
                <w:tab w:val="left" w:pos="300"/>
              </w:tabs>
              <w:spacing w:before="40" w:after="40"/>
              <w:ind w:left="318" w:right="57" w:hanging="284"/>
              <w:rPr>
                <w:sz w:val="18"/>
                <w:szCs w:val="18"/>
              </w:rPr>
            </w:pPr>
            <w:r w:rsidRPr="00B831E7">
              <w:rPr>
                <w:sz w:val="18"/>
                <w:szCs w:val="18"/>
              </w:rPr>
              <w:t xml:space="preserve">Cooperation with the World Customs </w:t>
            </w:r>
            <w:r w:rsidRPr="00B831E7">
              <w:rPr>
                <w:sz w:val="18"/>
                <w:szCs w:val="18"/>
              </w:rPr>
              <w:lastRenderedPageBreak/>
              <w:t>Organization on the Harmonized Commodity Description and Coding System</w:t>
            </w:r>
          </w:p>
        </w:tc>
        <w:tc>
          <w:tcPr>
            <w:tcW w:w="3274" w:type="dxa"/>
            <w:tcBorders>
              <w:top w:val="single" w:sz="4" w:space="0" w:color="auto"/>
              <w:bottom w:val="single" w:sz="12" w:space="0" w:color="auto"/>
            </w:tcBorders>
            <w:shd w:val="clear" w:color="auto" w:fill="auto"/>
            <w:hideMark/>
          </w:tcPr>
          <w:p w14:paraId="434B4473" w14:textId="77777777" w:rsidR="00EF2313" w:rsidRPr="00B831E7" w:rsidRDefault="00EF2313" w:rsidP="00AF1B49">
            <w:pPr>
              <w:pStyle w:val="Normal-pool"/>
              <w:spacing w:before="40" w:after="40"/>
              <w:ind w:left="57" w:right="57"/>
              <w:rPr>
                <w:sz w:val="18"/>
                <w:szCs w:val="18"/>
              </w:rPr>
            </w:pPr>
            <w:r w:rsidRPr="00B831E7">
              <w:rPr>
                <w:sz w:val="18"/>
                <w:szCs w:val="18"/>
              </w:rPr>
              <w:lastRenderedPageBreak/>
              <w:t xml:space="preserve">Consider progress made </w:t>
            </w:r>
            <w:proofErr w:type="gramStart"/>
            <w:r w:rsidRPr="00B831E7">
              <w:rPr>
                <w:sz w:val="18"/>
                <w:szCs w:val="18"/>
              </w:rPr>
              <w:t>with regard to</w:t>
            </w:r>
            <w:proofErr w:type="gramEnd"/>
            <w:r w:rsidRPr="00B831E7">
              <w:rPr>
                <w:sz w:val="18"/>
                <w:szCs w:val="18"/>
              </w:rPr>
              <w:t xml:space="preserve"> the inclusion of Basel Convention </w:t>
            </w:r>
            <w:r w:rsidRPr="00B831E7">
              <w:rPr>
                <w:sz w:val="18"/>
                <w:szCs w:val="18"/>
              </w:rPr>
              <w:lastRenderedPageBreak/>
              <w:t>wastes in the World Customs Organization Harmonized Commodity Description and Coding System.</w:t>
            </w:r>
          </w:p>
        </w:tc>
        <w:tc>
          <w:tcPr>
            <w:tcW w:w="1842" w:type="dxa"/>
            <w:tcBorders>
              <w:top w:val="single" w:sz="4" w:space="0" w:color="auto"/>
              <w:bottom w:val="single" w:sz="12" w:space="0" w:color="auto"/>
            </w:tcBorders>
            <w:hideMark/>
          </w:tcPr>
          <w:p w14:paraId="398DB5C3" w14:textId="77777777" w:rsidR="00EF2313" w:rsidRPr="00B831E7" w:rsidRDefault="00EF2313" w:rsidP="00AF1B49">
            <w:pPr>
              <w:pStyle w:val="Normal-pool"/>
              <w:spacing w:before="40" w:after="40"/>
              <w:rPr>
                <w:sz w:val="18"/>
                <w:szCs w:val="18"/>
              </w:rPr>
            </w:pPr>
            <w:r w:rsidRPr="00B831E7">
              <w:rPr>
                <w:sz w:val="18"/>
                <w:szCs w:val="18"/>
              </w:rPr>
              <w:lastRenderedPageBreak/>
              <w:t>Decision BC-15/12</w:t>
            </w:r>
          </w:p>
        </w:tc>
        <w:tc>
          <w:tcPr>
            <w:tcW w:w="936" w:type="dxa"/>
            <w:tcBorders>
              <w:top w:val="single" w:sz="4" w:space="0" w:color="auto"/>
              <w:bottom w:val="single" w:sz="12" w:space="0" w:color="auto"/>
            </w:tcBorders>
            <w:hideMark/>
          </w:tcPr>
          <w:p w14:paraId="0C82C658" w14:textId="77777777" w:rsidR="00EF2313" w:rsidRPr="00B831E7" w:rsidRDefault="00EF2313" w:rsidP="00AF1B49">
            <w:pPr>
              <w:pStyle w:val="Normal-pool"/>
              <w:spacing w:before="40" w:after="40"/>
              <w:rPr>
                <w:sz w:val="18"/>
                <w:szCs w:val="18"/>
              </w:rPr>
            </w:pPr>
            <w:r w:rsidRPr="00B831E7">
              <w:rPr>
                <w:sz w:val="18"/>
                <w:szCs w:val="18"/>
              </w:rPr>
              <w:t>Low</w:t>
            </w:r>
          </w:p>
        </w:tc>
      </w:tr>
      <w:bookmarkEnd w:id="0"/>
    </w:tbl>
    <w:p w14:paraId="66B095F3" w14:textId="77777777" w:rsidR="00EF2313" w:rsidRPr="00B831E7" w:rsidRDefault="00EF2313" w:rsidP="00EF2313">
      <w:pPr>
        <w:pStyle w:val="Normal-pool"/>
      </w:pPr>
    </w:p>
    <w:p w14:paraId="1D7F4CB3" w14:textId="44E48CA9" w:rsidR="00F935A6" w:rsidRPr="00EF2313" w:rsidRDefault="00F935A6" w:rsidP="00EF2313"/>
    <w:sectPr w:rsidR="00F935A6" w:rsidRPr="00EF2313" w:rsidSect="00CE7242">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7323B" w14:textId="77777777" w:rsidR="0048377B" w:rsidRDefault="0048377B" w:rsidP="004956AB">
      <w:r>
        <w:separator/>
      </w:r>
    </w:p>
  </w:endnote>
  <w:endnote w:type="continuationSeparator" w:id="0">
    <w:p w14:paraId="49A6DA27" w14:textId="77777777" w:rsidR="0048377B" w:rsidRDefault="0048377B"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BB048" w14:textId="77777777" w:rsidR="0048377B" w:rsidRDefault="0048377B" w:rsidP="004956AB">
      <w:r>
        <w:separator/>
      </w:r>
    </w:p>
  </w:footnote>
  <w:footnote w:type="continuationSeparator" w:id="0">
    <w:p w14:paraId="0E615B8B" w14:textId="77777777" w:rsidR="0048377B" w:rsidRDefault="0048377B" w:rsidP="004956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A62E7B"/>
    <w:multiLevelType w:val="hybridMultilevel"/>
    <w:tmpl w:val="BBB82F96"/>
    <w:lvl w:ilvl="0" w:tplc="0809000F">
      <w:start w:val="1"/>
      <w:numFmt w:val="lowerLetter"/>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4" w15:restartNumberingAfterBreak="0">
    <w:nsid w:val="52A66A9D"/>
    <w:multiLevelType w:val="multilevel"/>
    <w:tmpl w:val="1F46421A"/>
    <w:styleLink w:val="Normallist"/>
    <w:lvl w:ilvl="0">
      <w:start w:val="1"/>
      <w:numFmt w:val="decimal"/>
      <w:pStyle w:val="Normalnumb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Roman"/>
      <w:lvlText w:val="%5."/>
      <w:lvlJc w:val="left"/>
      <w:pPr>
        <w:tabs>
          <w:tab w:val="num" w:pos="568"/>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5"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9"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0"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82284868">
    <w:abstractNumId w:val="4"/>
  </w:num>
  <w:num w:numId="2" w16cid:durableId="602304220">
    <w:abstractNumId w:val="9"/>
  </w:num>
  <w:num w:numId="3" w16cid:durableId="1320765508">
    <w:abstractNumId w:val="5"/>
  </w:num>
  <w:num w:numId="4" w16cid:durableId="528639159">
    <w:abstractNumId w:val="10"/>
  </w:num>
  <w:num w:numId="5" w16cid:durableId="417601113">
    <w:abstractNumId w:val="3"/>
  </w:num>
  <w:num w:numId="6" w16cid:durableId="173308551">
    <w:abstractNumId w:val="1"/>
  </w:num>
  <w:num w:numId="7" w16cid:durableId="1843352733">
    <w:abstractNumId w:val="0"/>
  </w:num>
  <w:num w:numId="8" w16cid:durableId="1523664909">
    <w:abstractNumId w:val="8"/>
  </w:num>
  <w:num w:numId="9" w16cid:durableId="1902211861">
    <w:abstractNumId w:val="7"/>
  </w:num>
  <w:num w:numId="10" w16cid:durableId="1055659108">
    <w:abstractNumId w:val="6"/>
  </w:num>
  <w:num w:numId="11" w16cid:durableId="10338045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1B26C6"/>
    <w:rsid w:val="001B3A5F"/>
    <w:rsid w:val="002E5D8A"/>
    <w:rsid w:val="0048377B"/>
    <w:rsid w:val="004956AB"/>
    <w:rsid w:val="00542DFC"/>
    <w:rsid w:val="005F7EEC"/>
    <w:rsid w:val="00680027"/>
    <w:rsid w:val="007932DA"/>
    <w:rsid w:val="00836B73"/>
    <w:rsid w:val="00884140"/>
    <w:rsid w:val="00A9304F"/>
    <w:rsid w:val="00C24420"/>
    <w:rsid w:val="00C84536"/>
    <w:rsid w:val="00CE7242"/>
    <w:rsid w:val="00D67E22"/>
    <w:rsid w:val="00DF06CA"/>
    <w:rsid w:val="00E044F2"/>
    <w:rsid w:val="00EF2313"/>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 w:type="paragraph" w:customStyle="1" w:styleId="CH2">
    <w:name w:val="CH2"/>
    <w:basedOn w:val="Normal-pool"/>
    <w:next w:val="Normal"/>
    <w:link w:val="CH2Char"/>
    <w:qFormat/>
    <w:rsid w:val="00D67E22"/>
    <w:pPr>
      <w:keepNext/>
      <w:keepLines/>
      <w:tabs>
        <w:tab w:val="clear" w:pos="624"/>
        <w:tab w:val="right" w:pos="851"/>
      </w:tabs>
      <w:suppressAutoHyphens/>
      <w:spacing w:before="240" w:after="120"/>
      <w:ind w:left="1247" w:right="284" w:hanging="1247"/>
    </w:pPr>
    <w:rPr>
      <w:b/>
      <w:sz w:val="24"/>
      <w:szCs w:val="24"/>
    </w:rPr>
  </w:style>
  <w:style w:type="paragraph" w:customStyle="1" w:styleId="CH4">
    <w:name w:val="CH4"/>
    <w:basedOn w:val="Normal-pool"/>
    <w:next w:val="Normal"/>
    <w:rsid w:val="00D67E22"/>
    <w:pPr>
      <w:keepNext/>
      <w:keepLines/>
      <w:tabs>
        <w:tab w:val="clear" w:pos="624"/>
        <w:tab w:val="right" w:pos="851"/>
      </w:tabs>
      <w:suppressAutoHyphens/>
      <w:spacing w:before="120" w:after="120"/>
      <w:ind w:left="1247" w:right="284" w:hanging="1247"/>
    </w:pPr>
    <w:rPr>
      <w:b/>
    </w:rPr>
  </w:style>
  <w:style w:type="character" w:customStyle="1" w:styleId="CH2Char">
    <w:name w:val="CH2 Char"/>
    <w:link w:val="CH2"/>
    <w:rsid w:val="00D67E22"/>
    <w:rPr>
      <w:rFonts w:ascii="Times New Roman" w:eastAsia="Times New Roman" w:hAnsi="Times New Roman" w:cs="Times New Roman"/>
      <w:b/>
      <w:sz w:val="24"/>
      <w:szCs w:val="24"/>
      <w:lang w:val="en-GB" w:eastAsia="en-US"/>
    </w:rPr>
  </w:style>
  <w:style w:type="character" w:customStyle="1" w:styleId="footnote">
    <w:name w:val="footnote"/>
    <w:aliases w:val="reference,16,Point,Superscript,61,reference1,68"/>
    <w:semiHidden/>
    <w:rsid w:val="00D67E22"/>
    <w:rPr>
      <w:rFonts w:ascii="Times New Roman" w:hAnsi="Times New Roman" w:cs="Times New Roman" w:hint="default"/>
      <w:color w:val="auto"/>
      <w:sz w:val="18"/>
      <w:vertAlign w:val="superscript"/>
    </w:rPr>
  </w:style>
  <w:style w:type="character" w:styleId="Strong">
    <w:name w:val="Strong"/>
    <w:basedOn w:val="DefaultParagraphFont"/>
    <w:qFormat/>
    <w:rsid w:val="00CE7242"/>
    <w:rPr>
      <w:b/>
      <w:bCs/>
    </w:rPr>
  </w:style>
  <w:style w:type="numbering" w:customStyle="1" w:styleId="Normallist">
    <w:name w:val="Normal_list"/>
    <w:basedOn w:val="NoList"/>
    <w:rsid w:val="00A9304F"/>
    <w:pPr>
      <w:numPr>
        <w:numId w:val="1"/>
      </w:numPr>
    </w:pPr>
  </w:style>
  <w:style w:type="paragraph" w:customStyle="1" w:styleId="Normalnumber">
    <w:name w:val="Normal_number"/>
    <w:qFormat/>
    <w:rsid w:val="00A9304F"/>
    <w:pPr>
      <w:numPr>
        <w:numId w:val="1"/>
      </w:numPr>
      <w:tabs>
        <w:tab w:val="clear" w:pos="568"/>
        <w:tab w:val="left" w:pos="624"/>
      </w:tabs>
      <w:spacing w:after="120" w:line="240" w:lineRule="auto"/>
      <w:ind w:left="1247"/>
    </w:pPr>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986</Words>
  <Characters>5625</Characters>
  <Application>Microsoft Office Word</Application>
  <DocSecurity>0</DocSecurity>
  <Lines>46</Lines>
  <Paragraphs>13</Paragraphs>
  <ScaleCrop>false</ScaleCrop>
  <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2023-04-24T13:08:00Z</dcterms:created>
  <dcterms:modified xsi:type="dcterms:W3CDTF">2023-04-24T13:08:00Z</dcterms:modified>
</cp:coreProperties>
</file>