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DE238" w14:textId="77777777" w:rsidR="0010303E" w:rsidRPr="00993161" w:rsidRDefault="0010303E" w:rsidP="0010303E">
      <w:pPr>
        <w:pStyle w:val="CH1"/>
        <w:spacing w:before="0"/>
        <w:rPr>
          <w:lang w:val="fr-FR"/>
        </w:rPr>
      </w:pPr>
      <w:r w:rsidRPr="00993161">
        <w:rPr>
          <w:lang w:val="fr-FR"/>
        </w:rPr>
        <w:tab/>
      </w:r>
      <w:r w:rsidRPr="00993161">
        <w:rPr>
          <w:lang w:val="fr-FR"/>
        </w:rPr>
        <w:tab/>
        <w:t>BC-15/23 : Programme de travail du Groupe de travail à composition non limitée pour l’exercice biennal 2022–2023</w:t>
      </w:r>
    </w:p>
    <w:p w14:paraId="685C38C9" w14:textId="77777777" w:rsidR="0010303E" w:rsidRPr="00993161" w:rsidRDefault="0010303E" w:rsidP="0010303E">
      <w:pPr>
        <w:pStyle w:val="NormalNonumber"/>
        <w:rPr>
          <w:i/>
          <w:lang w:val="fr-FR"/>
        </w:rPr>
      </w:pPr>
      <w:r w:rsidRPr="00993161">
        <w:rPr>
          <w:i/>
          <w:lang w:val="fr-FR"/>
        </w:rPr>
        <w:tab/>
        <w:t>La Conférence des Parties,</w:t>
      </w:r>
    </w:p>
    <w:p w14:paraId="34FB6AEF" w14:textId="77777777" w:rsidR="0010303E" w:rsidRPr="00993161" w:rsidRDefault="0010303E" w:rsidP="0010303E">
      <w:pPr>
        <w:pStyle w:val="NormalNonumber"/>
        <w:rPr>
          <w:lang w:val="fr-FR"/>
        </w:rPr>
      </w:pPr>
      <w:r w:rsidRPr="00993161">
        <w:rPr>
          <w:i/>
          <w:lang w:val="fr-FR"/>
        </w:rPr>
        <w:tab/>
        <w:t>Adopte</w:t>
      </w:r>
      <w:r w:rsidRPr="00993161">
        <w:rPr>
          <w:lang w:val="fr-FR"/>
        </w:rPr>
        <w:t xml:space="preserve"> le programme de travail du Groupe de travail à composition non limitée pour la période biennale 2022–2023, qui figure en annexe à la présente décision.</w:t>
      </w:r>
    </w:p>
    <w:p w14:paraId="2C422C97" w14:textId="77777777" w:rsidR="0010303E" w:rsidRPr="00993161" w:rsidRDefault="0010303E" w:rsidP="0010303E">
      <w:pPr>
        <w:pStyle w:val="CH2"/>
        <w:keepNext w:val="0"/>
        <w:keepLines w:val="0"/>
        <w:rPr>
          <w:lang w:val="fr-FR"/>
        </w:rPr>
      </w:pPr>
      <w:r w:rsidRPr="00993161">
        <w:rPr>
          <w:lang w:val="fr-FR"/>
        </w:rPr>
        <w:tab/>
      </w:r>
      <w:r w:rsidRPr="00993161">
        <w:rPr>
          <w:lang w:val="fr-FR"/>
        </w:rPr>
        <w:tab/>
        <w:t>Annexe à la décision BC-15/23</w:t>
      </w:r>
    </w:p>
    <w:p w14:paraId="01B56790" w14:textId="77777777" w:rsidR="0010303E" w:rsidRPr="00993161" w:rsidRDefault="0010303E" w:rsidP="0010303E">
      <w:pPr>
        <w:pStyle w:val="CH2"/>
        <w:keepNext w:val="0"/>
        <w:keepLines w:val="0"/>
        <w:rPr>
          <w:lang w:val="fr-FR"/>
        </w:rPr>
      </w:pPr>
      <w:r w:rsidRPr="00993161">
        <w:rPr>
          <w:lang w:val="fr-FR"/>
        </w:rPr>
        <w:tab/>
      </w:r>
      <w:r w:rsidRPr="00993161">
        <w:rPr>
          <w:lang w:val="fr-FR"/>
        </w:rPr>
        <w:tab/>
        <w:t>Programme de travail du Groupe de travail à composition non limitée pour la période biennale 2022–2023</w:t>
      </w:r>
    </w:p>
    <w:tbl>
      <w:tblPr>
        <w:tblW w:w="8307" w:type="dxa"/>
        <w:jc w:val="right"/>
        <w:tblLayout w:type="fixed"/>
        <w:tblLook w:val="04A0" w:firstRow="1" w:lastRow="0" w:firstColumn="1" w:lastColumn="0" w:noHBand="0" w:noVBand="1"/>
      </w:tblPr>
      <w:tblGrid>
        <w:gridCol w:w="2255"/>
        <w:gridCol w:w="3274"/>
        <w:gridCol w:w="1842"/>
        <w:gridCol w:w="936"/>
      </w:tblGrid>
      <w:tr w:rsidR="0010303E" w:rsidRPr="00993161" w14:paraId="3241C121" w14:textId="77777777" w:rsidTr="00683217">
        <w:trPr>
          <w:trHeight w:val="57"/>
          <w:tblHeader/>
          <w:jc w:val="right"/>
        </w:trPr>
        <w:tc>
          <w:tcPr>
            <w:tcW w:w="2255" w:type="dxa"/>
            <w:tcBorders>
              <w:top w:val="single" w:sz="4" w:space="0" w:color="auto"/>
              <w:bottom w:val="single" w:sz="12" w:space="0" w:color="auto"/>
            </w:tcBorders>
            <w:vAlign w:val="bottom"/>
          </w:tcPr>
          <w:p w14:paraId="2752B676" w14:textId="77777777" w:rsidR="0010303E" w:rsidRPr="00993161" w:rsidRDefault="0010303E" w:rsidP="00683217">
            <w:pPr>
              <w:pStyle w:val="Normal-pool"/>
              <w:spacing w:before="40" w:after="40"/>
              <w:ind w:right="57"/>
              <w:rPr>
                <w:i/>
                <w:sz w:val="18"/>
                <w:szCs w:val="18"/>
                <w:lang w:val="fr-FR"/>
              </w:rPr>
            </w:pPr>
            <w:bookmarkStart w:id="0" w:name="_Hlk57295111"/>
            <w:r w:rsidRPr="00993161">
              <w:rPr>
                <w:i/>
                <w:sz w:val="18"/>
                <w:lang w:val="fr-FR"/>
              </w:rPr>
              <w:t>Sujets</w:t>
            </w:r>
          </w:p>
        </w:tc>
        <w:tc>
          <w:tcPr>
            <w:tcW w:w="3274" w:type="dxa"/>
            <w:tcBorders>
              <w:top w:val="single" w:sz="4" w:space="0" w:color="auto"/>
              <w:bottom w:val="single" w:sz="12" w:space="0" w:color="auto"/>
            </w:tcBorders>
            <w:vAlign w:val="bottom"/>
          </w:tcPr>
          <w:p w14:paraId="2B2E9AB9" w14:textId="77777777" w:rsidR="0010303E" w:rsidRPr="00993161" w:rsidRDefault="0010303E" w:rsidP="00683217">
            <w:pPr>
              <w:pStyle w:val="Normal-pool"/>
              <w:spacing w:before="40" w:after="40"/>
              <w:ind w:right="57"/>
              <w:rPr>
                <w:i/>
                <w:sz w:val="18"/>
                <w:szCs w:val="18"/>
                <w:lang w:val="fr-FR"/>
              </w:rPr>
            </w:pPr>
            <w:r w:rsidRPr="00993161">
              <w:rPr>
                <w:i/>
                <w:sz w:val="18"/>
                <w:lang w:val="fr-FR"/>
              </w:rPr>
              <w:t>Activités</w:t>
            </w:r>
          </w:p>
        </w:tc>
        <w:tc>
          <w:tcPr>
            <w:tcW w:w="1842" w:type="dxa"/>
            <w:tcBorders>
              <w:top w:val="single" w:sz="4" w:space="0" w:color="auto"/>
              <w:bottom w:val="single" w:sz="12" w:space="0" w:color="auto"/>
            </w:tcBorders>
            <w:vAlign w:val="bottom"/>
          </w:tcPr>
          <w:p w14:paraId="35F26B1F" w14:textId="77777777" w:rsidR="0010303E" w:rsidRPr="00993161" w:rsidRDefault="0010303E" w:rsidP="00683217">
            <w:pPr>
              <w:pStyle w:val="Normal-pool"/>
              <w:spacing w:before="40" w:after="40"/>
              <w:ind w:right="57"/>
              <w:rPr>
                <w:i/>
                <w:sz w:val="18"/>
                <w:szCs w:val="18"/>
                <w:lang w:val="fr-FR"/>
              </w:rPr>
            </w:pPr>
            <w:r w:rsidRPr="00993161">
              <w:rPr>
                <w:i/>
                <w:sz w:val="18"/>
                <w:lang w:val="fr-FR"/>
              </w:rPr>
              <w:t xml:space="preserve">Textes autorisant les activités </w:t>
            </w:r>
          </w:p>
        </w:tc>
        <w:tc>
          <w:tcPr>
            <w:tcW w:w="936" w:type="dxa"/>
            <w:tcBorders>
              <w:top w:val="single" w:sz="4" w:space="0" w:color="auto"/>
              <w:bottom w:val="single" w:sz="12" w:space="0" w:color="auto"/>
            </w:tcBorders>
            <w:vAlign w:val="bottom"/>
          </w:tcPr>
          <w:p w14:paraId="30045BC7" w14:textId="77777777" w:rsidR="0010303E" w:rsidRPr="00993161" w:rsidRDefault="0010303E" w:rsidP="00683217">
            <w:pPr>
              <w:pStyle w:val="Normal-pool"/>
              <w:spacing w:before="40" w:after="40"/>
              <w:rPr>
                <w:i/>
                <w:sz w:val="18"/>
                <w:szCs w:val="18"/>
                <w:lang w:val="fr-FR"/>
              </w:rPr>
            </w:pPr>
            <w:r w:rsidRPr="00993161">
              <w:rPr>
                <w:i/>
                <w:sz w:val="18"/>
                <w:lang w:val="fr-FR"/>
              </w:rPr>
              <w:t xml:space="preserve">Degré de priorité </w:t>
            </w:r>
          </w:p>
        </w:tc>
      </w:tr>
      <w:tr w:rsidR="0010303E" w:rsidRPr="00993161" w14:paraId="10F7ABD3" w14:textId="77777777" w:rsidTr="00683217">
        <w:trPr>
          <w:trHeight w:val="57"/>
          <w:jc w:val="right"/>
        </w:trPr>
        <w:tc>
          <w:tcPr>
            <w:tcW w:w="8307" w:type="dxa"/>
            <w:gridSpan w:val="4"/>
            <w:tcBorders>
              <w:top w:val="single" w:sz="12" w:space="0" w:color="auto"/>
            </w:tcBorders>
            <w:vAlign w:val="bottom"/>
          </w:tcPr>
          <w:p w14:paraId="1F9ACEAE" w14:textId="77777777" w:rsidR="0010303E" w:rsidRPr="00993161" w:rsidRDefault="0010303E" w:rsidP="00683217">
            <w:pPr>
              <w:pStyle w:val="Normal-pool"/>
              <w:numPr>
                <w:ilvl w:val="0"/>
                <w:numId w:val="7"/>
              </w:numPr>
              <w:tabs>
                <w:tab w:val="clear" w:pos="1247"/>
              </w:tabs>
              <w:spacing w:before="40" w:after="40"/>
              <w:ind w:left="318" w:hanging="284"/>
              <w:rPr>
                <w:sz w:val="18"/>
                <w:szCs w:val="18"/>
                <w:lang w:val="fr-FR"/>
              </w:rPr>
            </w:pPr>
            <w:r w:rsidRPr="00993161">
              <w:rPr>
                <w:b/>
                <w:sz w:val="18"/>
                <w:lang w:val="fr-FR"/>
              </w:rPr>
              <w:t>Questions stratégiques</w:t>
            </w:r>
          </w:p>
        </w:tc>
      </w:tr>
      <w:tr w:rsidR="0010303E" w:rsidRPr="00993161" w14:paraId="39FA0F0B" w14:textId="77777777" w:rsidTr="00683217">
        <w:trPr>
          <w:trHeight w:val="890"/>
          <w:jc w:val="right"/>
        </w:trPr>
        <w:tc>
          <w:tcPr>
            <w:tcW w:w="2255" w:type="dxa"/>
            <w:tcBorders>
              <w:bottom w:val="single" w:sz="4" w:space="0" w:color="auto"/>
            </w:tcBorders>
          </w:tcPr>
          <w:p w14:paraId="0887837D" w14:textId="77777777" w:rsidR="0010303E" w:rsidRPr="00993161" w:rsidRDefault="0010303E" w:rsidP="00683217">
            <w:pPr>
              <w:pStyle w:val="Normal-pool"/>
              <w:numPr>
                <w:ilvl w:val="0"/>
                <w:numId w:val="6"/>
              </w:numPr>
              <w:tabs>
                <w:tab w:val="clear" w:pos="1247"/>
                <w:tab w:val="left" w:pos="300"/>
              </w:tabs>
              <w:spacing w:before="40" w:after="40"/>
              <w:ind w:left="318" w:right="57" w:hanging="284"/>
              <w:rPr>
                <w:i/>
                <w:sz w:val="18"/>
                <w:szCs w:val="18"/>
                <w:lang w:val="fr-FR"/>
              </w:rPr>
            </w:pPr>
            <w:r w:rsidRPr="00993161">
              <w:rPr>
                <w:sz w:val="18"/>
                <w:lang w:val="fr-FR"/>
              </w:rPr>
              <w:t>Cadre stratégique</w:t>
            </w:r>
          </w:p>
        </w:tc>
        <w:tc>
          <w:tcPr>
            <w:tcW w:w="3274" w:type="dxa"/>
            <w:tcBorders>
              <w:bottom w:val="single" w:sz="4" w:space="0" w:color="auto"/>
            </w:tcBorders>
          </w:tcPr>
          <w:p w14:paraId="51CC10F9" w14:textId="77777777" w:rsidR="0010303E" w:rsidRPr="00993161" w:rsidRDefault="0010303E" w:rsidP="00683217">
            <w:pPr>
              <w:pStyle w:val="Normal-pool"/>
              <w:spacing w:before="40" w:after="120"/>
              <w:ind w:right="58"/>
              <w:rPr>
                <w:sz w:val="18"/>
                <w:szCs w:val="18"/>
                <w:lang w:val="fr-FR"/>
              </w:rPr>
            </w:pPr>
            <w:r w:rsidRPr="00993161">
              <w:rPr>
                <w:sz w:val="18"/>
                <w:lang w:val="fr-FR"/>
              </w:rPr>
              <w:t>Examiner le projet de rapport sur les conclusions et les recommandations visant à améliorer, selon qu’il convient, le cadre stratégique pour 2012–2021.</w:t>
            </w:r>
          </w:p>
        </w:tc>
        <w:tc>
          <w:tcPr>
            <w:tcW w:w="1842" w:type="dxa"/>
            <w:tcBorders>
              <w:bottom w:val="single" w:sz="4" w:space="0" w:color="auto"/>
            </w:tcBorders>
          </w:tcPr>
          <w:p w14:paraId="1CB41400" w14:textId="77777777" w:rsidR="0010303E" w:rsidRPr="00993161" w:rsidRDefault="0010303E" w:rsidP="00683217">
            <w:pPr>
              <w:pStyle w:val="Normal-pool"/>
              <w:spacing w:before="40" w:after="40"/>
              <w:rPr>
                <w:i/>
                <w:sz w:val="18"/>
                <w:szCs w:val="18"/>
                <w:lang w:val="fr-FR"/>
              </w:rPr>
            </w:pPr>
            <w:r w:rsidRPr="00993161">
              <w:rPr>
                <w:sz w:val="18"/>
                <w:lang w:val="fr-FR"/>
              </w:rPr>
              <w:t>Décision BC-15/3</w:t>
            </w:r>
          </w:p>
        </w:tc>
        <w:tc>
          <w:tcPr>
            <w:tcW w:w="936" w:type="dxa"/>
            <w:tcBorders>
              <w:bottom w:val="single" w:sz="4" w:space="0" w:color="auto"/>
            </w:tcBorders>
          </w:tcPr>
          <w:p w14:paraId="436FFAEC" w14:textId="77777777" w:rsidR="0010303E" w:rsidRPr="00993161" w:rsidRDefault="0010303E" w:rsidP="00683217">
            <w:pPr>
              <w:pStyle w:val="Normal-pool"/>
              <w:spacing w:before="40" w:after="40"/>
              <w:rPr>
                <w:i/>
                <w:sz w:val="18"/>
                <w:szCs w:val="18"/>
                <w:lang w:val="fr-FR"/>
              </w:rPr>
            </w:pPr>
            <w:r w:rsidRPr="00993161">
              <w:rPr>
                <w:sz w:val="18"/>
                <w:lang w:val="fr-FR"/>
              </w:rPr>
              <w:t>Élevé</w:t>
            </w:r>
          </w:p>
        </w:tc>
      </w:tr>
      <w:tr w:rsidR="0010303E" w:rsidRPr="00993161" w14:paraId="22F1DA44" w14:textId="77777777" w:rsidTr="00683217">
        <w:trPr>
          <w:trHeight w:val="57"/>
          <w:jc w:val="right"/>
        </w:trPr>
        <w:tc>
          <w:tcPr>
            <w:tcW w:w="2255" w:type="dxa"/>
            <w:vMerge w:val="restart"/>
          </w:tcPr>
          <w:p w14:paraId="491FF4A2" w14:textId="77777777" w:rsidR="0010303E" w:rsidRPr="00993161" w:rsidRDefault="0010303E" w:rsidP="00683217">
            <w:pPr>
              <w:pStyle w:val="Normal-pool"/>
              <w:numPr>
                <w:ilvl w:val="0"/>
                <w:numId w:val="6"/>
              </w:numPr>
              <w:tabs>
                <w:tab w:val="clear" w:pos="1247"/>
                <w:tab w:val="left" w:pos="300"/>
              </w:tabs>
              <w:spacing w:before="40" w:after="40"/>
              <w:ind w:left="318" w:right="57" w:hanging="284"/>
              <w:rPr>
                <w:sz w:val="18"/>
                <w:szCs w:val="18"/>
                <w:lang w:val="fr-FR"/>
              </w:rPr>
            </w:pPr>
            <w:r w:rsidRPr="00993161">
              <w:rPr>
                <w:sz w:val="18"/>
                <w:lang w:val="fr-FR"/>
              </w:rPr>
              <w:t>Mesures destinées à améliorer le fonctionnement du mécanisme de consentement préalable</w:t>
            </w:r>
          </w:p>
        </w:tc>
        <w:tc>
          <w:tcPr>
            <w:tcW w:w="3274" w:type="dxa"/>
          </w:tcPr>
          <w:p w14:paraId="69F8CA4F" w14:textId="77777777" w:rsidR="0010303E" w:rsidRPr="00993161" w:rsidRDefault="0010303E" w:rsidP="00683217">
            <w:pPr>
              <w:pStyle w:val="Normal-pool"/>
              <w:numPr>
                <w:ilvl w:val="0"/>
                <w:numId w:val="5"/>
              </w:numPr>
              <w:tabs>
                <w:tab w:val="clear" w:pos="1247"/>
                <w:tab w:val="left" w:pos="211"/>
              </w:tabs>
              <w:spacing w:before="40" w:after="40"/>
              <w:ind w:left="204" w:right="57" w:hanging="215"/>
              <w:rPr>
                <w:sz w:val="18"/>
                <w:szCs w:val="18"/>
                <w:lang w:val="fr-FR"/>
              </w:rPr>
            </w:pPr>
            <w:r w:rsidRPr="00993161">
              <w:rPr>
                <w:sz w:val="18"/>
                <w:lang w:val="fr-FR"/>
              </w:rPr>
              <w:t>Examiner la compilation et la synthèse d’informations sur les difficultés rencontrées dans la mise en œuvre du mécanisme de consentement préalable, ainsi que les meilleures pratiques, méthodes possibles, initiatives et points de vue propres à en améliorer le fonctionnement.</w:t>
            </w:r>
          </w:p>
        </w:tc>
        <w:tc>
          <w:tcPr>
            <w:tcW w:w="1842" w:type="dxa"/>
          </w:tcPr>
          <w:p w14:paraId="08762247" w14:textId="77777777" w:rsidR="0010303E" w:rsidRPr="00993161" w:rsidRDefault="0010303E" w:rsidP="00683217">
            <w:pPr>
              <w:pStyle w:val="Normal-pool"/>
              <w:spacing w:before="40" w:after="40"/>
              <w:rPr>
                <w:sz w:val="18"/>
                <w:szCs w:val="18"/>
                <w:lang w:val="fr-FR"/>
              </w:rPr>
            </w:pPr>
            <w:r w:rsidRPr="00993161">
              <w:rPr>
                <w:sz w:val="18"/>
                <w:lang w:val="fr-FR"/>
              </w:rPr>
              <w:t>Décision BC-15/3</w:t>
            </w:r>
          </w:p>
        </w:tc>
        <w:tc>
          <w:tcPr>
            <w:tcW w:w="936" w:type="dxa"/>
          </w:tcPr>
          <w:p w14:paraId="370DAEA6" w14:textId="77777777" w:rsidR="0010303E" w:rsidRPr="00993161" w:rsidRDefault="0010303E" w:rsidP="00683217">
            <w:pPr>
              <w:pStyle w:val="Normal-pool"/>
              <w:spacing w:before="40" w:after="40"/>
              <w:rPr>
                <w:sz w:val="18"/>
                <w:szCs w:val="18"/>
                <w:lang w:val="fr-FR"/>
              </w:rPr>
            </w:pPr>
            <w:r w:rsidRPr="00993161">
              <w:rPr>
                <w:sz w:val="18"/>
                <w:lang w:val="fr-FR"/>
              </w:rPr>
              <w:t>Élevé</w:t>
            </w:r>
          </w:p>
        </w:tc>
      </w:tr>
      <w:tr w:rsidR="0010303E" w:rsidRPr="00993161" w14:paraId="6D343109" w14:textId="77777777" w:rsidTr="00683217">
        <w:trPr>
          <w:trHeight w:val="57"/>
          <w:jc w:val="right"/>
        </w:trPr>
        <w:tc>
          <w:tcPr>
            <w:tcW w:w="2255" w:type="dxa"/>
            <w:vMerge/>
            <w:tcBorders>
              <w:bottom w:val="single" w:sz="4" w:space="0" w:color="auto"/>
            </w:tcBorders>
          </w:tcPr>
          <w:p w14:paraId="334F32E1" w14:textId="77777777" w:rsidR="0010303E" w:rsidRPr="00993161" w:rsidRDefault="0010303E" w:rsidP="00683217">
            <w:pPr>
              <w:pStyle w:val="Normal-pool"/>
              <w:tabs>
                <w:tab w:val="clear" w:pos="1247"/>
                <w:tab w:val="left" w:pos="300"/>
              </w:tabs>
              <w:spacing w:before="40" w:after="40"/>
              <w:ind w:right="57"/>
              <w:rPr>
                <w:sz w:val="18"/>
                <w:szCs w:val="18"/>
                <w:lang w:val="fr-FR"/>
              </w:rPr>
            </w:pPr>
          </w:p>
        </w:tc>
        <w:tc>
          <w:tcPr>
            <w:tcW w:w="3274" w:type="dxa"/>
            <w:tcBorders>
              <w:bottom w:val="single" w:sz="4" w:space="0" w:color="auto"/>
            </w:tcBorders>
          </w:tcPr>
          <w:p w14:paraId="005FA2DB" w14:textId="77777777" w:rsidR="0010303E" w:rsidRPr="00993161" w:rsidRDefault="0010303E" w:rsidP="00683217">
            <w:pPr>
              <w:pStyle w:val="Normal-pool"/>
              <w:numPr>
                <w:ilvl w:val="0"/>
                <w:numId w:val="5"/>
              </w:numPr>
              <w:tabs>
                <w:tab w:val="clear" w:pos="1247"/>
                <w:tab w:val="left" w:pos="211"/>
              </w:tabs>
              <w:spacing w:before="40" w:after="40"/>
              <w:ind w:left="208" w:right="57" w:hanging="218"/>
              <w:rPr>
                <w:sz w:val="18"/>
                <w:szCs w:val="18"/>
                <w:lang w:val="fr-FR"/>
              </w:rPr>
            </w:pPr>
            <w:r w:rsidRPr="00993161">
              <w:rPr>
                <w:sz w:val="18"/>
                <w:lang w:val="fr-FR"/>
              </w:rPr>
              <w:t>Sur la base de son examen de la compilation et de la synthèse des informations visées au paragraphe 1, élaborer des projets de recommandation que la Conférence des Parties examinera à sa seizième réunion.</w:t>
            </w:r>
          </w:p>
        </w:tc>
        <w:tc>
          <w:tcPr>
            <w:tcW w:w="1842" w:type="dxa"/>
            <w:tcBorders>
              <w:bottom w:val="single" w:sz="4" w:space="0" w:color="auto"/>
            </w:tcBorders>
          </w:tcPr>
          <w:p w14:paraId="6FF7591D" w14:textId="77777777" w:rsidR="0010303E" w:rsidRPr="00993161" w:rsidRDefault="0010303E" w:rsidP="00683217">
            <w:pPr>
              <w:pStyle w:val="Normal-pool"/>
              <w:spacing w:before="40" w:after="40"/>
              <w:rPr>
                <w:sz w:val="18"/>
                <w:szCs w:val="18"/>
                <w:lang w:val="fr-FR"/>
              </w:rPr>
            </w:pPr>
            <w:r w:rsidRPr="00993161">
              <w:rPr>
                <w:sz w:val="18"/>
                <w:lang w:val="fr-FR"/>
              </w:rPr>
              <w:t>Décision BC-15/3</w:t>
            </w:r>
          </w:p>
        </w:tc>
        <w:tc>
          <w:tcPr>
            <w:tcW w:w="936" w:type="dxa"/>
            <w:tcBorders>
              <w:bottom w:val="single" w:sz="4" w:space="0" w:color="auto"/>
            </w:tcBorders>
          </w:tcPr>
          <w:p w14:paraId="7F229828" w14:textId="77777777" w:rsidR="0010303E" w:rsidRPr="00993161" w:rsidRDefault="0010303E" w:rsidP="00683217">
            <w:pPr>
              <w:pStyle w:val="Normal-pool"/>
              <w:spacing w:before="40" w:after="40"/>
              <w:rPr>
                <w:sz w:val="18"/>
                <w:szCs w:val="18"/>
                <w:lang w:val="fr-FR"/>
              </w:rPr>
            </w:pPr>
            <w:r w:rsidRPr="00993161">
              <w:rPr>
                <w:sz w:val="18"/>
                <w:lang w:val="fr-FR"/>
              </w:rPr>
              <w:t>Élevé</w:t>
            </w:r>
          </w:p>
        </w:tc>
      </w:tr>
      <w:tr w:rsidR="0010303E" w:rsidRPr="00993161" w14:paraId="659BC2BD" w14:textId="77777777" w:rsidTr="00683217">
        <w:trPr>
          <w:trHeight w:val="57"/>
          <w:jc w:val="right"/>
        </w:trPr>
        <w:tc>
          <w:tcPr>
            <w:tcW w:w="8307" w:type="dxa"/>
            <w:gridSpan w:val="4"/>
          </w:tcPr>
          <w:p w14:paraId="064A25E0" w14:textId="77777777" w:rsidR="0010303E" w:rsidRPr="00993161" w:rsidRDefault="0010303E" w:rsidP="00683217">
            <w:pPr>
              <w:pStyle w:val="Normal-pool"/>
              <w:numPr>
                <w:ilvl w:val="0"/>
                <w:numId w:val="7"/>
              </w:numPr>
              <w:tabs>
                <w:tab w:val="clear" w:pos="1247"/>
              </w:tabs>
              <w:spacing w:before="40" w:after="40"/>
              <w:ind w:left="318" w:hanging="284"/>
              <w:rPr>
                <w:sz w:val="18"/>
                <w:szCs w:val="18"/>
                <w:lang w:val="fr-FR"/>
              </w:rPr>
            </w:pPr>
            <w:r w:rsidRPr="00993161">
              <w:rPr>
                <w:b/>
                <w:sz w:val="18"/>
                <w:lang w:val="fr-FR"/>
              </w:rPr>
              <w:t>Questions scientifiques et techniques</w:t>
            </w:r>
          </w:p>
        </w:tc>
      </w:tr>
      <w:tr w:rsidR="0010303E" w:rsidRPr="00993161" w14:paraId="60F05BBB" w14:textId="77777777" w:rsidTr="00683217">
        <w:trPr>
          <w:trHeight w:val="57"/>
          <w:jc w:val="right"/>
        </w:trPr>
        <w:tc>
          <w:tcPr>
            <w:tcW w:w="2255" w:type="dxa"/>
            <w:vMerge w:val="restart"/>
          </w:tcPr>
          <w:p w14:paraId="238AA7A0" w14:textId="77777777" w:rsidR="0010303E" w:rsidRPr="00993161" w:rsidRDefault="0010303E" w:rsidP="00683217">
            <w:pPr>
              <w:pStyle w:val="Normal-pool"/>
              <w:numPr>
                <w:ilvl w:val="0"/>
                <w:numId w:val="12"/>
              </w:numPr>
              <w:tabs>
                <w:tab w:val="clear" w:pos="1247"/>
                <w:tab w:val="left" w:pos="300"/>
              </w:tabs>
              <w:spacing w:before="40" w:after="40"/>
              <w:ind w:left="318" w:right="57" w:hanging="284"/>
              <w:rPr>
                <w:sz w:val="18"/>
                <w:szCs w:val="18"/>
                <w:lang w:val="fr-FR"/>
              </w:rPr>
            </w:pPr>
            <w:r w:rsidRPr="00993161">
              <w:rPr>
                <w:sz w:val="18"/>
                <w:lang w:val="fr-FR"/>
              </w:rPr>
              <w:t>Directives techniques</w:t>
            </w:r>
          </w:p>
        </w:tc>
        <w:tc>
          <w:tcPr>
            <w:tcW w:w="3274" w:type="dxa"/>
          </w:tcPr>
          <w:p w14:paraId="194D6C3C" w14:textId="77777777" w:rsidR="0010303E" w:rsidRPr="00993161" w:rsidRDefault="0010303E" w:rsidP="00683217">
            <w:pPr>
              <w:pStyle w:val="Normal-pool"/>
              <w:numPr>
                <w:ilvl w:val="0"/>
                <w:numId w:val="11"/>
              </w:numPr>
              <w:tabs>
                <w:tab w:val="clear" w:pos="1247"/>
                <w:tab w:val="left" w:pos="211"/>
              </w:tabs>
              <w:spacing w:before="40" w:after="40"/>
              <w:ind w:left="208" w:right="57" w:hanging="218"/>
              <w:rPr>
                <w:sz w:val="18"/>
                <w:szCs w:val="18"/>
                <w:lang w:val="fr-FR"/>
              </w:rPr>
            </w:pPr>
            <w:r w:rsidRPr="00993161">
              <w:rPr>
                <w:sz w:val="18"/>
                <w:lang w:val="fr-FR"/>
              </w:rPr>
              <w:t>Examiner les observations et informations relatives à la révision des valeurs provisoires de la faible teneur en polluants organiques persistants figurant dans les directives techniques générales visées dans la décision BC</w:t>
            </w:r>
            <w:r w:rsidRPr="00993161">
              <w:rPr>
                <w:sz w:val="18"/>
                <w:lang w:val="fr-FR"/>
              </w:rPr>
              <w:noBreakHyphen/>
              <w:t>15/6 et dans d’autres directives techniques, s’il y a lieu.</w:t>
            </w:r>
          </w:p>
        </w:tc>
        <w:tc>
          <w:tcPr>
            <w:tcW w:w="1842" w:type="dxa"/>
          </w:tcPr>
          <w:p w14:paraId="4A3DFBBC" w14:textId="77777777" w:rsidR="0010303E" w:rsidRPr="00993161" w:rsidRDefault="0010303E" w:rsidP="00683217">
            <w:pPr>
              <w:pStyle w:val="Normal-pool"/>
              <w:spacing w:before="40" w:after="40"/>
              <w:rPr>
                <w:sz w:val="18"/>
                <w:szCs w:val="18"/>
                <w:lang w:val="fr-FR"/>
              </w:rPr>
            </w:pPr>
            <w:r w:rsidRPr="00993161">
              <w:rPr>
                <w:sz w:val="18"/>
                <w:lang w:val="fr-FR"/>
              </w:rPr>
              <w:t>Décision BC-15/6</w:t>
            </w:r>
          </w:p>
        </w:tc>
        <w:tc>
          <w:tcPr>
            <w:tcW w:w="936" w:type="dxa"/>
          </w:tcPr>
          <w:p w14:paraId="46EF2F24" w14:textId="77777777" w:rsidR="0010303E" w:rsidRPr="00993161" w:rsidRDefault="0010303E" w:rsidP="00683217">
            <w:pPr>
              <w:pStyle w:val="Normal-pool"/>
              <w:spacing w:before="40" w:after="40"/>
              <w:rPr>
                <w:sz w:val="18"/>
                <w:szCs w:val="18"/>
                <w:lang w:val="fr-FR"/>
              </w:rPr>
            </w:pPr>
            <w:r w:rsidRPr="00993161">
              <w:rPr>
                <w:sz w:val="18"/>
                <w:lang w:val="fr-FR"/>
              </w:rPr>
              <w:t>Élevé</w:t>
            </w:r>
          </w:p>
        </w:tc>
      </w:tr>
      <w:tr w:rsidR="0010303E" w:rsidRPr="00993161" w14:paraId="061036DB" w14:textId="77777777" w:rsidTr="00683217">
        <w:trPr>
          <w:trHeight w:val="57"/>
          <w:jc w:val="right"/>
        </w:trPr>
        <w:tc>
          <w:tcPr>
            <w:tcW w:w="2255" w:type="dxa"/>
            <w:vMerge/>
          </w:tcPr>
          <w:p w14:paraId="7FFC0519" w14:textId="77777777" w:rsidR="0010303E" w:rsidRPr="00993161" w:rsidRDefault="0010303E" w:rsidP="00683217">
            <w:pPr>
              <w:pStyle w:val="Normal-pool"/>
              <w:tabs>
                <w:tab w:val="left" w:pos="300"/>
              </w:tabs>
              <w:spacing w:before="40" w:after="40"/>
              <w:ind w:left="57" w:right="57"/>
              <w:rPr>
                <w:sz w:val="18"/>
                <w:szCs w:val="18"/>
                <w:lang w:val="fr-FR"/>
              </w:rPr>
            </w:pPr>
          </w:p>
        </w:tc>
        <w:tc>
          <w:tcPr>
            <w:tcW w:w="3274" w:type="dxa"/>
          </w:tcPr>
          <w:p w14:paraId="025C8D11" w14:textId="77777777" w:rsidR="0010303E" w:rsidRPr="00993161" w:rsidRDefault="0010303E" w:rsidP="00683217">
            <w:pPr>
              <w:pStyle w:val="Normal-pool"/>
              <w:numPr>
                <w:ilvl w:val="0"/>
                <w:numId w:val="11"/>
              </w:numPr>
              <w:tabs>
                <w:tab w:val="clear" w:pos="1247"/>
                <w:tab w:val="left" w:pos="211"/>
              </w:tabs>
              <w:spacing w:before="40" w:after="40"/>
              <w:ind w:left="208" w:right="57" w:hanging="218"/>
              <w:rPr>
                <w:sz w:val="18"/>
                <w:szCs w:val="18"/>
                <w:lang w:val="fr-FR"/>
              </w:rPr>
            </w:pPr>
            <w:r w:rsidRPr="00993161">
              <w:rPr>
                <w:sz w:val="18"/>
                <w:lang w:val="fr-FR"/>
              </w:rPr>
              <w:t xml:space="preserve">Mettre à jour les directives techniques générales pour la gestion écologiquement rationnelle des déchets constitués de polluants organiques persistants, en contenant ou contaminés par ces substances, et les directives techniques pour la gestion écologiquement rationnelle des déchets constitués d’acide </w:t>
            </w:r>
            <w:proofErr w:type="spellStart"/>
            <w:r w:rsidRPr="00993161">
              <w:rPr>
                <w:sz w:val="18"/>
                <w:lang w:val="fr-FR"/>
              </w:rPr>
              <w:t>perfluorooctane</w:t>
            </w:r>
            <w:proofErr w:type="spellEnd"/>
            <w:r w:rsidRPr="00993161">
              <w:rPr>
                <w:sz w:val="18"/>
                <w:lang w:val="fr-FR"/>
              </w:rPr>
              <w:t xml:space="preserve"> sulfonique (SPFO), de sels de cet acide, de fluorure de </w:t>
            </w:r>
            <w:proofErr w:type="spellStart"/>
            <w:r w:rsidRPr="00993161">
              <w:rPr>
                <w:sz w:val="18"/>
                <w:lang w:val="fr-FR"/>
              </w:rPr>
              <w:t>perfluorooctane</w:t>
            </w:r>
            <w:proofErr w:type="spellEnd"/>
            <w:r w:rsidRPr="00993161">
              <w:rPr>
                <w:sz w:val="18"/>
                <w:lang w:val="fr-FR"/>
              </w:rPr>
              <w:t xml:space="preserve"> sulfonyle (FSPFO) ou d’acide </w:t>
            </w:r>
            <w:proofErr w:type="spellStart"/>
            <w:r w:rsidRPr="00993161">
              <w:rPr>
                <w:sz w:val="18"/>
                <w:lang w:val="fr-FR"/>
              </w:rPr>
              <w:t>perfluorooctanoïque</w:t>
            </w:r>
            <w:proofErr w:type="spellEnd"/>
            <w:r w:rsidRPr="00993161">
              <w:rPr>
                <w:sz w:val="18"/>
                <w:lang w:val="fr-FR"/>
              </w:rPr>
              <w:t xml:space="preserve"> (APFO), </w:t>
            </w:r>
            <w:r w:rsidRPr="00993161">
              <w:rPr>
                <w:sz w:val="18"/>
                <w:lang w:val="fr-FR"/>
              </w:rPr>
              <w:lastRenderedPageBreak/>
              <w:t xml:space="preserve">de sels de cet acide ou de composés apparentés, en contenant ou contaminés par ces substances, afin d’inclure l’acide </w:t>
            </w:r>
            <w:proofErr w:type="spellStart"/>
            <w:r w:rsidRPr="00993161">
              <w:rPr>
                <w:sz w:val="18"/>
                <w:lang w:val="fr-FR"/>
              </w:rPr>
              <w:t>perfluorohexane</w:t>
            </w:r>
            <w:proofErr w:type="spellEnd"/>
            <w:r w:rsidRPr="00993161">
              <w:rPr>
                <w:sz w:val="18"/>
                <w:lang w:val="fr-FR"/>
              </w:rPr>
              <w:t xml:space="preserve"> sulfonique (</w:t>
            </w:r>
            <w:proofErr w:type="spellStart"/>
            <w:r w:rsidRPr="00993161">
              <w:rPr>
                <w:sz w:val="18"/>
                <w:lang w:val="fr-FR"/>
              </w:rPr>
              <w:t>PFHxS</w:t>
            </w:r>
            <w:proofErr w:type="spellEnd"/>
            <w:r w:rsidRPr="00993161">
              <w:rPr>
                <w:sz w:val="18"/>
                <w:lang w:val="fr-FR"/>
              </w:rPr>
              <w:t>), ses sels et les composés apparentés, en tenant compte de la décision SC-10/9 de la Conférence des Parties à la Convention de Stockholm, notamment dans les domaines suivants :</w:t>
            </w:r>
          </w:p>
          <w:p w14:paraId="339C77C1" w14:textId="77777777" w:rsidR="0010303E" w:rsidRPr="00993161" w:rsidRDefault="0010303E" w:rsidP="00683217">
            <w:pPr>
              <w:pStyle w:val="Normal-pool"/>
              <w:keepNext/>
              <w:keepLines/>
              <w:numPr>
                <w:ilvl w:val="0"/>
                <w:numId w:val="8"/>
              </w:numPr>
              <w:tabs>
                <w:tab w:val="clear" w:pos="1247"/>
              </w:tabs>
              <w:spacing w:before="40" w:after="40"/>
              <w:ind w:left="510" w:right="57"/>
              <w:rPr>
                <w:rFonts w:eastAsia="Batang"/>
                <w:sz w:val="18"/>
                <w:szCs w:val="18"/>
                <w:lang w:val="fr-FR"/>
              </w:rPr>
            </w:pPr>
            <w:r w:rsidRPr="00993161">
              <w:rPr>
                <w:sz w:val="18"/>
                <w:lang w:val="fr-FR"/>
              </w:rPr>
              <w:t xml:space="preserve">Détermination des niveaux de destruction ou de transformation irréversible nécessaires lors de l’élimination des substances chimiques pour qu’elles ne présentent plus les caractéristiques de polluants organiques persistants indiquées au paragraphe 1 de l’Annexe D de la Convention de Stockholm ; </w:t>
            </w:r>
          </w:p>
          <w:p w14:paraId="14AAF1E6" w14:textId="77777777" w:rsidR="0010303E" w:rsidRPr="00993161" w:rsidRDefault="0010303E" w:rsidP="00683217">
            <w:pPr>
              <w:pStyle w:val="Normal-pool"/>
              <w:numPr>
                <w:ilvl w:val="0"/>
                <w:numId w:val="8"/>
              </w:numPr>
              <w:tabs>
                <w:tab w:val="clear" w:pos="1247"/>
                <w:tab w:val="left" w:pos="481"/>
              </w:tabs>
              <w:spacing w:before="40" w:after="40"/>
              <w:ind w:left="465" w:right="57" w:hanging="284"/>
              <w:rPr>
                <w:sz w:val="18"/>
                <w:szCs w:val="18"/>
                <w:lang w:val="fr-FR"/>
              </w:rPr>
            </w:pPr>
            <w:r w:rsidRPr="00993161">
              <w:rPr>
                <w:sz w:val="18"/>
                <w:lang w:val="fr-FR"/>
              </w:rPr>
              <w:t xml:space="preserve">Détermination des méthodes assurant une élimination écologiquement rationnelle telle que définie au paragraphe 1 d) ii) de l’article 6 de la Convention de Stockholm ; </w:t>
            </w:r>
          </w:p>
          <w:p w14:paraId="7D0EB34E" w14:textId="77777777" w:rsidR="0010303E" w:rsidRPr="00993161" w:rsidRDefault="0010303E" w:rsidP="00683217">
            <w:pPr>
              <w:pStyle w:val="Normal-pool"/>
              <w:numPr>
                <w:ilvl w:val="0"/>
                <w:numId w:val="8"/>
              </w:numPr>
              <w:tabs>
                <w:tab w:val="clear" w:pos="1247"/>
                <w:tab w:val="left" w:pos="481"/>
              </w:tabs>
              <w:spacing w:before="40" w:after="40"/>
              <w:ind w:left="475" w:right="58" w:hanging="288"/>
              <w:rPr>
                <w:sz w:val="18"/>
                <w:szCs w:val="18"/>
                <w:lang w:val="fr-FR"/>
              </w:rPr>
            </w:pPr>
            <w:r w:rsidRPr="00993161">
              <w:rPr>
                <w:sz w:val="18"/>
                <w:lang w:val="fr-FR"/>
              </w:rPr>
              <w:t>Détermination, s’il y a lieu, des niveaux de concentration des substances chimiques permettant de définir la faible teneur en polluants organiques persistants mentionnée au paragraphe 1 d) ii) de l’article 6 de la Convention de Stockholm.</w:t>
            </w:r>
          </w:p>
        </w:tc>
        <w:tc>
          <w:tcPr>
            <w:tcW w:w="1842" w:type="dxa"/>
          </w:tcPr>
          <w:p w14:paraId="3801C4BA" w14:textId="77777777" w:rsidR="0010303E" w:rsidRPr="00993161" w:rsidRDefault="0010303E" w:rsidP="00683217">
            <w:pPr>
              <w:pStyle w:val="Normal-pool"/>
              <w:spacing w:before="40" w:after="40"/>
              <w:rPr>
                <w:sz w:val="18"/>
                <w:szCs w:val="18"/>
                <w:lang w:val="fr-FR"/>
              </w:rPr>
            </w:pPr>
            <w:r w:rsidRPr="00993161">
              <w:rPr>
                <w:sz w:val="18"/>
                <w:lang w:val="fr-FR"/>
              </w:rPr>
              <w:lastRenderedPageBreak/>
              <w:t>Décision BC-15/6</w:t>
            </w:r>
          </w:p>
        </w:tc>
        <w:tc>
          <w:tcPr>
            <w:tcW w:w="936" w:type="dxa"/>
          </w:tcPr>
          <w:p w14:paraId="36E4E41E" w14:textId="77777777" w:rsidR="0010303E" w:rsidRPr="00993161" w:rsidRDefault="0010303E" w:rsidP="00683217">
            <w:pPr>
              <w:pStyle w:val="Normal-pool"/>
              <w:spacing w:before="40" w:after="40"/>
              <w:rPr>
                <w:sz w:val="18"/>
                <w:szCs w:val="18"/>
                <w:lang w:val="fr-FR"/>
              </w:rPr>
            </w:pPr>
            <w:r w:rsidRPr="00993161">
              <w:rPr>
                <w:sz w:val="18"/>
                <w:lang w:val="fr-FR"/>
              </w:rPr>
              <w:t>Élevé</w:t>
            </w:r>
          </w:p>
        </w:tc>
      </w:tr>
      <w:tr w:rsidR="0010303E" w:rsidRPr="00993161" w14:paraId="6E937458" w14:textId="77777777" w:rsidTr="00683217">
        <w:trPr>
          <w:trHeight w:val="57"/>
          <w:jc w:val="right"/>
        </w:trPr>
        <w:tc>
          <w:tcPr>
            <w:tcW w:w="2255" w:type="dxa"/>
            <w:vMerge/>
          </w:tcPr>
          <w:p w14:paraId="37152EE0" w14:textId="77777777" w:rsidR="0010303E" w:rsidRPr="00993161" w:rsidRDefault="0010303E" w:rsidP="00683217">
            <w:pPr>
              <w:pStyle w:val="Normal-pool"/>
              <w:tabs>
                <w:tab w:val="left" w:pos="300"/>
              </w:tabs>
              <w:spacing w:before="40" w:after="40"/>
              <w:ind w:left="57" w:right="57"/>
              <w:rPr>
                <w:sz w:val="18"/>
                <w:szCs w:val="18"/>
                <w:lang w:val="fr-FR"/>
              </w:rPr>
            </w:pPr>
          </w:p>
        </w:tc>
        <w:tc>
          <w:tcPr>
            <w:tcW w:w="3274" w:type="dxa"/>
          </w:tcPr>
          <w:p w14:paraId="42B40D82" w14:textId="77777777" w:rsidR="0010303E" w:rsidRPr="00993161" w:rsidRDefault="0010303E" w:rsidP="00683217">
            <w:pPr>
              <w:pStyle w:val="Normal-pool"/>
              <w:numPr>
                <w:ilvl w:val="0"/>
                <w:numId w:val="11"/>
              </w:numPr>
              <w:tabs>
                <w:tab w:val="clear" w:pos="1247"/>
                <w:tab w:val="left" w:pos="211"/>
              </w:tabs>
              <w:spacing w:before="40" w:after="40"/>
              <w:ind w:left="202" w:right="58" w:hanging="216"/>
              <w:rPr>
                <w:sz w:val="18"/>
                <w:szCs w:val="18"/>
                <w:lang w:val="fr-FR"/>
              </w:rPr>
            </w:pPr>
            <w:r w:rsidRPr="00993161">
              <w:rPr>
                <w:sz w:val="18"/>
                <w:lang w:val="fr-FR"/>
              </w:rPr>
              <w:t>Examiner le rapport sur les progrès accomplis dans l’application de la décision BC-15/7 sur les directives techniques sur les mouvements transfrontières de déchets d’équipements électriques et électroniques et d’équipements électriques et électroniques usagés, en particulier en ce qui concerne la distinction entre déchets et non</w:t>
            </w:r>
            <w:r w:rsidRPr="00993161">
              <w:rPr>
                <w:sz w:val="18"/>
                <w:lang w:val="fr-FR"/>
              </w:rPr>
              <w:noBreakHyphen/>
              <w:t>déchets au sens de la Convention de Bâle.</w:t>
            </w:r>
          </w:p>
        </w:tc>
        <w:tc>
          <w:tcPr>
            <w:tcW w:w="1842" w:type="dxa"/>
          </w:tcPr>
          <w:p w14:paraId="10770EAB" w14:textId="77777777" w:rsidR="0010303E" w:rsidRPr="00993161" w:rsidRDefault="0010303E" w:rsidP="00683217">
            <w:pPr>
              <w:pStyle w:val="Normal-pool"/>
              <w:spacing w:before="40" w:after="40"/>
              <w:rPr>
                <w:sz w:val="18"/>
                <w:szCs w:val="18"/>
                <w:lang w:val="fr-FR"/>
              </w:rPr>
            </w:pPr>
            <w:r w:rsidRPr="00993161">
              <w:rPr>
                <w:sz w:val="18"/>
                <w:lang w:val="fr-FR"/>
              </w:rPr>
              <w:t>Décision BC-15/7</w:t>
            </w:r>
          </w:p>
        </w:tc>
        <w:tc>
          <w:tcPr>
            <w:tcW w:w="936" w:type="dxa"/>
          </w:tcPr>
          <w:p w14:paraId="427A72D0" w14:textId="77777777" w:rsidR="0010303E" w:rsidRPr="00993161" w:rsidRDefault="0010303E" w:rsidP="00683217">
            <w:pPr>
              <w:pStyle w:val="Normal-pool"/>
              <w:spacing w:before="40" w:after="40"/>
              <w:rPr>
                <w:sz w:val="18"/>
                <w:szCs w:val="18"/>
                <w:lang w:val="fr-FR"/>
              </w:rPr>
            </w:pPr>
            <w:r w:rsidRPr="00993161">
              <w:rPr>
                <w:sz w:val="18"/>
                <w:lang w:val="fr-FR"/>
              </w:rPr>
              <w:t>Moyen</w:t>
            </w:r>
          </w:p>
        </w:tc>
      </w:tr>
      <w:tr w:rsidR="0010303E" w:rsidRPr="00993161" w14:paraId="0B08FB30" w14:textId="77777777" w:rsidTr="00683217">
        <w:trPr>
          <w:trHeight w:val="57"/>
          <w:jc w:val="right"/>
        </w:trPr>
        <w:tc>
          <w:tcPr>
            <w:tcW w:w="2255" w:type="dxa"/>
            <w:vMerge/>
          </w:tcPr>
          <w:p w14:paraId="29E34B8E" w14:textId="77777777" w:rsidR="0010303E" w:rsidRPr="00993161" w:rsidRDefault="0010303E" w:rsidP="00683217">
            <w:pPr>
              <w:pStyle w:val="Normal-pool"/>
              <w:tabs>
                <w:tab w:val="left" w:pos="300"/>
              </w:tabs>
              <w:spacing w:before="40" w:after="40"/>
              <w:ind w:left="57" w:right="57"/>
              <w:rPr>
                <w:sz w:val="18"/>
                <w:szCs w:val="18"/>
                <w:lang w:val="fr-FR"/>
              </w:rPr>
            </w:pPr>
          </w:p>
        </w:tc>
        <w:tc>
          <w:tcPr>
            <w:tcW w:w="3274" w:type="dxa"/>
          </w:tcPr>
          <w:p w14:paraId="0FD65C88" w14:textId="77777777" w:rsidR="0010303E" w:rsidRPr="00993161" w:rsidRDefault="0010303E" w:rsidP="00683217">
            <w:pPr>
              <w:pStyle w:val="Normal-pool"/>
              <w:numPr>
                <w:ilvl w:val="0"/>
                <w:numId w:val="11"/>
              </w:numPr>
              <w:tabs>
                <w:tab w:val="clear" w:pos="1247"/>
                <w:tab w:val="left" w:pos="211"/>
              </w:tabs>
              <w:spacing w:before="40" w:after="40"/>
              <w:ind w:left="202" w:right="58" w:hanging="216"/>
              <w:rPr>
                <w:sz w:val="18"/>
                <w:szCs w:val="18"/>
                <w:lang w:val="fr-FR"/>
              </w:rPr>
            </w:pPr>
            <w:r w:rsidRPr="00993161">
              <w:rPr>
                <w:sz w:val="18"/>
                <w:lang w:val="fr-FR"/>
              </w:rPr>
              <w:t>Examiner le projet de directives techniques actualisées pour la gestion écologiquement rationnelle des déchets plastiques.</w:t>
            </w:r>
          </w:p>
        </w:tc>
        <w:tc>
          <w:tcPr>
            <w:tcW w:w="1842" w:type="dxa"/>
          </w:tcPr>
          <w:p w14:paraId="2DA88DFF" w14:textId="77777777" w:rsidR="0010303E" w:rsidRPr="00993161" w:rsidRDefault="0010303E" w:rsidP="00683217">
            <w:pPr>
              <w:pStyle w:val="Normal-pool"/>
              <w:spacing w:before="40" w:after="40"/>
              <w:rPr>
                <w:sz w:val="18"/>
                <w:szCs w:val="18"/>
                <w:lang w:val="fr-FR"/>
              </w:rPr>
            </w:pPr>
            <w:r w:rsidRPr="00993161">
              <w:rPr>
                <w:sz w:val="18"/>
                <w:lang w:val="fr-FR"/>
              </w:rPr>
              <w:t>Décision BC-15/10</w:t>
            </w:r>
          </w:p>
        </w:tc>
        <w:tc>
          <w:tcPr>
            <w:tcW w:w="936" w:type="dxa"/>
          </w:tcPr>
          <w:p w14:paraId="365C3924" w14:textId="77777777" w:rsidR="0010303E" w:rsidRPr="00993161" w:rsidRDefault="0010303E" w:rsidP="00683217">
            <w:pPr>
              <w:pStyle w:val="Normal-pool"/>
              <w:spacing w:before="40" w:after="40"/>
              <w:rPr>
                <w:sz w:val="18"/>
                <w:szCs w:val="18"/>
                <w:lang w:val="fr-FR"/>
              </w:rPr>
            </w:pPr>
            <w:r w:rsidRPr="00993161">
              <w:rPr>
                <w:sz w:val="18"/>
                <w:lang w:val="fr-FR"/>
              </w:rPr>
              <w:t>Élevé</w:t>
            </w:r>
          </w:p>
        </w:tc>
      </w:tr>
      <w:tr w:rsidR="0010303E" w:rsidRPr="00993161" w14:paraId="67CF6723" w14:textId="77777777" w:rsidTr="00683217">
        <w:trPr>
          <w:trHeight w:val="963"/>
          <w:jc w:val="right"/>
        </w:trPr>
        <w:tc>
          <w:tcPr>
            <w:tcW w:w="2255" w:type="dxa"/>
            <w:vMerge/>
          </w:tcPr>
          <w:p w14:paraId="7299237F" w14:textId="77777777" w:rsidR="0010303E" w:rsidRPr="00993161" w:rsidRDefault="0010303E" w:rsidP="00683217">
            <w:pPr>
              <w:pStyle w:val="Normal-pool"/>
              <w:tabs>
                <w:tab w:val="left" w:pos="300"/>
              </w:tabs>
              <w:spacing w:before="40" w:after="40"/>
              <w:ind w:left="57" w:right="57"/>
              <w:rPr>
                <w:sz w:val="18"/>
                <w:szCs w:val="18"/>
                <w:lang w:val="fr-FR"/>
              </w:rPr>
            </w:pPr>
          </w:p>
        </w:tc>
        <w:tc>
          <w:tcPr>
            <w:tcW w:w="3274" w:type="dxa"/>
          </w:tcPr>
          <w:p w14:paraId="77F3AEC7" w14:textId="77777777" w:rsidR="0010303E" w:rsidRPr="00993161" w:rsidRDefault="0010303E" w:rsidP="00683217">
            <w:pPr>
              <w:pStyle w:val="Normal-pool"/>
              <w:numPr>
                <w:ilvl w:val="0"/>
                <w:numId w:val="11"/>
              </w:numPr>
              <w:tabs>
                <w:tab w:val="clear" w:pos="1247"/>
                <w:tab w:val="left" w:pos="211"/>
              </w:tabs>
              <w:spacing w:before="40" w:after="40"/>
              <w:ind w:left="202" w:right="58" w:hanging="216"/>
              <w:rPr>
                <w:sz w:val="18"/>
                <w:szCs w:val="18"/>
                <w:lang w:val="fr-FR"/>
              </w:rPr>
            </w:pPr>
            <w:r w:rsidRPr="00993161">
              <w:rPr>
                <w:sz w:val="18"/>
                <w:lang w:val="fr-FR"/>
              </w:rPr>
              <w:t xml:space="preserve">Examiner le projet de lignes directrices techniques actualisées pour la gestion écologiquement rationnelle des déchets de batteries au plomb et acide. </w:t>
            </w:r>
          </w:p>
        </w:tc>
        <w:tc>
          <w:tcPr>
            <w:tcW w:w="1842" w:type="dxa"/>
          </w:tcPr>
          <w:p w14:paraId="5A84FB02" w14:textId="77777777" w:rsidR="0010303E" w:rsidRPr="00993161" w:rsidRDefault="0010303E" w:rsidP="00683217">
            <w:pPr>
              <w:pStyle w:val="Normal-pool"/>
              <w:spacing w:before="40" w:after="40"/>
              <w:rPr>
                <w:sz w:val="18"/>
                <w:szCs w:val="18"/>
                <w:lang w:val="fr-FR"/>
              </w:rPr>
            </w:pPr>
            <w:r w:rsidRPr="00993161">
              <w:rPr>
                <w:sz w:val="18"/>
                <w:lang w:val="fr-FR"/>
              </w:rPr>
              <w:t>Décision BC-15/11</w:t>
            </w:r>
          </w:p>
        </w:tc>
        <w:tc>
          <w:tcPr>
            <w:tcW w:w="936" w:type="dxa"/>
          </w:tcPr>
          <w:p w14:paraId="3A9E592A" w14:textId="77777777" w:rsidR="0010303E" w:rsidRPr="00993161" w:rsidDel="00D46555" w:rsidRDefault="0010303E" w:rsidP="00683217">
            <w:pPr>
              <w:pStyle w:val="Normal-pool"/>
              <w:spacing w:before="40" w:after="40"/>
              <w:rPr>
                <w:sz w:val="18"/>
                <w:szCs w:val="18"/>
                <w:lang w:val="fr-FR"/>
              </w:rPr>
            </w:pPr>
            <w:r w:rsidRPr="00993161">
              <w:rPr>
                <w:sz w:val="18"/>
                <w:lang w:val="fr-FR"/>
              </w:rPr>
              <w:t>Élevé</w:t>
            </w:r>
          </w:p>
        </w:tc>
      </w:tr>
      <w:tr w:rsidR="0010303E" w:rsidRPr="00993161" w14:paraId="1F083AD3" w14:textId="77777777" w:rsidTr="00683217">
        <w:trPr>
          <w:trHeight w:val="57"/>
          <w:jc w:val="right"/>
        </w:trPr>
        <w:tc>
          <w:tcPr>
            <w:tcW w:w="2255" w:type="dxa"/>
            <w:vMerge/>
          </w:tcPr>
          <w:p w14:paraId="1AB4A37A" w14:textId="77777777" w:rsidR="0010303E" w:rsidRPr="00993161" w:rsidRDefault="0010303E" w:rsidP="00683217">
            <w:pPr>
              <w:pStyle w:val="Normal-pool"/>
              <w:tabs>
                <w:tab w:val="left" w:pos="300"/>
              </w:tabs>
              <w:spacing w:before="40" w:after="40"/>
              <w:ind w:left="57" w:right="57"/>
              <w:rPr>
                <w:sz w:val="18"/>
                <w:szCs w:val="18"/>
                <w:lang w:val="fr-FR"/>
              </w:rPr>
            </w:pPr>
          </w:p>
        </w:tc>
        <w:tc>
          <w:tcPr>
            <w:tcW w:w="3274" w:type="dxa"/>
          </w:tcPr>
          <w:p w14:paraId="1EF0392B" w14:textId="77777777" w:rsidR="0010303E" w:rsidRPr="00993161" w:rsidRDefault="0010303E" w:rsidP="00683217">
            <w:pPr>
              <w:pStyle w:val="Normal-pool"/>
              <w:numPr>
                <w:ilvl w:val="0"/>
                <w:numId w:val="11"/>
              </w:numPr>
              <w:tabs>
                <w:tab w:val="clear" w:pos="1247"/>
                <w:tab w:val="left" w:pos="211"/>
              </w:tabs>
              <w:spacing w:before="40" w:after="40"/>
              <w:ind w:left="204" w:right="57" w:hanging="215"/>
              <w:rPr>
                <w:sz w:val="18"/>
                <w:szCs w:val="18"/>
                <w:lang w:val="fr-FR"/>
              </w:rPr>
            </w:pPr>
            <w:r w:rsidRPr="00993161">
              <w:rPr>
                <w:sz w:val="18"/>
                <w:lang w:val="fr-FR"/>
              </w:rPr>
              <w:t xml:space="preserve">Examiner le projet de directives techniques actualisées pour la gestion </w:t>
            </w:r>
            <w:r w:rsidRPr="00993161">
              <w:rPr>
                <w:sz w:val="18"/>
                <w:lang w:val="fr-FR"/>
              </w:rPr>
              <w:lastRenderedPageBreak/>
              <w:t>écologiquement rationnelle des pneus usés et des déchets de pneus.</w:t>
            </w:r>
          </w:p>
        </w:tc>
        <w:tc>
          <w:tcPr>
            <w:tcW w:w="1842" w:type="dxa"/>
          </w:tcPr>
          <w:p w14:paraId="00CDE2CB" w14:textId="77777777" w:rsidR="0010303E" w:rsidRPr="00993161" w:rsidRDefault="0010303E" w:rsidP="00683217">
            <w:pPr>
              <w:pStyle w:val="Normal-pool"/>
              <w:spacing w:before="40" w:after="40"/>
              <w:rPr>
                <w:sz w:val="18"/>
                <w:szCs w:val="18"/>
                <w:lang w:val="fr-FR"/>
              </w:rPr>
            </w:pPr>
            <w:r w:rsidRPr="00993161">
              <w:rPr>
                <w:sz w:val="18"/>
                <w:lang w:val="fr-FR"/>
              </w:rPr>
              <w:lastRenderedPageBreak/>
              <w:t>Décision BC-15/15</w:t>
            </w:r>
          </w:p>
        </w:tc>
        <w:tc>
          <w:tcPr>
            <w:tcW w:w="936" w:type="dxa"/>
          </w:tcPr>
          <w:p w14:paraId="758233C0" w14:textId="77777777" w:rsidR="0010303E" w:rsidRPr="00993161" w:rsidRDefault="0010303E" w:rsidP="00683217">
            <w:pPr>
              <w:pStyle w:val="Normal-pool"/>
              <w:spacing w:before="40" w:after="40"/>
              <w:rPr>
                <w:sz w:val="18"/>
                <w:szCs w:val="18"/>
                <w:lang w:val="fr-FR"/>
              </w:rPr>
            </w:pPr>
            <w:r w:rsidRPr="00993161">
              <w:rPr>
                <w:sz w:val="18"/>
                <w:lang w:val="fr-FR"/>
              </w:rPr>
              <w:t>Moyen</w:t>
            </w:r>
          </w:p>
        </w:tc>
      </w:tr>
      <w:tr w:rsidR="0010303E" w:rsidRPr="00993161" w14:paraId="051D89BC" w14:textId="77777777" w:rsidTr="00683217">
        <w:trPr>
          <w:trHeight w:val="57"/>
          <w:jc w:val="right"/>
        </w:trPr>
        <w:tc>
          <w:tcPr>
            <w:tcW w:w="2255" w:type="dxa"/>
            <w:vMerge/>
            <w:tcBorders>
              <w:bottom w:val="single" w:sz="4" w:space="0" w:color="auto"/>
            </w:tcBorders>
          </w:tcPr>
          <w:p w14:paraId="19C5693A" w14:textId="77777777" w:rsidR="0010303E" w:rsidRPr="00993161" w:rsidRDefault="0010303E" w:rsidP="00683217">
            <w:pPr>
              <w:pStyle w:val="Normal-pool"/>
              <w:tabs>
                <w:tab w:val="left" w:pos="300"/>
              </w:tabs>
              <w:spacing w:before="40" w:after="40"/>
              <w:ind w:left="57" w:right="57"/>
              <w:rPr>
                <w:sz w:val="18"/>
                <w:szCs w:val="18"/>
                <w:lang w:val="fr-FR"/>
              </w:rPr>
            </w:pPr>
          </w:p>
        </w:tc>
        <w:tc>
          <w:tcPr>
            <w:tcW w:w="3274" w:type="dxa"/>
            <w:tcBorders>
              <w:bottom w:val="single" w:sz="4" w:space="0" w:color="auto"/>
            </w:tcBorders>
          </w:tcPr>
          <w:p w14:paraId="45628EDE" w14:textId="77777777" w:rsidR="0010303E" w:rsidRPr="00993161" w:rsidRDefault="0010303E" w:rsidP="00683217">
            <w:pPr>
              <w:pStyle w:val="Normal-pool"/>
              <w:numPr>
                <w:ilvl w:val="0"/>
                <w:numId w:val="11"/>
              </w:numPr>
              <w:tabs>
                <w:tab w:val="clear" w:pos="1247"/>
                <w:tab w:val="left" w:pos="211"/>
              </w:tabs>
              <w:spacing w:before="40" w:after="40"/>
              <w:ind w:left="202" w:right="58" w:hanging="216"/>
              <w:rPr>
                <w:sz w:val="18"/>
                <w:szCs w:val="18"/>
                <w:lang w:val="fr-FR"/>
              </w:rPr>
            </w:pPr>
            <w:r w:rsidRPr="00993161">
              <w:rPr>
                <w:sz w:val="18"/>
                <w:lang w:val="fr-FR"/>
              </w:rPr>
              <w:t>Examiner l’utilité d’élaborer des directives techniques pour la gestion écologiquement rationnelle des déchets de caoutchouc (rubrique B3040) et des déchets, rognures et débris de caoutchouc (rubrique B3080).</w:t>
            </w:r>
          </w:p>
        </w:tc>
        <w:tc>
          <w:tcPr>
            <w:tcW w:w="1842" w:type="dxa"/>
            <w:tcBorders>
              <w:bottom w:val="single" w:sz="4" w:space="0" w:color="auto"/>
            </w:tcBorders>
          </w:tcPr>
          <w:p w14:paraId="710FA859" w14:textId="77777777" w:rsidR="0010303E" w:rsidRPr="00993161" w:rsidRDefault="0010303E" w:rsidP="00683217">
            <w:pPr>
              <w:pStyle w:val="Normal-pool"/>
              <w:spacing w:before="40" w:after="40"/>
              <w:rPr>
                <w:sz w:val="18"/>
                <w:szCs w:val="18"/>
                <w:lang w:val="fr-FR"/>
              </w:rPr>
            </w:pPr>
            <w:r w:rsidRPr="00993161">
              <w:rPr>
                <w:sz w:val="18"/>
                <w:lang w:val="fr-FR"/>
              </w:rPr>
              <w:t>Décision BC-15/15</w:t>
            </w:r>
          </w:p>
        </w:tc>
        <w:tc>
          <w:tcPr>
            <w:tcW w:w="936" w:type="dxa"/>
            <w:tcBorders>
              <w:bottom w:val="single" w:sz="4" w:space="0" w:color="auto"/>
            </w:tcBorders>
          </w:tcPr>
          <w:p w14:paraId="00BA4609" w14:textId="77777777" w:rsidR="0010303E" w:rsidRPr="00993161" w:rsidRDefault="0010303E" w:rsidP="00683217">
            <w:pPr>
              <w:pStyle w:val="Normal-pool"/>
              <w:spacing w:before="40" w:after="40"/>
              <w:rPr>
                <w:sz w:val="18"/>
                <w:szCs w:val="18"/>
                <w:lang w:val="fr-FR"/>
              </w:rPr>
            </w:pPr>
            <w:r w:rsidRPr="00993161">
              <w:rPr>
                <w:sz w:val="18"/>
                <w:lang w:val="fr-FR"/>
              </w:rPr>
              <w:t>Moyen</w:t>
            </w:r>
          </w:p>
        </w:tc>
      </w:tr>
      <w:tr w:rsidR="0010303E" w:rsidRPr="00993161" w14:paraId="31047452" w14:textId="77777777" w:rsidTr="00683217">
        <w:trPr>
          <w:trHeight w:val="57"/>
          <w:jc w:val="right"/>
        </w:trPr>
        <w:tc>
          <w:tcPr>
            <w:tcW w:w="2255" w:type="dxa"/>
            <w:tcBorders>
              <w:top w:val="single" w:sz="4" w:space="0" w:color="auto"/>
              <w:bottom w:val="single" w:sz="4" w:space="0" w:color="auto"/>
            </w:tcBorders>
            <w:hideMark/>
          </w:tcPr>
          <w:p w14:paraId="5939A931" w14:textId="77777777" w:rsidR="0010303E" w:rsidRPr="00993161" w:rsidRDefault="0010303E" w:rsidP="00683217">
            <w:pPr>
              <w:pStyle w:val="Normal-pool"/>
              <w:keepNext/>
              <w:keepLines/>
              <w:numPr>
                <w:ilvl w:val="0"/>
                <w:numId w:val="12"/>
              </w:numPr>
              <w:tabs>
                <w:tab w:val="clear" w:pos="1247"/>
                <w:tab w:val="left" w:pos="300"/>
              </w:tabs>
              <w:spacing w:before="40" w:after="40"/>
              <w:ind w:left="318" w:right="57" w:hanging="284"/>
              <w:rPr>
                <w:sz w:val="18"/>
                <w:szCs w:val="18"/>
                <w:lang w:val="fr-FR"/>
              </w:rPr>
            </w:pPr>
            <w:r w:rsidRPr="00993161">
              <w:rPr>
                <w:sz w:val="18"/>
                <w:lang w:val="fr-FR"/>
              </w:rPr>
              <w:t>Méthodes électroniques de transmission des notifications et des documents de mouvement</w:t>
            </w:r>
          </w:p>
        </w:tc>
        <w:tc>
          <w:tcPr>
            <w:tcW w:w="3274" w:type="dxa"/>
            <w:tcBorders>
              <w:top w:val="single" w:sz="4" w:space="0" w:color="auto"/>
              <w:bottom w:val="single" w:sz="4" w:space="0" w:color="auto"/>
            </w:tcBorders>
            <w:hideMark/>
          </w:tcPr>
          <w:p w14:paraId="141CB579" w14:textId="77777777" w:rsidR="0010303E" w:rsidRPr="00993161" w:rsidRDefault="0010303E" w:rsidP="00683217">
            <w:pPr>
              <w:pStyle w:val="Normal-pool"/>
              <w:keepNext/>
              <w:keepLines/>
              <w:spacing w:before="40" w:after="40"/>
              <w:ind w:left="57" w:right="57"/>
              <w:rPr>
                <w:sz w:val="18"/>
                <w:szCs w:val="18"/>
                <w:lang w:val="fr-FR"/>
              </w:rPr>
            </w:pPr>
            <w:r w:rsidRPr="00993161">
              <w:rPr>
                <w:sz w:val="18"/>
                <w:lang w:val="fr-FR"/>
              </w:rPr>
              <w:t>Examiner le rapport contenant les recommandations sur la voie à suivre concernant les travaux sur les méthodes électroniques de transmission des notifications et des documents relatifs aux mouvements.</w:t>
            </w:r>
          </w:p>
        </w:tc>
        <w:tc>
          <w:tcPr>
            <w:tcW w:w="1842" w:type="dxa"/>
            <w:tcBorders>
              <w:top w:val="single" w:sz="4" w:space="0" w:color="auto"/>
              <w:bottom w:val="single" w:sz="4" w:space="0" w:color="auto"/>
            </w:tcBorders>
            <w:hideMark/>
          </w:tcPr>
          <w:p w14:paraId="2C6A9011" w14:textId="77777777" w:rsidR="0010303E" w:rsidRPr="00993161" w:rsidRDefault="0010303E" w:rsidP="00683217">
            <w:pPr>
              <w:pStyle w:val="Normal-pool"/>
              <w:keepNext/>
              <w:keepLines/>
              <w:spacing w:before="40" w:after="40"/>
              <w:rPr>
                <w:sz w:val="18"/>
                <w:szCs w:val="18"/>
                <w:lang w:val="fr-FR"/>
              </w:rPr>
            </w:pPr>
            <w:r w:rsidRPr="00993161">
              <w:rPr>
                <w:sz w:val="18"/>
                <w:lang w:val="fr-FR"/>
              </w:rPr>
              <w:t>Décision BC-15/14</w:t>
            </w:r>
          </w:p>
        </w:tc>
        <w:tc>
          <w:tcPr>
            <w:tcW w:w="936" w:type="dxa"/>
            <w:tcBorders>
              <w:top w:val="single" w:sz="4" w:space="0" w:color="auto"/>
              <w:bottom w:val="single" w:sz="4" w:space="0" w:color="auto"/>
            </w:tcBorders>
            <w:hideMark/>
          </w:tcPr>
          <w:p w14:paraId="0F259CFE" w14:textId="77777777" w:rsidR="0010303E" w:rsidRPr="00993161" w:rsidRDefault="0010303E" w:rsidP="00683217">
            <w:pPr>
              <w:pStyle w:val="Normal-pool"/>
              <w:keepNext/>
              <w:keepLines/>
              <w:spacing w:before="40" w:after="40"/>
              <w:rPr>
                <w:sz w:val="18"/>
                <w:szCs w:val="18"/>
                <w:lang w:val="fr-FR"/>
              </w:rPr>
            </w:pPr>
            <w:r w:rsidRPr="00993161">
              <w:rPr>
                <w:sz w:val="18"/>
                <w:lang w:val="fr-FR"/>
              </w:rPr>
              <w:t>Moyen</w:t>
            </w:r>
          </w:p>
        </w:tc>
      </w:tr>
      <w:tr w:rsidR="0010303E" w:rsidRPr="00993161" w14:paraId="75693AEA" w14:textId="77777777" w:rsidTr="00683217">
        <w:trPr>
          <w:trHeight w:val="57"/>
          <w:jc w:val="right"/>
        </w:trPr>
        <w:tc>
          <w:tcPr>
            <w:tcW w:w="2255" w:type="dxa"/>
            <w:tcBorders>
              <w:top w:val="single" w:sz="4" w:space="0" w:color="auto"/>
              <w:bottom w:val="single" w:sz="4" w:space="0" w:color="auto"/>
            </w:tcBorders>
            <w:hideMark/>
          </w:tcPr>
          <w:p w14:paraId="12EF4289" w14:textId="77777777" w:rsidR="0010303E" w:rsidRPr="00993161" w:rsidRDefault="0010303E" w:rsidP="00683217">
            <w:pPr>
              <w:pStyle w:val="Normal-pool"/>
              <w:keepNext/>
              <w:keepLines/>
              <w:numPr>
                <w:ilvl w:val="0"/>
                <w:numId w:val="12"/>
              </w:numPr>
              <w:tabs>
                <w:tab w:val="clear" w:pos="1247"/>
                <w:tab w:val="left" w:pos="300"/>
              </w:tabs>
              <w:spacing w:before="40" w:after="40"/>
              <w:ind w:left="318" w:right="57" w:hanging="284"/>
              <w:rPr>
                <w:sz w:val="18"/>
                <w:szCs w:val="18"/>
                <w:lang w:val="fr-FR"/>
              </w:rPr>
            </w:pPr>
            <w:r w:rsidRPr="00993161">
              <w:rPr>
                <w:sz w:val="18"/>
                <w:lang w:val="fr-FR"/>
              </w:rPr>
              <w:t>Poursuite de l’examen de la question des déchets plastiques</w:t>
            </w:r>
          </w:p>
        </w:tc>
        <w:tc>
          <w:tcPr>
            <w:tcW w:w="3274" w:type="dxa"/>
            <w:tcBorders>
              <w:top w:val="single" w:sz="4" w:space="0" w:color="auto"/>
              <w:bottom w:val="single" w:sz="4" w:space="0" w:color="auto"/>
            </w:tcBorders>
            <w:hideMark/>
          </w:tcPr>
          <w:p w14:paraId="7FD845F3" w14:textId="77777777" w:rsidR="0010303E" w:rsidRPr="00993161" w:rsidRDefault="0010303E" w:rsidP="00683217">
            <w:pPr>
              <w:pStyle w:val="Normal-pool"/>
              <w:keepNext/>
              <w:keepLines/>
              <w:spacing w:before="40" w:after="40"/>
              <w:ind w:left="57" w:right="57"/>
              <w:rPr>
                <w:rFonts w:eastAsia="Batang"/>
                <w:color w:val="000000"/>
                <w:sz w:val="18"/>
                <w:szCs w:val="18"/>
                <w:lang w:val="fr-FR"/>
              </w:rPr>
            </w:pPr>
            <w:r w:rsidRPr="00993161">
              <w:rPr>
                <w:color w:val="000000"/>
                <w:sz w:val="18"/>
                <w:lang w:val="fr-FR"/>
              </w:rPr>
              <w:t>Réfléchir aux éventuelles activités supplémentaires qui pourraient être menées dans le cadre de la Convention de Bâle pour tenir compte de l’évolution des connaissances scientifiques et des informations environnementales relatives aux déchets plastiques comme source de pollution terrestre et de pollution du milieu marin par des détritus plastiques et des microplastiques ainsi que des effets de ces déchets sur la santé.</w:t>
            </w:r>
          </w:p>
        </w:tc>
        <w:tc>
          <w:tcPr>
            <w:tcW w:w="1842" w:type="dxa"/>
            <w:tcBorders>
              <w:top w:val="single" w:sz="4" w:space="0" w:color="auto"/>
              <w:bottom w:val="single" w:sz="4" w:space="0" w:color="auto"/>
            </w:tcBorders>
            <w:hideMark/>
          </w:tcPr>
          <w:p w14:paraId="270086B9" w14:textId="77777777" w:rsidR="0010303E" w:rsidRPr="00993161" w:rsidRDefault="0010303E" w:rsidP="00683217">
            <w:pPr>
              <w:pStyle w:val="Normal-pool"/>
              <w:keepNext/>
              <w:keepLines/>
              <w:spacing w:before="40" w:after="40"/>
              <w:rPr>
                <w:sz w:val="18"/>
                <w:szCs w:val="18"/>
                <w:lang w:val="fr-FR"/>
              </w:rPr>
            </w:pPr>
            <w:r w:rsidRPr="00993161">
              <w:rPr>
                <w:sz w:val="18"/>
                <w:lang w:val="fr-FR"/>
              </w:rPr>
              <w:t>Décision BC-15/15</w:t>
            </w:r>
          </w:p>
        </w:tc>
        <w:tc>
          <w:tcPr>
            <w:tcW w:w="936" w:type="dxa"/>
            <w:tcBorders>
              <w:top w:val="single" w:sz="4" w:space="0" w:color="auto"/>
              <w:bottom w:val="single" w:sz="4" w:space="0" w:color="auto"/>
            </w:tcBorders>
            <w:hideMark/>
          </w:tcPr>
          <w:p w14:paraId="5A3D1C08" w14:textId="77777777" w:rsidR="0010303E" w:rsidRPr="00993161" w:rsidRDefault="0010303E" w:rsidP="00683217">
            <w:pPr>
              <w:pStyle w:val="Normal-pool"/>
              <w:keepNext/>
              <w:keepLines/>
              <w:spacing w:before="40" w:after="40"/>
              <w:rPr>
                <w:sz w:val="18"/>
                <w:szCs w:val="18"/>
                <w:lang w:val="fr-FR"/>
              </w:rPr>
            </w:pPr>
            <w:r w:rsidRPr="00993161">
              <w:rPr>
                <w:sz w:val="18"/>
                <w:lang w:val="fr-FR"/>
              </w:rPr>
              <w:t>Moyen</w:t>
            </w:r>
          </w:p>
        </w:tc>
      </w:tr>
      <w:tr w:rsidR="0010303E" w:rsidRPr="00993161" w14:paraId="1D25A665" w14:textId="77777777" w:rsidTr="00683217">
        <w:trPr>
          <w:trHeight w:val="57"/>
          <w:jc w:val="right"/>
        </w:trPr>
        <w:tc>
          <w:tcPr>
            <w:tcW w:w="2255" w:type="dxa"/>
            <w:tcBorders>
              <w:top w:val="single" w:sz="4" w:space="0" w:color="auto"/>
              <w:bottom w:val="single" w:sz="4" w:space="0" w:color="auto"/>
            </w:tcBorders>
            <w:hideMark/>
          </w:tcPr>
          <w:p w14:paraId="6106254E" w14:textId="77777777" w:rsidR="0010303E" w:rsidRPr="00993161" w:rsidRDefault="0010303E" w:rsidP="00683217">
            <w:pPr>
              <w:pStyle w:val="Normal-pool"/>
              <w:keepNext/>
              <w:keepLines/>
              <w:numPr>
                <w:ilvl w:val="0"/>
                <w:numId w:val="12"/>
              </w:numPr>
              <w:tabs>
                <w:tab w:val="clear" w:pos="1247"/>
                <w:tab w:val="left" w:pos="300"/>
              </w:tabs>
              <w:spacing w:before="40" w:after="40"/>
              <w:ind w:left="318" w:right="57" w:hanging="284"/>
              <w:rPr>
                <w:sz w:val="18"/>
                <w:szCs w:val="18"/>
                <w:lang w:val="fr-FR"/>
              </w:rPr>
            </w:pPr>
            <w:r w:rsidRPr="00993161">
              <w:rPr>
                <w:sz w:val="18"/>
                <w:lang w:val="fr-FR"/>
              </w:rPr>
              <w:t>Déchets contenant des nanomatériaux</w:t>
            </w:r>
          </w:p>
        </w:tc>
        <w:tc>
          <w:tcPr>
            <w:tcW w:w="3274" w:type="dxa"/>
            <w:tcBorders>
              <w:top w:val="single" w:sz="4" w:space="0" w:color="auto"/>
              <w:bottom w:val="single" w:sz="4" w:space="0" w:color="auto"/>
            </w:tcBorders>
            <w:hideMark/>
          </w:tcPr>
          <w:p w14:paraId="43D21CBE" w14:textId="77777777" w:rsidR="0010303E" w:rsidRPr="00993161" w:rsidRDefault="0010303E" w:rsidP="00683217">
            <w:pPr>
              <w:pStyle w:val="Normal-pool"/>
              <w:keepNext/>
              <w:keepLines/>
              <w:spacing w:before="40" w:after="40"/>
              <w:ind w:left="57" w:right="57"/>
              <w:rPr>
                <w:sz w:val="18"/>
                <w:szCs w:val="18"/>
                <w:lang w:val="fr-FR"/>
              </w:rPr>
            </w:pPr>
            <w:r w:rsidRPr="00993161">
              <w:rPr>
                <w:sz w:val="18"/>
                <w:lang w:val="fr-FR"/>
              </w:rPr>
              <w:t>Examiner les informations relatives aux activités visant à résoudre les problèmes posés par les déchets contenant des nanomatériaux.</w:t>
            </w:r>
          </w:p>
        </w:tc>
        <w:tc>
          <w:tcPr>
            <w:tcW w:w="1842" w:type="dxa"/>
            <w:tcBorders>
              <w:top w:val="single" w:sz="4" w:space="0" w:color="auto"/>
              <w:bottom w:val="single" w:sz="4" w:space="0" w:color="auto"/>
            </w:tcBorders>
            <w:hideMark/>
          </w:tcPr>
          <w:p w14:paraId="6EA58514" w14:textId="77777777" w:rsidR="0010303E" w:rsidRPr="00993161" w:rsidRDefault="0010303E" w:rsidP="00683217">
            <w:pPr>
              <w:pStyle w:val="Normal-pool"/>
              <w:keepNext/>
              <w:keepLines/>
              <w:spacing w:before="40" w:after="40"/>
              <w:rPr>
                <w:sz w:val="18"/>
                <w:szCs w:val="18"/>
                <w:lang w:val="fr-FR"/>
              </w:rPr>
            </w:pPr>
            <w:r w:rsidRPr="00993161">
              <w:rPr>
                <w:sz w:val="18"/>
                <w:lang w:val="fr-FR"/>
              </w:rPr>
              <w:t>Décision BC-15/16</w:t>
            </w:r>
          </w:p>
        </w:tc>
        <w:tc>
          <w:tcPr>
            <w:tcW w:w="936" w:type="dxa"/>
            <w:tcBorders>
              <w:top w:val="single" w:sz="4" w:space="0" w:color="auto"/>
              <w:bottom w:val="single" w:sz="4" w:space="0" w:color="auto"/>
            </w:tcBorders>
            <w:hideMark/>
          </w:tcPr>
          <w:p w14:paraId="5EEF4B39" w14:textId="77777777" w:rsidR="0010303E" w:rsidRPr="00993161" w:rsidRDefault="0010303E" w:rsidP="00683217">
            <w:pPr>
              <w:pStyle w:val="Normal-pool"/>
              <w:keepNext/>
              <w:keepLines/>
              <w:spacing w:before="40" w:after="40"/>
              <w:rPr>
                <w:rFonts w:eastAsia="Batang"/>
                <w:sz w:val="18"/>
                <w:szCs w:val="18"/>
                <w:lang w:val="fr-FR"/>
              </w:rPr>
            </w:pPr>
            <w:r w:rsidRPr="00993161">
              <w:rPr>
                <w:sz w:val="18"/>
                <w:lang w:val="fr-FR"/>
              </w:rPr>
              <w:t>Moyen</w:t>
            </w:r>
          </w:p>
        </w:tc>
      </w:tr>
      <w:tr w:rsidR="0010303E" w:rsidRPr="00993161" w14:paraId="71A51C0E" w14:textId="77777777" w:rsidTr="00683217">
        <w:trPr>
          <w:trHeight w:val="57"/>
          <w:jc w:val="right"/>
        </w:trPr>
        <w:tc>
          <w:tcPr>
            <w:tcW w:w="2255" w:type="dxa"/>
            <w:tcBorders>
              <w:top w:val="single" w:sz="4" w:space="0" w:color="auto"/>
              <w:bottom w:val="single" w:sz="4" w:space="0" w:color="auto"/>
            </w:tcBorders>
          </w:tcPr>
          <w:p w14:paraId="486D3E9E" w14:textId="77777777" w:rsidR="0010303E" w:rsidRPr="00993161" w:rsidRDefault="0010303E" w:rsidP="00683217">
            <w:pPr>
              <w:pStyle w:val="Normal-pool"/>
              <w:numPr>
                <w:ilvl w:val="0"/>
                <w:numId w:val="12"/>
              </w:numPr>
              <w:tabs>
                <w:tab w:val="clear" w:pos="1247"/>
                <w:tab w:val="left" w:pos="300"/>
              </w:tabs>
              <w:spacing w:before="40" w:after="40"/>
              <w:ind w:left="318" w:right="57" w:hanging="284"/>
              <w:rPr>
                <w:sz w:val="18"/>
                <w:szCs w:val="18"/>
                <w:lang w:val="fr-FR"/>
              </w:rPr>
            </w:pPr>
            <w:r w:rsidRPr="00993161">
              <w:rPr>
                <w:sz w:val="18"/>
                <w:lang w:val="fr-FR"/>
              </w:rPr>
              <w:t>Amendements aux Annexes II, VIII et IX sur les déchets d’équipements électriques et électroniques</w:t>
            </w:r>
          </w:p>
        </w:tc>
        <w:tc>
          <w:tcPr>
            <w:tcW w:w="3274" w:type="dxa"/>
            <w:tcBorders>
              <w:top w:val="single" w:sz="4" w:space="0" w:color="auto"/>
              <w:bottom w:val="single" w:sz="4" w:space="0" w:color="auto"/>
            </w:tcBorders>
          </w:tcPr>
          <w:p w14:paraId="220809A5" w14:textId="77777777" w:rsidR="0010303E" w:rsidRPr="00993161" w:rsidRDefault="0010303E" w:rsidP="00683217">
            <w:pPr>
              <w:pStyle w:val="Normal-pool"/>
              <w:spacing w:before="40" w:after="40"/>
              <w:ind w:left="57" w:right="57"/>
              <w:rPr>
                <w:sz w:val="18"/>
                <w:szCs w:val="18"/>
                <w:lang w:val="fr-FR"/>
              </w:rPr>
            </w:pPr>
            <w:r w:rsidRPr="00993161">
              <w:rPr>
                <w:sz w:val="18"/>
                <w:lang w:val="fr-FR"/>
              </w:rPr>
              <w:t>Examiner l’utilité de mettre à jour les orientations, directives techniques et fiches d’information existantes afin de refléter les modifications découlant de l’adoption des amendements relatifs aux déchets d’équipements électriques et électroniques.</w:t>
            </w:r>
          </w:p>
        </w:tc>
        <w:tc>
          <w:tcPr>
            <w:tcW w:w="1842" w:type="dxa"/>
            <w:tcBorders>
              <w:top w:val="single" w:sz="4" w:space="0" w:color="auto"/>
              <w:bottom w:val="single" w:sz="4" w:space="0" w:color="auto"/>
            </w:tcBorders>
          </w:tcPr>
          <w:p w14:paraId="2966B50B" w14:textId="77777777" w:rsidR="0010303E" w:rsidRPr="00993161" w:rsidRDefault="0010303E" w:rsidP="00683217">
            <w:pPr>
              <w:pStyle w:val="Normal-pool"/>
              <w:spacing w:before="40" w:after="40"/>
              <w:jc w:val="center"/>
              <w:rPr>
                <w:sz w:val="18"/>
                <w:szCs w:val="18"/>
                <w:lang w:val="fr-FR"/>
              </w:rPr>
            </w:pPr>
            <w:r w:rsidRPr="00993161">
              <w:rPr>
                <w:sz w:val="18"/>
                <w:lang w:val="fr-FR"/>
              </w:rPr>
              <w:t>Décision BC-15/18</w:t>
            </w:r>
          </w:p>
        </w:tc>
        <w:tc>
          <w:tcPr>
            <w:tcW w:w="936" w:type="dxa"/>
            <w:tcBorders>
              <w:top w:val="single" w:sz="4" w:space="0" w:color="auto"/>
              <w:bottom w:val="single" w:sz="4" w:space="0" w:color="auto"/>
            </w:tcBorders>
          </w:tcPr>
          <w:p w14:paraId="643C2004" w14:textId="77777777" w:rsidR="0010303E" w:rsidRPr="00993161" w:rsidRDefault="0010303E" w:rsidP="00683217">
            <w:pPr>
              <w:pStyle w:val="Normal-pool"/>
              <w:spacing w:before="40" w:after="40"/>
              <w:rPr>
                <w:sz w:val="18"/>
                <w:szCs w:val="18"/>
                <w:lang w:val="fr-FR"/>
              </w:rPr>
            </w:pPr>
            <w:r w:rsidRPr="00993161">
              <w:rPr>
                <w:sz w:val="18"/>
                <w:lang w:val="fr-FR"/>
              </w:rPr>
              <w:t>Élevé</w:t>
            </w:r>
          </w:p>
        </w:tc>
      </w:tr>
      <w:tr w:rsidR="0010303E" w:rsidRPr="00993161" w14:paraId="0F5CC9C6" w14:textId="77777777" w:rsidTr="00683217">
        <w:trPr>
          <w:trHeight w:val="57"/>
          <w:jc w:val="right"/>
        </w:trPr>
        <w:tc>
          <w:tcPr>
            <w:tcW w:w="2255" w:type="dxa"/>
            <w:tcBorders>
              <w:top w:val="single" w:sz="4" w:space="0" w:color="auto"/>
              <w:bottom w:val="single" w:sz="4" w:space="0" w:color="auto"/>
            </w:tcBorders>
          </w:tcPr>
          <w:p w14:paraId="663246C9" w14:textId="77777777" w:rsidR="0010303E" w:rsidRPr="00993161" w:rsidRDefault="0010303E" w:rsidP="00683217">
            <w:pPr>
              <w:pStyle w:val="Normal-pool"/>
              <w:numPr>
                <w:ilvl w:val="0"/>
                <w:numId w:val="12"/>
              </w:numPr>
              <w:tabs>
                <w:tab w:val="clear" w:pos="1247"/>
                <w:tab w:val="left" w:pos="300"/>
              </w:tabs>
              <w:spacing w:before="40" w:after="40"/>
              <w:ind w:left="318" w:right="57" w:hanging="284"/>
              <w:rPr>
                <w:sz w:val="18"/>
                <w:szCs w:val="18"/>
                <w:lang w:val="fr-FR"/>
              </w:rPr>
            </w:pPr>
            <w:r w:rsidRPr="00993161">
              <w:rPr>
                <w:sz w:val="18"/>
                <w:lang w:val="fr-FR"/>
              </w:rPr>
              <w:t>Amendements aux Annexes de la Convention de Bâle</w:t>
            </w:r>
          </w:p>
        </w:tc>
        <w:tc>
          <w:tcPr>
            <w:tcW w:w="3274" w:type="dxa"/>
            <w:tcBorders>
              <w:top w:val="single" w:sz="4" w:space="0" w:color="auto"/>
              <w:bottom w:val="single" w:sz="4" w:space="0" w:color="auto"/>
            </w:tcBorders>
          </w:tcPr>
          <w:p w14:paraId="31D2770B" w14:textId="77777777" w:rsidR="0010303E" w:rsidRPr="00993161" w:rsidRDefault="0010303E" w:rsidP="00683217">
            <w:pPr>
              <w:pStyle w:val="Normal-pool"/>
              <w:spacing w:before="40" w:after="40"/>
              <w:ind w:left="57" w:right="57"/>
              <w:rPr>
                <w:sz w:val="18"/>
                <w:szCs w:val="18"/>
                <w:lang w:val="fr-FR"/>
              </w:rPr>
            </w:pPr>
            <w:r w:rsidRPr="00993161">
              <w:rPr>
                <w:sz w:val="18"/>
                <w:lang w:val="fr-FR"/>
              </w:rPr>
              <w:t>Étudier et examiner toutes les demandes de modification et de correction des listes de déchets figurant dans les Annexes VIII et IX de la Convention de Bâle.</w:t>
            </w:r>
          </w:p>
        </w:tc>
        <w:tc>
          <w:tcPr>
            <w:tcW w:w="1842" w:type="dxa"/>
            <w:tcBorders>
              <w:top w:val="single" w:sz="4" w:space="0" w:color="auto"/>
              <w:bottom w:val="single" w:sz="4" w:space="0" w:color="auto"/>
            </w:tcBorders>
          </w:tcPr>
          <w:p w14:paraId="722DBBA8" w14:textId="77777777" w:rsidR="0010303E" w:rsidRPr="00993161" w:rsidRDefault="0010303E" w:rsidP="00683217">
            <w:pPr>
              <w:pStyle w:val="Normal-pool"/>
              <w:spacing w:before="40" w:after="40"/>
              <w:jc w:val="center"/>
              <w:rPr>
                <w:sz w:val="18"/>
                <w:szCs w:val="18"/>
                <w:lang w:val="fr-FR"/>
              </w:rPr>
            </w:pPr>
            <w:r w:rsidRPr="00993161">
              <w:rPr>
                <w:sz w:val="18"/>
                <w:lang w:val="fr-FR"/>
              </w:rPr>
              <w:t>Décision VIII/15</w:t>
            </w:r>
          </w:p>
        </w:tc>
        <w:tc>
          <w:tcPr>
            <w:tcW w:w="936" w:type="dxa"/>
            <w:tcBorders>
              <w:top w:val="single" w:sz="4" w:space="0" w:color="auto"/>
              <w:bottom w:val="single" w:sz="4" w:space="0" w:color="auto"/>
            </w:tcBorders>
          </w:tcPr>
          <w:p w14:paraId="5F8513FD" w14:textId="77777777" w:rsidR="0010303E" w:rsidRPr="00993161" w:rsidRDefault="0010303E" w:rsidP="00683217">
            <w:pPr>
              <w:pStyle w:val="Normal-pool"/>
              <w:spacing w:before="40" w:after="40"/>
              <w:rPr>
                <w:sz w:val="18"/>
                <w:szCs w:val="18"/>
                <w:lang w:val="fr-FR"/>
              </w:rPr>
            </w:pPr>
            <w:r w:rsidRPr="00993161">
              <w:rPr>
                <w:sz w:val="18"/>
                <w:lang w:val="fr-FR"/>
              </w:rPr>
              <w:t>Élevé</w:t>
            </w:r>
          </w:p>
        </w:tc>
      </w:tr>
      <w:tr w:rsidR="0010303E" w:rsidRPr="0010303E" w14:paraId="4AC59C5C" w14:textId="77777777" w:rsidTr="00683217">
        <w:trPr>
          <w:trHeight w:val="57"/>
          <w:jc w:val="right"/>
        </w:trPr>
        <w:tc>
          <w:tcPr>
            <w:tcW w:w="8307" w:type="dxa"/>
            <w:gridSpan w:val="4"/>
            <w:tcBorders>
              <w:top w:val="single" w:sz="4" w:space="0" w:color="auto"/>
            </w:tcBorders>
            <w:hideMark/>
          </w:tcPr>
          <w:p w14:paraId="75B563E1" w14:textId="77777777" w:rsidR="0010303E" w:rsidRPr="00993161" w:rsidRDefault="0010303E" w:rsidP="00683217">
            <w:pPr>
              <w:pStyle w:val="Normal-pool"/>
              <w:numPr>
                <w:ilvl w:val="0"/>
                <w:numId w:val="7"/>
              </w:numPr>
              <w:tabs>
                <w:tab w:val="clear" w:pos="1247"/>
              </w:tabs>
              <w:spacing w:before="40" w:after="40"/>
              <w:ind w:left="318" w:hanging="284"/>
              <w:rPr>
                <w:b/>
                <w:sz w:val="18"/>
                <w:szCs w:val="18"/>
                <w:lang w:val="fr-FR"/>
              </w:rPr>
            </w:pPr>
            <w:r w:rsidRPr="00993161">
              <w:rPr>
                <w:b/>
                <w:sz w:val="18"/>
                <w:lang w:val="fr-FR"/>
              </w:rPr>
              <w:t xml:space="preserve">Questions juridiques, de gouvernance et de respect des obligations  </w:t>
            </w:r>
          </w:p>
        </w:tc>
      </w:tr>
      <w:tr w:rsidR="0010303E" w:rsidRPr="00993161" w14:paraId="3F35ECB1" w14:textId="77777777" w:rsidTr="00683217">
        <w:trPr>
          <w:trHeight w:val="57"/>
          <w:jc w:val="right"/>
        </w:trPr>
        <w:tc>
          <w:tcPr>
            <w:tcW w:w="2255" w:type="dxa"/>
            <w:vMerge w:val="restart"/>
            <w:hideMark/>
          </w:tcPr>
          <w:p w14:paraId="1A0C455F" w14:textId="77777777" w:rsidR="0010303E" w:rsidRPr="00993161" w:rsidRDefault="0010303E" w:rsidP="00683217">
            <w:pPr>
              <w:pStyle w:val="Normal-pool"/>
              <w:numPr>
                <w:ilvl w:val="0"/>
                <w:numId w:val="13"/>
              </w:numPr>
              <w:tabs>
                <w:tab w:val="clear" w:pos="1247"/>
                <w:tab w:val="left" w:pos="300"/>
              </w:tabs>
              <w:spacing w:before="40" w:after="40"/>
              <w:ind w:left="318" w:right="57" w:hanging="284"/>
              <w:rPr>
                <w:sz w:val="18"/>
                <w:szCs w:val="18"/>
                <w:lang w:val="fr-FR"/>
              </w:rPr>
            </w:pPr>
            <w:r w:rsidRPr="00993161">
              <w:rPr>
                <w:sz w:val="18"/>
                <w:lang w:val="fr-FR"/>
              </w:rPr>
              <w:t xml:space="preserve">Amélioration de la clarté juridique </w:t>
            </w:r>
          </w:p>
        </w:tc>
        <w:tc>
          <w:tcPr>
            <w:tcW w:w="3274" w:type="dxa"/>
            <w:hideMark/>
          </w:tcPr>
          <w:p w14:paraId="63CE2015" w14:textId="77777777" w:rsidR="0010303E" w:rsidRPr="00993161" w:rsidRDefault="0010303E" w:rsidP="00683217">
            <w:pPr>
              <w:pStyle w:val="Normal-pool"/>
              <w:numPr>
                <w:ilvl w:val="0"/>
                <w:numId w:val="9"/>
              </w:numPr>
              <w:tabs>
                <w:tab w:val="clear" w:pos="1247"/>
                <w:tab w:val="left" w:pos="211"/>
              </w:tabs>
              <w:spacing w:before="40" w:after="40"/>
              <w:ind w:left="208" w:right="57" w:hanging="218"/>
              <w:rPr>
                <w:color w:val="000000"/>
                <w:sz w:val="18"/>
                <w:lang w:val="fr-FR"/>
              </w:rPr>
            </w:pPr>
            <w:r w:rsidRPr="00993161">
              <w:rPr>
                <w:sz w:val="18"/>
                <w:lang w:val="fr-FR"/>
              </w:rPr>
              <w:t xml:space="preserve">Examiner les propositions de l’Union européenne tendant à amender l’Annexe IV et certaines rubriques des Annexes II et IX de la Convention de Bâle, ainsi que les recommandations et conclusions du groupe de travail d’experts, en tenant compte des débats qui ont eu lieu à la quinzième réunion de la Conférence des Parties, et formuler des recommandations afin que cette </w:t>
            </w:r>
            <w:r w:rsidRPr="00993161">
              <w:rPr>
                <w:sz w:val="18"/>
                <w:lang w:val="fr-FR"/>
              </w:rPr>
              <w:lastRenderedPageBreak/>
              <w:t>dernière les examine à sa seizième réunion.</w:t>
            </w:r>
          </w:p>
        </w:tc>
        <w:tc>
          <w:tcPr>
            <w:tcW w:w="1842" w:type="dxa"/>
            <w:hideMark/>
          </w:tcPr>
          <w:p w14:paraId="75B1A5E9" w14:textId="77777777" w:rsidR="0010303E" w:rsidRPr="00993161" w:rsidRDefault="0010303E" w:rsidP="00683217">
            <w:pPr>
              <w:pStyle w:val="Normal-pool"/>
              <w:spacing w:before="40" w:after="40"/>
              <w:rPr>
                <w:sz w:val="18"/>
                <w:szCs w:val="18"/>
                <w:lang w:val="fr-FR"/>
              </w:rPr>
            </w:pPr>
            <w:r w:rsidRPr="00993161">
              <w:rPr>
                <w:sz w:val="18"/>
                <w:lang w:val="fr-FR"/>
              </w:rPr>
              <w:lastRenderedPageBreak/>
              <w:t>Décision BC-15/19</w:t>
            </w:r>
          </w:p>
        </w:tc>
        <w:tc>
          <w:tcPr>
            <w:tcW w:w="936" w:type="dxa"/>
            <w:hideMark/>
          </w:tcPr>
          <w:p w14:paraId="3B36C525" w14:textId="77777777" w:rsidR="0010303E" w:rsidRPr="00993161" w:rsidRDefault="0010303E" w:rsidP="00683217">
            <w:pPr>
              <w:pStyle w:val="Normal-pool"/>
              <w:spacing w:before="40" w:after="40"/>
              <w:rPr>
                <w:sz w:val="18"/>
                <w:szCs w:val="18"/>
                <w:lang w:val="fr-FR"/>
              </w:rPr>
            </w:pPr>
            <w:r w:rsidRPr="00993161">
              <w:rPr>
                <w:sz w:val="18"/>
                <w:lang w:val="fr-FR"/>
              </w:rPr>
              <w:t>Élevé</w:t>
            </w:r>
          </w:p>
        </w:tc>
      </w:tr>
      <w:tr w:rsidR="0010303E" w:rsidRPr="00993161" w14:paraId="7CFC61B5" w14:textId="77777777" w:rsidTr="00683217">
        <w:trPr>
          <w:trHeight w:val="57"/>
          <w:jc w:val="right"/>
        </w:trPr>
        <w:tc>
          <w:tcPr>
            <w:tcW w:w="2255" w:type="dxa"/>
            <w:vMerge/>
            <w:tcBorders>
              <w:bottom w:val="single" w:sz="4" w:space="0" w:color="auto"/>
            </w:tcBorders>
          </w:tcPr>
          <w:p w14:paraId="12C60A63" w14:textId="77777777" w:rsidR="0010303E" w:rsidRPr="00993161" w:rsidRDefault="0010303E" w:rsidP="00683217">
            <w:pPr>
              <w:pStyle w:val="Normal-pool"/>
              <w:tabs>
                <w:tab w:val="clear" w:pos="1247"/>
                <w:tab w:val="left" w:pos="300"/>
              </w:tabs>
              <w:spacing w:before="40" w:after="40"/>
              <w:ind w:right="57"/>
              <w:rPr>
                <w:sz w:val="18"/>
                <w:szCs w:val="18"/>
                <w:lang w:val="fr-FR"/>
              </w:rPr>
            </w:pPr>
          </w:p>
        </w:tc>
        <w:tc>
          <w:tcPr>
            <w:tcW w:w="3274" w:type="dxa"/>
            <w:tcBorders>
              <w:bottom w:val="single" w:sz="4" w:space="0" w:color="auto"/>
            </w:tcBorders>
          </w:tcPr>
          <w:p w14:paraId="52892166" w14:textId="77777777" w:rsidR="0010303E" w:rsidRPr="00993161" w:rsidRDefault="0010303E" w:rsidP="00683217">
            <w:pPr>
              <w:pStyle w:val="Normal-pool"/>
              <w:numPr>
                <w:ilvl w:val="0"/>
                <w:numId w:val="9"/>
              </w:numPr>
              <w:tabs>
                <w:tab w:val="clear" w:pos="1247"/>
                <w:tab w:val="left" w:pos="211"/>
              </w:tabs>
              <w:spacing w:before="40" w:after="40"/>
              <w:ind w:left="208" w:right="57" w:hanging="218"/>
              <w:rPr>
                <w:sz w:val="18"/>
                <w:szCs w:val="18"/>
                <w:lang w:val="fr-FR"/>
              </w:rPr>
            </w:pPr>
            <w:r w:rsidRPr="00993161">
              <w:rPr>
                <w:sz w:val="18"/>
                <w:lang w:val="fr-FR"/>
              </w:rPr>
              <w:t>Examiner les progrès accomplis dans l’examen des Annexes I et III et formuler des recommandations que la Conférence des Parties examinera à sa seizième réunion.</w:t>
            </w:r>
          </w:p>
        </w:tc>
        <w:tc>
          <w:tcPr>
            <w:tcW w:w="1842" w:type="dxa"/>
            <w:tcBorders>
              <w:bottom w:val="single" w:sz="4" w:space="0" w:color="auto"/>
            </w:tcBorders>
          </w:tcPr>
          <w:p w14:paraId="71D3310D" w14:textId="77777777" w:rsidR="0010303E" w:rsidRPr="00993161" w:rsidRDefault="0010303E" w:rsidP="00683217">
            <w:pPr>
              <w:pStyle w:val="Normal-pool"/>
              <w:spacing w:before="40" w:after="40"/>
              <w:rPr>
                <w:sz w:val="18"/>
                <w:szCs w:val="18"/>
                <w:lang w:val="fr-FR"/>
              </w:rPr>
            </w:pPr>
            <w:r w:rsidRPr="00993161">
              <w:rPr>
                <w:sz w:val="18"/>
                <w:lang w:val="fr-FR"/>
              </w:rPr>
              <w:t>Décision BC-15/19</w:t>
            </w:r>
          </w:p>
        </w:tc>
        <w:tc>
          <w:tcPr>
            <w:tcW w:w="936" w:type="dxa"/>
            <w:tcBorders>
              <w:bottom w:val="single" w:sz="4" w:space="0" w:color="auto"/>
            </w:tcBorders>
          </w:tcPr>
          <w:p w14:paraId="4E0DA83F" w14:textId="77777777" w:rsidR="0010303E" w:rsidRPr="00993161" w:rsidRDefault="0010303E" w:rsidP="00683217">
            <w:pPr>
              <w:pStyle w:val="Normal-pool"/>
              <w:spacing w:before="40" w:after="40"/>
              <w:rPr>
                <w:sz w:val="18"/>
                <w:szCs w:val="18"/>
                <w:lang w:val="fr-FR"/>
              </w:rPr>
            </w:pPr>
            <w:r w:rsidRPr="00993161">
              <w:rPr>
                <w:sz w:val="18"/>
                <w:lang w:val="fr-FR"/>
              </w:rPr>
              <w:t>Élevé</w:t>
            </w:r>
          </w:p>
        </w:tc>
      </w:tr>
      <w:tr w:rsidR="0010303E" w:rsidRPr="0010303E" w14:paraId="42CD8D32" w14:textId="77777777" w:rsidTr="00683217">
        <w:trPr>
          <w:trHeight w:val="57"/>
          <w:jc w:val="right"/>
        </w:trPr>
        <w:tc>
          <w:tcPr>
            <w:tcW w:w="8307" w:type="dxa"/>
            <w:gridSpan w:val="4"/>
            <w:tcBorders>
              <w:top w:val="single" w:sz="4" w:space="0" w:color="auto"/>
            </w:tcBorders>
            <w:hideMark/>
          </w:tcPr>
          <w:p w14:paraId="793D6160" w14:textId="77777777" w:rsidR="0010303E" w:rsidRPr="00993161" w:rsidRDefault="0010303E" w:rsidP="00683217">
            <w:pPr>
              <w:pStyle w:val="Normal-pool"/>
              <w:numPr>
                <w:ilvl w:val="0"/>
                <w:numId w:val="7"/>
              </w:numPr>
              <w:tabs>
                <w:tab w:val="clear" w:pos="1247"/>
              </w:tabs>
              <w:spacing w:before="40" w:after="40"/>
              <w:ind w:left="318" w:hanging="284"/>
              <w:rPr>
                <w:b/>
                <w:sz w:val="18"/>
                <w:szCs w:val="18"/>
                <w:lang w:val="fr-FR"/>
              </w:rPr>
            </w:pPr>
            <w:r w:rsidRPr="00993161">
              <w:rPr>
                <w:b/>
                <w:sz w:val="18"/>
                <w:lang w:val="fr-FR"/>
              </w:rPr>
              <w:t xml:space="preserve">Coopération et coordination au niveau international </w:t>
            </w:r>
          </w:p>
        </w:tc>
      </w:tr>
      <w:tr w:rsidR="0010303E" w:rsidRPr="00993161" w14:paraId="5AD6D277" w14:textId="77777777" w:rsidTr="00683217">
        <w:trPr>
          <w:trHeight w:val="57"/>
          <w:jc w:val="right"/>
        </w:trPr>
        <w:tc>
          <w:tcPr>
            <w:tcW w:w="2255" w:type="dxa"/>
            <w:vMerge w:val="restart"/>
            <w:shd w:val="clear" w:color="auto" w:fill="auto"/>
            <w:hideMark/>
          </w:tcPr>
          <w:p w14:paraId="62AE919A" w14:textId="77777777" w:rsidR="0010303E" w:rsidRPr="00993161" w:rsidRDefault="0010303E" w:rsidP="00683217">
            <w:pPr>
              <w:pStyle w:val="Normal-pool"/>
              <w:numPr>
                <w:ilvl w:val="0"/>
                <w:numId w:val="14"/>
              </w:numPr>
              <w:tabs>
                <w:tab w:val="clear" w:pos="1247"/>
                <w:tab w:val="left" w:pos="300"/>
              </w:tabs>
              <w:spacing w:before="40" w:after="40"/>
              <w:ind w:left="318" w:right="57" w:hanging="284"/>
              <w:rPr>
                <w:sz w:val="18"/>
                <w:szCs w:val="18"/>
                <w:lang w:val="fr-FR"/>
              </w:rPr>
            </w:pPr>
            <w:r w:rsidRPr="00993161">
              <w:rPr>
                <w:sz w:val="18"/>
                <w:lang w:val="fr-FR"/>
              </w:rPr>
              <w:t>Programme de partenariats de la Convention de Bâle</w:t>
            </w:r>
          </w:p>
        </w:tc>
        <w:tc>
          <w:tcPr>
            <w:tcW w:w="3274" w:type="dxa"/>
            <w:shd w:val="clear" w:color="auto" w:fill="auto"/>
            <w:hideMark/>
          </w:tcPr>
          <w:p w14:paraId="5E14A400" w14:textId="77777777" w:rsidR="0010303E" w:rsidRPr="00993161" w:rsidRDefault="0010303E" w:rsidP="00683217">
            <w:pPr>
              <w:pStyle w:val="Normal-pool"/>
              <w:numPr>
                <w:ilvl w:val="0"/>
                <w:numId w:val="10"/>
              </w:numPr>
              <w:tabs>
                <w:tab w:val="clear" w:pos="1247"/>
                <w:tab w:val="left" w:pos="211"/>
              </w:tabs>
              <w:spacing w:before="40" w:after="40"/>
              <w:ind w:left="208" w:right="57" w:hanging="218"/>
              <w:rPr>
                <w:sz w:val="18"/>
                <w:szCs w:val="18"/>
                <w:lang w:val="fr-FR"/>
              </w:rPr>
            </w:pPr>
            <w:r w:rsidRPr="00993161">
              <w:rPr>
                <w:sz w:val="18"/>
                <w:lang w:val="fr-FR"/>
              </w:rPr>
              <w:t>Examiner les progrès accomplis dans la mise en œuvre du programme de travail du groupe de travail du Partenariat pour une action visant à relever les défis liés aux déchets d’équipements électriques et électroniques pour la période biennale 2022</w:t>
            </w:r>
            <w:r w:rsidRPr="00993161">
              <w:rPr>
                <w:sz w:val="18"/>
                <w:lang w:val="fr-FR"/>
              </w:rPr>
              <w:sym w:font="Symbol" w:char="F02D"/>
            </w:r>
            <w:r w:rsidRPr="00993161">
              <w:rPr>
                <w:sz w:val="18"/>
                <w:lang w:val="fr-FR"/>
              </w:rPr>
              <w:t xml:space="preserve">2023 et donner des orientations en ce sens. </w:t>
            </w:r>
          </w:p>
        </w:tc>
        <w:tc>
          <w:tcPr>
            <w:tcW w:w="1842" w:type="dxa"/>
            <w:hideMark/>
          </w:tcPr>
          <w:p w14:paraId="58E472C8" w14:textId="77777777" w:rsidR="0010303E" w:rsidRPr="00993161" w:rsidRDefault="0010303E" w:rsidP="00683217">
            <w:pPr>
              <w:pStyle w:val="Normal-pool"/>
              <w:spacing w:before="40" w:after="40"/>
              <w:rPr>
                <w:sz w:val="18"/>
                <w:szCs w:val="18"/>
                <w:lang w:val="fr-FR"/>
              </w:rPr>
            </w:pPr>
            <w:r w:rsidRPr="00993161">
              <w:rPr>
                <w:sz w:val="18"/>
                <w:lang w:val="fr-FR"/>
              </w:rPr>
              <w:t>Décision BC-15/22</w:t>
            </w:r>
          </w:p>
        </w:tc>
        <w:tc>
          <w:tcPr>
            <w:tcW w:w="936" w:type="dxa"/>
            <w:hideMark/>
          </w:tcPr>
          <w:p w14:paraId="4F145A3E" w14:textId="77777777" w:rsidR="0010303E" w:rsidRPr="00993161" w:rsidRDefault="0010303E" w:rsidP="00683217">
            <w:pPr>
              <w:pStyle w:val="Normal-pool"/>
              <w:spacing w:before="40" w:after="40"/>
              <w:rPr>
                <w:sz w:val="18"/>
                <w:szCs w:val="18"/>
                <w:lang w:val="fr-FR"/>
              </w:rPr>
            </w:pPr>
            <w:r w:rsidRPr="00993161">
              <w:rPr>
                <w:sz w:val="18"/>
                <w:lang w:val="fr-FR"/>
              </w:rPr>
              <w:t>Moyen</w:t>
            </w:r>
          </w:p>
        </w:tc>
      </w:tr>
      <w:tr w:rsidR="0010303E" w:rsidRPr="00993161" w14:paraId="456387DC" w14:textId="77777777" w:rsidTr="00683217">
        <w:trPr>
          <w:trHeight w:val="57"/>
          <w:jc w:val="right"/>
        </w:trPr>
        <w:tc>
          <w:tcPr>
            <w:tcW w:w="2255" w:type="dxa"/>
            <w:vMerge/>
            <w:shd w:val="clear" w:color="auto" w:fill="auto"/>
          </w:tcPr>
          <w:p w14:paraId="7E55062E" w14:textId="77777777" w:rsidR="0010303E" w:rsidRPr="00993161" w:rsidRDefault="0010303E" w:rsidP="00683217">
            <w:pPr>
              <w:pStyle w:val="Normal-pool"/>
              <w:tabs>
                <w:tab w:val="left" w:pos="300"/>
              </w:tabs>
              <w:spacing w:before="40" w:after="40"/>
              <w:ind w:left="316" w:right="57"/>
              <w:rPr>
                <w:sz w:val="18"/>
                <w:szCs w:val="18"/>
                <w:lang w:val="fr-FR"/>
              </w:rPr>
            </w:pPr>
          </w:p>
        </w:tc>
        <w:tc>
          <w:tcPr>
            <w:tcW w:w="3274" w:type="dxa"/>
            <w:shd w:val="clear" w:color="auto" w:fill="auto"/>
          </w:tcPr>
          <w:p w14:paraId="1EDB0295" w14:textId="77777777" w:rsidR="0010303E" w:rsidRPr="00993161" w:rsidRDefault="0010303E" w:rsidP="00683217">
            <w:pPr>
              <w:pStyle w:val="Normal-pool"/>
              <w:numPr>
                <w:ilvl w:val="0"/>
                <w:numId w:val="10"/>
              </w:numPr>
              <w:tabs>
                <w:tab w:val="clear" w:pos="1247"/>
                <w:tab w:val="left" w:pos="211"/>
              </w:tabs>
              <w:spacing w:before="40" w:after="40"/>
              <w:ind w:left="208" w:right="57" w:hanging="218"/>
              <w:rPr>
                <w:sz w:val="18"/>
                <w:szCs w:val="18"/>
                <w:lang w:val="fr-FR"/>
              </w:rPr>
            </w:pPr>
            <w:r w:rsidRPr="00993161">
              <w:rPr>
                <w:sz w:val="18"/>
                <w:lang w:val="fr-FR"/>
              </w:rPr>
              <w:t>Examiner les progrès accomplis dans la mise en œuvre du programme de travail du groupe de travail du Partenariat pour les déchets ménagers pour la période biennale 2022</w:t>
            </w:r>
            <w:r w:rsidRPr="00993161">
              <w:rPr>
                <w:sz w:val="18"/>
                <w:lang w:val="fr-FR"/>
              </w:rPr>
              <w:sym w:font="Symbol" w:char="F02D"/>
            </w:r>
            <w:r w:rsidRPr="00993161">
              <w:rPr>
                <w:sz w:val="18"/>
                <w:lang w:val="fr-FR"/>
              </w:rPr>
              <w:t xml:space="preserve">2023 et donner des orientations en ce sens. </w:t>
            </w:r>
          </w:p>
        </w:tc>
        <w:tc>
          <w:tcPr>
            <w:tcW w:w="1842" w:type="dxa"/>
          </w:tcPr>
          <w:p w14:paraId="52FEC8F2" w14:textId="77777777" w:rsidR="0010303E" w:rsidRPr="00993161" w:rsidRDefault="0010303E" w:rsidP="00683217">
            <w:pPr>
              <w:pStyle w:val="Normal-pool"/>
              <w:spacing w:before="40" w:after="40"/>
              <w:rPr>
                <w:sz w:val="18"/>
                <w:szCs w:val="18"/>
                <w:lang w:val="fr-FR"/>
              </w:rPr>
            </w:pPr>
            <w:r w:rsidRPr="00993161">
              <w:rPr>
                <w:sz w:val="18"/>
                <w:lang w:val="fr-FR"/>
              </w:rPr>
              <w:t>Décision BC-15/22</w:t>
            </w:r>
          </w:p>
        </w:tc>
        <w:tc>
          <w:tcPr>
            <w:tcW w:w="936" w:type="dxa"/>
          </w:tcPr>
          <w:p w14:paraId="136FDC4F" w14:textId="77777777" w:rsidR="0010303E" w:rsidRPr="00993161" w:rsidRDefault="0010303E" w:rsidP="00683217">
            <w:pPr>
              <w:pStyle w:val="Normal-pool"/>
              <w:spacing w:before="40" w:after="40"/>
              <w:rPr>
                <w:sz w:val="18"/>
                <w:szCs w:val="18"/>
                <w:lang w:val="fr-FR"/>
              </w:rPr>
            </w:pPr>
            <w:r w:rsidRPr="00993161">
              <w:rPr>
                <w:sz w:val="18"/>
                <w:lang w:val="fr-FR"/>
              </w:rPr>
              <w:t>Moyen</w:t>
            </w:r>
          </w:p>
        </w:tc>
      </w:tr>
      <w:tr w:rsidR="0010303E" w:rsidRPr="00993161" w14:paraId="231516A9" w14:textId="77777777" w:rsidTr="00683217">
        <w:trPr>
          <w:trHeight w:val="57"/>
          <w:jc w:val="right"/>
        </w:trPr>
        <w:tc>
          <w:tcPr>
            <w:tcW w:w="2255" w:type="dxa"/>
            <w:vMerge/>
            <w:tcBorders>
              <w:bottom w:val="single" w:sz="4" w:space="0" w:color="auto"/>
            </w:tcBorders>
            <w:shd w:val="clear" w:color="auto" w:fill="auto"/>
          </w:tcPr>
          <w:p w14:paraId="165FCF80" w14:textId="77777777" w:rsidR="0010303E" w:rsidRPr="00993161" w:rsidRDefault="0010303E" w:rsidP="00683217">
            <w:pPr>
              <w:pStyle w:val="Normal-pool"/>
              <w:tabs>
                <w:tab w:val="left" w:pos="300"/>
              </w:tabs>
              <w:spacing w:before="40" w:after="40"/>
              <w:ind w:left="316" w:right="57"/>
              <w:rPr>
                <w:sz w:val="18"/>
                <w:szCs w:val="18"/>
                <w:lang w:val="fr-FR"/>
              </w:rPr>
            </w:pPr>
          </w:p>
        </w:tc>
        <w:tc>
          <w:tcPr>
            <w:tcW w:w="3274" w:type="dxa"/>
            <w:tcBorders>
              <w:bottom w:val="single" w:sz="4" w:space="0" w:color="auto"/>
            </w:tcBorders>
            <w:shd w:val="clear" w:color="auto" w:fill="auto"/>
          </w:tcPr>
          <w:p w14:paraId="74A82D66" w14:textId="77777777" w:rsidR="0010303E" w:rsidRPr="00993161" w:rsidRDefault="0010303E" w:rsidP="00683217">
            <w:pPr>
              <w:pStyle w:val="Normal-pool"/>
              <w:numPr>
                <w:ilvl w:val="0"/>
                <w:numId w:val="10"/>
              </w:numPr>
              <w:tabs>
                <w:tab w:val="clear" w:pos="1247"/>
                <w:tab w:val="left" w:pos="211"/>
              </w:tabs>
              <w:spacing w:before="40" w:after="40"/>
              <w:ind w:left="208" w:right="57" w:hanging="218"/>
              <w:rPr>
                <w:sz w:val="18"/>
                <w:szCs w:val="18"/>
                <w:lang w:val="fr-FR"/>
              </w:rPr>
            </w:pPr>
            <w:r w:rsidRPr="00993161">
              <w:rPr>
                <w:sz w:val="18"/>
                <w:lang w:val="fr-FR"/>
              </w:rPr>
              <w:t>Examiner les progrès accomplis dans la mise en œuvre du programme de travail du groupe de travail du Partenariat sur les déchets plastiques pour la période biennale 2022</w:t>
            </w:r>
            <w:r w:rsidRPr="00993161">
              <w:rPr>
                <w:sz w:val="18"/>
                <w:lang w:val="fr-FR"/>
              </w:rPr>
              <w:sym w:font="Symbol" w:char="F02D"/>
            </w:r>
            <w:r w:rsidRPr="00993161">
              <w:rPr>
                <w:sz w:val="18"/>
                <w:lang w:val="fr-FR"/>
              </w:rPr>
              <w:t>2023 et donner des orientations en ce sens.</w:t>
            </w:r>
          </w:p>
        </w:tc>
        <w:tc>
          <w:tcPr>
            <w:tcW w:w="1842" w:type="dxa"/>
            <w:tcBorders>
              <w:bottom w:val="single" w:sz="4" w:space="0" w:color="auto"/>
            </w:tcBorders>
          </w:tcPr>
          <w:p w14:paraId="72E2A254" w14:textId="77777777" w:rsidR="0010303E" w:rsidRPr="00993161" w:rsidRDefault="0010303E" w:rsidP="00683217">
            <w:pPr>
              <w:pStyle w:val="Normal-pool"/>
              <w:spacing w:before="40" w:after="40"/>
              <w:rPr>
                <w:sz w:val="18"/>
                <w:szCs w:val="18"/>
                <w:lang w:val="fr-FR"/>
              </w:rPr>
            </w:pPr>
            <w:r w:rsidRPr="00993161">
              <w:rPr>
                <w:sz w:val="18"/>
                <w:lang w:val="fr-FR"/>
              </w:rPr>
              <w:t>Décision BC-15/22</w:t>
            </w:r>
          </w:p>
        </w:tc>
        <w:tc>
          <w:tcPr>
            <w:tcW w:w="936" w:type="dxa"/>
            <w:tcBorders>
              <w:bottom w:val="single" w:sz="4" w:space="0" w:color="auto"/>
            </w:tcBorders>
          </w:tcPr>
          <w:p w14:paraId="7B7A6F84" w14:textId="77777777" w:rsidR="0010303E" w:rsidRPr="00993161" w:rsidRDefault="0010303E" w:rsidP="00683217">
            <w:pPr>
              <w:pStyle w:val="Normal-pool"/>
              <w:spacing w:before="40" w:after="40"/>
              <w:rPr>
                <w:sz w:val="18"/>
                <w:szCs w:val="18"/>
                <w:lang w:val="fr-FR"/>
              </w:rPr>
            </w:pPr>
            <w:r w:rsidRPr="00993161">
              <w:rPr>
                <w:sz w:val="18"/>
                <w:lang w:val="fr-FR"/>
              </w:rPr>
              <w:t>Moyen</w:t>
            </w:r>
          </w:p>
        </w:tc>
      </w:tr>
      <w:tr w:rsidR="0010303E" w:rsidRPr="00993161" w14:paraId="603D75F3" w14:textId="77777777" w:rsidTr="00683217">
        <w:trPr>
          <w:trHeight w:val="57"/>
          <w:jc w:val="right"/>
        </w:trPr>
        <w:tc>
          <w:tcPr>
            <w:tcW w:w="2255" w:type="dxa"/>
            <w:tcBorders>
              <w:top w:val="single" w:sz="4" w:space="0" w:color="auto"/>
              <w:bottom w:val="single" w:sz="12" w:space="0" w:color="auto"/>
            </w:tcBorders>
            <w:shd w:val="clear" w:color="auto" w:fill="auto"/>
            <w:hideMark/>
          </w:tcPr>
          <w:p w14:paraId="7B132709" w14:textId="77777777" w:rsidR="0010303E" w:rsidRPr="00993161" w:rsidRDefault="0010303E" w:rsidP="00683217">
            <w:pPr>
              <w:pStyle w:val="Normal-pool"/>
              <w:numPr>
                <w:ilvl w:val="0"/>
                <w:numId w:val="14"/>
              </w:numPr>
              <w:tabs>
                <w:tab w:val="clear" w:pos="1247"/>
                <w:tab w:val="left" w:pos="300"/>
              </w:tabs>
              <w:spacing w:before="40" w:after="40"/>
              <w:ind w:left="318" w:right="57" w:hanging="284"/>
              <w:rPr>
                <w:sz w:val="18"/>
                <w:szCs w:val="18"/>
                <w:lang w:val="fr-FR"/>
              </w:rPr>
            </w:pPr>
            <w:r w:rsidRPr="00993161">
              <w:rPr>
                <w:sz w:val="18"/>
                <w:lang w:val="fr-FR"/>
              </w:rPr>
              <w:t>Coopération avec l’Organisation mondiale des douanes concernant le Système harmonisé de désignation et de codification des marchandises</w:t>
            </w:r>
          </w:p>
        </w:tc>
        <w:tc>
          <w:tcPr>
            <w:tcW w:w="3274" w:type="dxa"/>
            <w:tcBorders>
              <w:top w:val="single" w:sz="4" w:space="0" w:color="auto"/>
              <w:bottom w:val="single" w:sz="12" w:space="0" w:color="auto"/>
            </w:tcBorders>
            <w:shd w:val="clear" w:color="auto" w:fill="auto"/>
            <w:hideMark/>
          </w:tcPr>
          <w:p w14:paraId="28CD75B6" w14:textId="77777777" w:rsidR="0010303E" w:rsidRPr="00993161" w:rsidRDefault="0010303E" w:rsidP="00683217">
            <w:pPr>
              <w:pStyle w:val="Normal-pool"/>
              <w:spacing w:before="40" w:after="40"/>
              <w:ind w:left="57" w:right="57"/>
              <w:rPr>
                <w:sz w:val="18"/>
                <w:szCs w:val="18"/>
                <w:lang w:val="fr-FR"/>
              </w:rPr>
            </w:pPr>
            <w:r w:rsidRPr="00993161">
              <w:rPr>
                <w:sz w:val="18"/>
                <w:lang w:val="fr-FR"/>
              </w:rPr>
              <w:t>Examiner les progrès réalisés en ce qui concerne l’inclusion des déchets visés par la Convention de Bâle dans le Système harmonisé de désignation et de codification des marchandises de l’Organisation mondiale des douanes.</w:t>
            </w:r>
          </w:p>
        </w:tc>
        <w:tc>
          <w:tcPr>
            <w:tcW w:w="1842" w:type="dxa"/>
            <w:tcBorders>
              <w:top w:val="single" w:sz="4" w:space="0" w:color="auto"/>
              <w:bottom w:val="single" w:sz="12" w:space="0" w:color="auto"/>
            </w:tcBorders>
            <w:hideMark/>
          </w:tcPr>
          <w:p w14:paraId="6D29A141" w14:textId="77777777" w:rsidR="0010303E" w:rsidRPr="00993161" w:rsidRDefault="0010303E" w:rsidP="00683217">
            <w:pPr>
              <w:pStyle w:val="Normal-pool"/>
              <w:spacing w:before="40" w:after="40"/>
              <w:rPr>
                <w:sz w:val="18"/>
                <w:szCs w:val="18"/>
                <w:lang w:val="fr-FR"/>
              </w:rPr>
            </w:pPr>
            <w:r w:rsidRPr="00993161">
              <w:rPr>
                <w:sz w:val="18"/>
                <w:lang w:val="fr-FR"/>
              </w:rPr>
              <w:t>Décision BC-15/12</w:t>
            </w:r>
          </w:p>
        </w:tc>
        <w:tc>
          <w:tcPr>
            <w:tcW w:w="936" w:type="dxa"/>
            <w:tcBorders>
              <w:top w:val="single" w:sz="4" w:space="0" w:color="auto"/>
              <w:bottom w:val="single" w:sz="12" w:space="0" w:color="auto"/>
            </w:tcBorders>
            <w:hideMark/>
          </w:tcPr>
          <w:p w14:paraId="711C2828" w14:textId="77777777" w:rsidR="0010303E" w:rsidRPr="00993161" w:rsidRDefault="0010303E" w:rsidP="00683217">
            <w:pPr>
              <w:pStyle w:val="Normal-pool"/>
              <w:spacing w:before="40" w:after="40"/>
              <w:rPr>
                <w:sz w:val="18"/>
                <w:szCs w:val="18"/>
                <w:lang w:val="fr-FR"/>
              </w:rPr>
            </w:pPr>
            <w:r w:rsidRPr="00993161">
              <w:rPr>
                <w:sz w:val="18"/>
                <w:lang w:val="fr-FR"/>
              </w:rPr>
              <w:t>Faible</w:t>
            </w:r>
          </w:p>
        </w:tc>
      </w:tr>
      <w:bookmarkEnd w:id="0"/>
    </w:tbl>
    <w:p w14:paraId="07255892" w14:textId="03A3E2A9" w:rsidR="00F935A6" w:rsidRPr="0010303E" w:rsidRDefault="00F935A6" w:rsidP="0010303E">
      <w:pPr>
        <w:tabs>
          <w:tab w:val="clear" w:pos="1247"/>
          <w:tab w:val="clear" w:pos="1814"/>
          <w:tab w:val="clear" w:pos="2381"/>
          <w:tab w:val="clear" w:pos="2948"/>
          <w:tab w:val="clear" w:pos="3515"/>
        </w:tabs>
        <w:rPr>
          <w:b/>
          <w:sz w:val="28"/>
          <w:szCs w:val="28"/>
          <w:lang w:val="fr-FR"/>
        </w:rPr>
      </w:pPr>
    </w:p>
    <w:sectPr w:rsidR="00F935A6" w:rsidRPr="001030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D8767" w14:textId="77777777" w:rsidR="00657BDA" w:rsidRDefault="00657BDA" w:rsidP="004B3535">
      <w:r>
        <w:separator/>
      </w:r>
    </w:p>
  </w:endnote>
  <w:endnote w:type="continuationSeparator" w:id="0">
    <w:p w14:paraId="5AAD4A33" w14:textId="77777777" w:rsidR="00657BDA" w:rsidRDefault="00657BDA"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DACFE" w14:textId="77777777" w:rsidR="00657BDA" w:rsidRDefault="00657BDA" w:rsidP="004B3535">
      <w:r>
        <w:separator/>
      </w:r>
    </w:p>
  </w:footnote>
  <w:footnote w:type="continuationSeparator" w:id="0">
    <w:p w14:paraId="63B8C947" w14:textId="77777777" w:rsidR="00657BDA" w:rsidRDefault="00657BDA" w:rsidP="004B3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10303E"/>
    <w:rsid w:val="004B3535"/>
    <w:rsid w:val="00657BDA"/>
    <w:rsid w:val="00685CB0"/>
    <w:rsid w:val="00836B73"/>
    <w:rsid w:val="00A61B34"/>
    <w:rsid w:val="00B21482"/>
    <w:rsid w:val="00B3768E"/>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1191</Words>
  <Characters>6790</Characters>
  <Application>Microsoft Office Word</Application>
  <DocSecurity>0</DocSecurity>
  <Lines>56</Lines>
  <Paragraphs>15</Paragraphs>
  <ScaleCrop>false</ScaleCrop>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2023-05-22T12:27:00Z</dcterms:created>
  <dcterms:modified xsi:type="dcterms:W3CDTF">2023-05-22T12:27:00Z</dcterms:modified>
</cp:coreProperties>
</file>