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1CF2C" w14:textId="77777777" w:rsidR="00045920" w:rsidRPr="00395CC5" w:rsidRDefault="00045920" w:rsidP="00045920">
      <w:pPr>
        <w:suppressAutoHyphens/>
        <w:ind w:left="1247"/>
        <w:rPr>
          <w:rFonts w:eastAsia="Calibri"/>
          <w:b/>
          <w:sz w:val="28"/>
          <w:szCs w:val="28"/>
        </w:rPr>
      </w:pPr>
      <w:r w:rsidRPr="00395CC5">
        <w:rPr>
          <w:rFonts w:eastAsia="Calibri"/>
          <w:b/>
          <w:bCs/>
          <w:sz w:val="28"/>
          <w:szCs w:val="28"/>
        </w:rPr>
        <w:t>БК-15/23: Программа работы Рабочей группы открытого состава на двухгодичный период 2022</w:t>
      </w:r>
      <w:r>
        <w:rPr>
          <w:rFonts w:eastAsia="Calibri"/>
          <w:b/>
          <w:bCs/>
          <w:sz w:val="28"/>
          <w:szCs w:val="28"/>
        </w:rPr>
        <w:t>-</w:t>
      </w:r>
      <w:r w:rsidRPr="00395CC5">
        <w:rPr>
          <w:rFonts w:eastAsia="Calibri"/>
          <w:b/>
          <w:bCs/>
          <w:sz w:val="28"/>
          <w:szCs w:val="28"/>
        </w:rPr>
        <w:t>2023 годов</w:t>
      </w:r>
    </w:p>
    <w:p w14:paraId="3EC5A08E" w14:textId="77777777" w:rsidR="00045920" w:rsidRPr="00395CC5" w:rsidRDefault="00045920" w:rsidP="00045920">
      <w:pPr>
        <w:ind w:left="1247" w:firstLine="624"/>
        <w:rPr>
          <w:rFonts w:eastAsia="Calibri"/>
          <w:i/>
          <w:iCs/>
        </w:rPr>
      </w:pPr>
      <w:r w:rsidRPr="00395CC5">
        <w:rPr>
          <w:rFonts w:eastAsia="Calibri"/>
          <w:i/>
          <w:iCs/>
        </w:rPr>
        <w:t>Конференция Сторон</w:t>
      </w:r>
      <w:r w:rsidRPr="00395CC5">
        <w:rPr>
          <w:rFonts w:eastAsia="Calibri"/>
        </w:rPr>
        <w:t>,</w:t>
      </w:r>
    </w:p>
    <w:p w14:paraId="3EAD2BB2" w14:textId="77777777" w:rsidR="00045920" w:rsidRPr="00395CC5" w:rsidRDefault="00045920" w:rsidP="00045920">
      <w:pPr>
        <w:ind w:left="1247" w:firstLine="624"/>
        <w:rPr>
          <w:rFonts w:eastAsia="Calibri"/>
        </w:rPr>
      </w:pPr>
      <w:r w:rsidRPr="00395CC5">
        <w:rPr>
          <w:rFonts w:eastAsia="Calibri"/>
          <w:i/>
          <w:iCs/>
        </w:rPr>
        <w:t>принимает</w:t>
      </w:r>
      <w:r w:rsidRPr="00395CC5">
        <w:rPr>
          <w:rFonts w:eastAsia="Calibri"/>
        </w:rPr>
        <w:t xml:space="preserve"> программу работы Рабочей группы открытого состава на двухгодичный период 2022-2023 годов, изложенную в приложении к настоящему решению.</w:t>
      </w:r>
    </w:p>
    <w:p w14:paraId="147229C7" w14:textId="77777777" w:rsidR="00045920" w:rsidRPr="00395CC5" w:rsidRDefault="00045920" w:rsidP="00045920">
      <w:pPr>
        <w:suppressAutoHyphens/>
        <w:ind w:left="1247"/>
        <w:rPr>
          <w:rFonts w:eastAsia="Calibri"/>
          <w:b/>
          <w:sz w:val="24"/>
          <w:szCs w:val="24"/>
        </w:rPr>
      </w:pPr>
      <w:r w:rsidRPr="00395CC5">
        <w:rPr>
          <w:rFonts w:eastAsia="Calibri"/>
          <w:b/>
          <w:sz w:val="24"/>
          <w:szCs w:val="24"/>
        </w:rPr>
        <w:tab/>
      </w:r>
      <w:r w:rsidRPr="00395CC5">
        <w:rPr>
          <w:rFonts w:eastAsia="Calibri"/>
          <w:b/>
          <w:bCs/>
          <w:sz w:val="24"/>
          <w:szCs w:val="24"/>
        </w:rPr>
        <w:t>Приложение к решению БК-15/23</w:t>
      </w:r>
    </w:p>
    <w:p w14:paraId="7AB97029" w14:textId="77777777" w:rsidR="00045920" w:rsidRPr="00395CC5" w:rsidRDefault="00045920" w:rsidP="00045920">
      <w:pPr>
        <w:suppressAutoHyphens/>
        <w:ind w:left="1247"/>
        <w:rPr>
          <w:rFonts w:eastAsia="Calibri"/>
          <w:b/>
          <w:sz w:val="24"/>
          <w:szCs w:val="24"/>
        </w:rPr>
      </w:pPr>
      <w:r w:rsidRPr="00395CC5">
        <w:rPr>
          <w:rFonts w:eastAsia="Calibri"/>
          <w:b/>
          <w:sz w:val="24"/>
          <w:szCs w:val="24"/>
        </w:rPr>
        <w:tab/>
      </w:r>
      <w:r w:rsidRPr="00395CC5">
        <w:rPr>
          <w:rFonts w:eastAsia="Calibri"/>
          <w:b/>
          <w:bCs/>
          <w:sz w:val="24"/>
          <w:szCs w:val="24"/>
        </w:rPr>
        <w:t>Программа работы Рабочей группы открытого состава на двухгодичный период 2022-2023 годов</w:t>
      </w:r>
    </w:p>
    <w:tbl>
      <w:tblPr>
        <w:tblW w:w="8307" w:type="dxa"/>
        <w:jc w:val="right"/>
        <w:tblLayout w:type="fixed"/>
        <w:tblCellMar>
          <w:left w:w="57" w:type="dxa"/>
          <w:right w:w="57" w:type="dxa"/>
        </w:tblCellMar>
        <w:tblLook w:val="04A0" w:firstRow="1" w:lastRow="0" w:firstColumn="1" w:lastColumn="0" w:noHBand="0" w:noVBand="1"/>
      </w:tblPr>
      <w:tblGrid>
        <w:gridCol w:w="2255"/>
        <w:gridCol w:w="3274"/>
        <w:gridCol w:w="1842"/>
        <w:gridCol w:w="936"/>
      </w:tblGrid>
      <w:tr w:rsidR="00045920" w:rsidRPr="00395CC5" w14:paraId="1FADEB0E" w14:textId="77777777" w:rsidTr="006C04D6">
        <w:trPr>
          <w:trHeight w:val="57"/>
          <w:tblHeader/>
          <w:jc w:val="right"/>
        </w:trPr>
        <w:tc>
          <w:tcPr>
            <w:tcW w:w="2255" w:type="dxa"/>
            <w:tcBorders>
              <w:top w:val="single" w:sz="4" w:space="0" w:color="auto"/>
              <w:bottom w:val="single" w:sz="12" w:space="0" w:color="auto"/>
            </w:tcBorders>
            <w:vAlign w:val="bottom"/>
          </w:tcPr>
          <w:p w14:paraId="3710CFED" w14:textId="77777777" w:rsidR="00045920" w:rsidRPr="00395CC5" w:rsidRDefault="00045920" w:rsidP="006C04D6">
            <w:pPr>
              <w:spacing w:before="40" w:after="40"/>
              <w:ind w:right="57"/>
              <w:rPr>
                <w:rFonts w:eastAsia="Calibri"/>
                <w:i/>
                <w:iCs/>
                <w:sz w:val="18"/>
                <w:szCs w:val="18"/>
                <w:lang w:val="en-US"/>
              </w:rPr>
            </w:pPr>
            <w:bookmarkStart w:id="0" w:name="_Hlk57295111"/>
            <w:r w:rsidRPr="00395CC5">
              <w:rPr>
                <w:rFonts w:eastAsia="Calibri"/>
                <w:i/>
                <w:iCs/>
                <w:sz w:val="18"/>
                <w:szCs w:val="18"/>
              </w:rPr>
              <w:t>Темы</w:t>
            </w:r>
          </w:p>
        </w:tc>
        <w:tc>
          <w:tcPr>
            <w:tcW w:w="3274" w:type="dxa"/>
            <w:tcBorders>
              <w:top w:val="single" w:sz="4" w:space="0" w:color="auto"/>
              <w:bottom w:val="single" w:sz="12" w:space="0" w:color="auto"/>
            </w:tcBorders>
            <w:vAlign w:val="bottom"/>
          </w:tcPr>
          <w:p w14:paraId="1B059AD4" w14:textId="77777777" w:rsidR="00045920" w:rsidRPr="00395CC5" w:rsidRDefault="00045920" w:rsidP="006C04D6">
            <w:pPr>
              <w:spacing w:before="40" w:after="40"/>
              <w:ind w:left="241" w:right="57"/>
              <w:rPr>
                <w:rFonts w:eastAsia="Calibri"/>
                <w:i/>
                <w:iCs/>
                <w:sz w:val="18"/>
                <w:szCs w:val="18"/>
                <w:lang w:val="en-US"/>
              </w:rPr>
            </w:pPr>
            <w:r w:rsidRPr="00395CC5">
              <w:rPr>
                <w:rFonts w:eastAsia="Calibri"/>
                <w:i/>
                <w:iCs/>
                <w:sz w:val="18"/>
                <w:szCs w:val="18"/>
              </w:rPr>
              <w:t>Мероприятия</w:t>
            </w:r>
          </w:p>
        </w:tc>
        <w:tc>
          <w:tcPr>
            <w:tcW w:w="1842" w:type="dxa"/>
            <w:tcBorders>
              <w:top w:val="single" w:sz="4" w:space="0" w:color="auto"/>
              <w:bottom w:val="single" w:sz="12" w:space="0" w:color="auto"/>
            </w:tcBorders>
            <w:vAlign w:val="bottom"/>
          </w:tcPr>
          <w:p w14:paraId="411187CA" w14:textId="77777777" w:rsidR="00045920" w:rsidRPr="00395CC5" w:rsidRDefault="00045920" w:rsidP="006C04D6">
            <w:pPr>
              <w:spacing w:before="40" w:after="40"/>
              <w:ind w:right="57"/>
              <w:rPr>
                <w:rFonts w:eastAsia="Calibri"/>
                <w:i/>
                <w:iCs/>
                <w:sz w:val="18"/>
                <w:szCs w:val="18"/>
                <w:lang w:val="en-US"/>
              </w:rPr>
            </w:pPr>
            <w:r w:rsidRPr="00395CC5">
              <w:rPr>
                <w:rFonts w:eastAsia="Calibri"/>
                <w:i/>
                <w:iCs/>
                <w:sz w:val="18"/>
                <w:szCs w:val="18"/>
              </w:rPr>
              <w:t>Мандат</w:t>
            </w:r>
          </w:p>
        </w:tc>
        <w:tc>
          <w:tcPr>
            <w:tcW w:w="936" w:type="dxa"/>
            <w:tcBorders>
              <w:top w:val="single" w:sz="4" w:space="0" w:color="auto"/>
              <w:bottom w:val="single" w:sz="12" w:space="0" w:color="auto"/>
            </w:tcBorders>
            <w:vAlign w:val="bottom"/>
          </w:tcPr>
          <w:p w14:paraId="589322E1" w14:textId="77777777" w:rsidR="00045920" w:rsidRPr="00395CC5" w:rsidRDefault="00045920" w:rsidP="006C04D6">
            <w:pPr>
              <w:spacing w:before="40" w:after="40"/>
              <w:ind w:right="57"/>
              <w:rPr>
                <w:rFonts w:eastAsia="Calibri"/>
                <w:i/>
                <w:iCs/>
                <w:sz w:val="18"/>
                <w:szCs w:val="18"/>
              </w:rPr>
            </w:pPr>
            <w:r w:rsidRPr="00395CC5">
              <w:rPr>
                <w:rFonts w:eastAsia="Calibri"/>
                <w:i/>
                <w:iCs/>
                <w:sz w:val="18"/>
                <w:szCs w:val="18"/>
              </w:rPr>
              <w:t>Приори</w:t>
            </w:r>
            <w:r w:rsidRPr="00D31539">
              <w:rPr>
                <w:rFonts w:eastAsia="Calibri"/>
                <w:i/>
                <w:iCs/>
                <w:sz w:val="18"/>
                <w:szCs w:val="18"/>
              </w:rPr>
              <w:t>-</w:t>
            </w:r>
            <w:r w:rsidRPr="00395CC5">
              <w:rPr>
                <w:rFonts w:eastAsia="Calibri"/>
                <w:i/>
                <w:iCs/>
                <w:sz w:val="18"/>
                <w:szCs w:val="18"/>
              </w:rPr>
              <w:t>тет</w:t>
            </w:r>
          </w:p>
        </w:tc>
      </w:tr>
      <w:tr w:rsidR="00045920" w:rsidRPr="00395CC5" w14:paraId="3FCDE2D8" w14:textId="77777777" w:rsidTr="006C04D6">
        <w:trPr>
          <w:trHeight w:val="57"/>
          <w:jc w:val="right"/>
        </w:trPr>
        <w:tc>
          <w:tcPr>
            <w:tcW w:w="8307" w:type="dxa"/>
            <w:gridSpan w:val="4"/>
            <w:tcBorders>
              <w:top w:val="single" w:sz="12" w:space="0" w:color="auto"/>
            </w:tcBorders>
            <w:vAlign w:val="bottom"/>
          </w:tcPr>
          <w:p w14:paraId="6E1F3F57" w14:textId="77777777" w:rsidR="00045920" w:rsidRPr="00395CC5" w:rsidRDefault="00045920">
            <w:pPr>
              <w:numPr>
                <w:ilvl w:val="0"/>
                <w:numId w:val="7"/>
              </w:numPr>
              <w:spacing w:before="40" w:after="40"/>
              <w:ind w:left="318" w:hanging="284"/>
              <w:rPr>
                <w:rFonts w:eastAsia="Calibri"/>
                <w:sz w:val="18"/>
                <w:szCs w:val="18"/>
              </w:rPr>
            </w:pPr>
            <w:r w:rsidRPr="00395CC5">
              <w:rPr>
                <w:rFonts w:eastAsia="Calibri"/>
                <w:b/>
                <w:bCs/>
                <w:sz w:val="18"/>
                <w:szCs w:val="18"/>
              </w:rPr>
              <w:t>Стратегические вопросы</w:t>
            </w:r>
          </w:p>
        </w:tc>
      </w:tr>
      <w:tr w:rsidR="00045920" w:rsidRPr="00395CC5" w14:paraId="1CBB20D3" w14:textId="77777777" w:rsidTr="006C04D6">
        <w:trPr>
          <w:trHeight w:val="890"/>
          <w:jc w:val="right"/>
        </w:trPr>
        <w:tc>
          <w:tcPr>
            <w:tcW w:w="2255" w:type="dxa"/>
            <w:tcBorders>
              <w:bottom w:val="single" w:sz="4" w:space="0" w:color="auto"/>
            </w:tcBorders>
          </w:tcPr>
          <w:p w14:paraId="58844438" w14:textId="77777777" w:rsidR="00045920" w:rsidRPr="00395CC5" w:rsidRDefault="00045920">
            <w:pPr>
              <w:numPr>
                <w:ilvl w:val="0"/>
                <w:numId w:val="6"/>
              </w:numPr>
              <w:spacing w:before="40" w:after="40"/>
              <w:ind w:left="318" w:right="57" w:hanging="284"/>
              <w:rPr>
                <w:rFonts w:eastAsia="Calibri"/>
                <w:i/>
                <w:iCs/>
                <w:sz w:val="18"/>
                <w:szCs w:val="18"/>
                <w:lang w:val="en-US"/>
              </w:rPr>
            </w:pPr>
            <w:r w:rsidRPr="00395CC5">
              <w:rPr>
                <w:rFonts w:eastAsia="Calibri"/>
                <w:sz w:val="18"/>
                <w:szCs w:val="18"/>
              </w:rPr>
              <w:t>Стратегические рамки</w:t>
            </w:r>
          </w:p>
        </w:tc>
        <w:tc>
          <w:tcPr>
            <w:tcW w:w="3274" w:type="dxa"/>
            <w:tcBorders>
              <w:bottom w:val="single" w:sz="4" w:space="0" w:color="auto"/>
            </w:tcBorders>
          </w:tcPr>
          <w:p w14:paraId="653A0AAF" w14:textId="77777777" w:rsidR="00045920" w:rsidRPr="00395CC5" w:rsidRDefault="00045920" w:rsidP="006C04D6">
            <w:pPr>
              <w:spacing w:before="40"/>
              <w:ind w:left="227" w:right="57"/>
              <w:rPr>
                <w:rFonts w:eastAsia="Calibri"/>
                <w:bCs/>
                <w:sz w:val="18"/>
                <w:szCs w:val="18"/>
              </w:rPr>
            </w:pPr>
            <w:r w:rsidRPr="00395CC5">
              <w:rPr>
                <w:rFonts w:eastAsia="Calibri"/>
                <w:sz w:val="18"/>
                <w:szCs w:val="18"/>
              </w:rPr>
              <w:t>Рассмотрение проекта доклада о выводах и рекомендациях в отношении совершенствования стратегических рамок на период 2012-2021 годов.</w:t>
            </w:r>
          </w:p>
        </w:tc>
        <w:tc>
          <w:tcPr>
            <w:tcW w:w="1842" w:type="dxa"/>
            <w:tcBorders>
              <w:bottom w:val="single" w:sz="4" w:space="0" w:color="auto"/>
            </w:tcBorders>
          </w:tcPr>
          <w:p w14:paraId="7EB8BC74" w14:textId="77777777" w:rsidR="00045920" w:rsidRPr="00395CC5" w:rsidRDefault="00045920" w:rsidP="006C04D6">
            <w:pPr>
              <w:spacing w:before="40" w:after="40"/>
              <w:rPr>
                <w:rFonts w:eastAsia="Calibri"/>
                <w:i/>
                <w:iCs/>
                <w:sz w:val="18"/>
                <w:szCs w:val="18"/>
                <w:lang w:val="en-US"/>
              </w:rPr>
            </w:pPr>
            <w:r w:rsidRPr="00395CC5">
              <w:rPr>
                <w:rFonts w:eastAsia="Calibri"/>
                <w:sz w:val="18"/>
                <w:szCs w:val="18"/>
              </w:rPr>
              <w:t>Решение БК-15/3</w:t>
            </w:r>
          </w:p>
        </w:tc>
        <w:tc>
          <w:tcPr>
            <w:tcW w:w="936" w:type="dxa"/>
            <w:tcBorders>
              <w:bottom w:val="single" w:sz="4" w:space="0" w:color="auto"/>
            </w:tcBorders>
          </w:tcPr>
          <w:p w14:paraId="1022A907" w14:textId="77777777" w:rsidR="00045920" w:rsidRPr="00395CC5" w:rsidRDefault="00045920" w:rsidP="006C04D6">
            <w:pPr>
              <w:spacing w:before="40" w:after="40"/>
              <w:rPr>
                <w:rFonts w:eastAsia="Calibri"/>
                <w:i/>
                <w:iCs/>
                <w:sz w:val="18"/>
                <w:szCs w:val="18"/>
              </w:rPr>
            </w:pPr>
            <w:r w:rsidRPr="00395CC5">
              <w:rPr>
                <w:rFonts w:eastAsia="Calibri"/>
                <w:sz w:val="18"/>
                <w:szCs w:val="18"/>
              </w:rPr>
              <w:t>Высокий</w:t>
            </w:r>
          </w:p>
        </w:tc>
      </w:tr>
      <w:tr w:rsidR="00045920" w:rsidRPr="00395CC5" w14:paraId="7DD443DF" w14:textId="77777777" w:rsidTr="006C04D6">
        <w:trPr>
          <w:trHeight w:val="57"/>
          <w:jc w:val="right"/>
        </w:trPr>
        <w:tc>
          <w:tcPr>
            <w:tcW w:w="2255" w:type="dxa"/>
            <w:vMerge w:val="restart"/>
          </w:tcPr>
          <w:p w14:paraId="51E709BB" w14:textId="77777777" w:rsidR="00045920" w:rsidRPr="00395CC5" w:rsidRDefault="00045920">
            <w:pPr>
              <w:numPr>
                <w:ilvl w:val="0"/>
                <w:numId w:val="6"/>
              </w:numPr>
              <w:spacing w:before="40" w:after="40"/>
              <w:ind w:left="318" w:right="57" w:hanging="284"/>
              <w:rPr>
                <w:rFonts w:eastAsia="Calibri"/>
                <w:sz w:val="18"/>
                <w:szCs w:val="18"/>
              </w:rPr>
            </w:pPr>
            <w:r w:rsidRPr="00395CC5">
              <w:rPr>
                <w:rFonts w:eastAsia="Calibri"/>
                <w:sz w:val="18"/>
                <w:szCs w:val="18"/>
              </w:rPr>
              <w:t>Работа по совершенствованию функционирования процедуры предварительного обоснованного согласия</w:t>
            </w:r>
          </w:p>
        </w:tc>
        <w:tc>
          <w:tcPr>
            <w:tcW w:w="3274" w:type="dxa"/>
          </w:tcPr>
          <w:p w14:paraId="276D24ED" w14:textId="77777777" w:rsidR="00045920" w:rsidRPr="00395CC5" w:rsidRDefault="00045920">
            <w:pPr>
              <w:numPr>
                <w:ilvl w:val="0"/>
                <w:numId w:val="5"/>
              </w:numPr>
              <w:spacing w:before="40" w:after="40"/>
              <w:ind w:left="204" w:right="57" w:hanging="215"/>
              <w:rPr>
                <w:rFonts w:eastAsia="Calibri"/>
                <w:bCs/>
                <w:sz w:val="18"/>
                <w:szCs w:val="18"/>
              </w:rPr>
            </w:pPr>
            <w:r w:rsidRPr="00395CC5">
              <w:rPr>
                <w:rFonts w:eastAsia="Calibri"/>
                <w:sz w:val="18"/>
                <w:szCs w:val="18"/>
              </w:rPr>
              <w:t>Рассмотрение вопроса о сборе и обобщении информации о трудностях в осуществлении процедуры предварительного обоснованного согласия, а также о передовых методах, возможных подходах, инициативах и мнениях в части совершенствования функционирования процедуры.</w:t>
            </w:r>
          </w:p>
        </w:tc>
        <w:tc>
          <w:tcPr>
            <w:tcW w:w="1842" w:type="dxa"/>
          </w:tcPr>
          <w:p w14:paraId="212E5158"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БК-15/3</w:t>
            </w:r>
          </w:p>
        </w:tc>
        <w:tc>
          <w:tcPr>
            <w:tcW w:w="936" w:type="dxa"/>
          </w:tcPr>
          <w:p w14:paraId="08F36E1F"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479210BF" w14:textId="77777777" w:rsidTr="006C04D6">
        <w:trPr>
          <w:trHeight w:val="57"/>
          <w:jc w:val="right"/>
        </w:trPr>
        <w:tc>
          <w:tcPr>
            <w:tcW w:w="2255" w:type="dxa"/>
            <w:vMerge/>
            <w:tcBorders>
              <w:bottom w:val="single" w:sz="4" w:space="0" w:color="auto"/>
            </w:tcBorders>
          </w:tcPr>
          <w:p w14:paraId="533CAD15" w14:textId="77777777" w:rsidR="00045920" w:rsidRPr="00395CC5" w:rsidRDefault="00045920" w:rsidP="006C04D6">
            <w:pPr>
              <w:spacing w:before="40" w:after="40"/>
              <w:ind w:right="57"/>
              <w:rPr>
                <w:rFonts w:eastAsia="Calibri"/>
                <w:sz w:val="18"/>
                <w:szCs w:val="18"/>
                <w:lang w:val="en-GB"/>
              </w:rPr>
            </w:pPr>
          </w:p>
        </w:tc>
        <w:tc>
          <w:tcPr>
            <w:tcW w:w="3274" w:type="dxa"/>
            <w:tcBorders>
              <w:bottom w:val="single" w:sz="4" w:space="0" w:color="auto"/>
            </w:tcBorders>
          </w:tcPr>
          <w:p w14:paraId="59C8EE32" w14:textId="77777777" w:rsidR="00045920" w:rsidRPr="00395CC5" w:rsidRDefault="00045920">
            <w:pPr>
              <w:numPr>
                <w:ilvl w:val="0"/>
                <w:numId w:val="5"/>
              </w:numPr>
              <w:spacing w:before="40" w:after="40"/>
              <w:ind w:left="208" w:right="57" w:hanging="218"/>
              <w:rPr>
                <w:rFonts w:eastAsia="Calibri"/>
                <w:bCs/>
                <w:sz w:val="18"/>
                <w:szCs w:val="18"/>
              </w:rPr>
            </w:pPr>
            <w:r w:rsidRPr="00395CC5">
              <w:rPr>
                <w:rFonts w:eastAsia="Calibri"/>
                <w:sz w:val="18"/>
                <w:szCs w:val="18"/>
              </w:rPr>
              <w:t>Разработка проекта рекомендаций по итогам рассмотрения РГОС свода информации в обобщенном виде, о котором говорится в пункте 1, для рассмотрения Конференцией Сторон на ее шестнадцатом совещании.</w:t>
            </w:r>
          </w:p>
        </w:tc>
        <w:tc>
          <w:tcPr>
            <w:tcW w:w="1842" w:type="dxa"/>
            <w:tcBorders>
              <w:bottom w:val="single" w:sz="4" w:space="0" w:color="auto"/>
            </w:tcBorders>
          </w:tcPr>
          <w:p w14:paraId="0C66DFC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БК-15/3</w:t>
            </w:r>
          </w:p>
        </w:tc>
        <w:tc>
          <w:tcPr>
            <w:tcW w:w="936" w:type="dxa"/>
            <w:tcBorders>
              <w:bottom w:val="single" w:sz="4" w:space="0" w:color="auto"/>
            </w:tcBorders>
          </w:tcPr>
          <w:p w14:paraId="61A30F62"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18AC46F8" w14:textId="77777777" w:rsidTr="006C04D6">
        <w:trPr>
          <w:trHeight w:val="57"/>
          <w:jc w:val="right"/>
        </w:trPr>
        <w:tc>
          <w:tcPr>
            <w:tcW w:w="8307" w:type="dxa"/>
            <w:gridSpan w:val="4"/>
          </w:tcPr>
          <w:p w14:paraId="499949AD" w14:textId="77777777" w:rsidR="00045920" w:rsidRPr="00395CC5" w:rsidRDefault="00045920">
            <w:pPr>
              <w:numPr>
                <w:ilvl w:val="0"/>
                <w:numId w:val="7"/>
              </w:numPr>
              <w:spacing w:before="40" w:after="40"/>
              <w:ind w:left="318" w:hanging="284"/>
              <w:rPr>
                <w:rFonts w:eastAsia="Calibri"/>
                <w:sz w:val="18"/>
                <w:szCs w:val="18"/>
                <w:lang w:val="en-US"/>
              </w:rPr>
            </w:pPr>
            <w:r w:rsidRPr="00395CC5">
              <w:rPr>
                <w:rFonts w:eastAsia="Calibri"/>
                <w:b/>
                <w:bCs/>
                <w:sz w:val="18"/>
                <w:szCs w:val="18"/>
              </w:rPr>
              <w:t>Научные и технические вопросы</w:t>
            </w:r>
          </w:p>
        </w:tc>
      </w:tr>
      <w:tr w:rsidR="00045920" w:rsidRPr="00395CC5" w14:paraId="0CE8CFD7" w14:textId="77777777" w:rsidTr="006C04D6">
        <w:trPr>
          <w:trHeight w:val="57"/>
          <w:jc w:val="right"/>
        </w:trPr>
        <w:tc>
          <w:tcPr>
            <w:tcW w:w="2255" w:type="dxa"/>
            <w:vMerge w:val="restart"/>
          </w:tcPr>
          <w:p w14:paraId="242B58C2" w14:textId="77777777" w:rsidR="00045920" w:rsidRPr="00395CC5" w:rsidRDefault="00045920">
            <w:pPr>
              <w:numPr>
                <w:ilvl w:val="0"/>
                <w:numId w:val="12"/>
              </w:numPr>
              <w:spacing w:before="40" w:after="40"/>
              <w:ind w:left="318" w:right="57" w:hanging="284"/>
              <w:rPr>
                <w:rFonts w:eastAsia="Calibri"/>
                <w:sz w:val="18"/>
                <w:szCs w:val="18"/>
                <w:lang w:val="en-US"/>
              </w:rPr>
            </w:pPr>
            <w:r w:rsidRPr="00395CC5">
              <w:rPr>
                <w:rFonts w:eastAsia="Calibri"/>
                <w:sz w:val="18"/>
                <w:szCs w:val="18"/>
              </w:rPr>
              <w:t>Технические руководящие принципы</w:t>
            </w:r>
          </w:p>
        </w:tc>
        <w:tc>
          <w:tcPr>
            <w:tcW w:w="3274" w:type="dxa"/>
          </w:tcPr>
          <w:p w14:paraId="2DF8DAF3" w14:textId="77777777" w:rsidR="00045920" w:rsidRPr="00395CC5" w:rsidRDefault="00045920">
            <w:pPr>
              <w:numPr>
                <w:ilvl w:val="0"/>
                <w:numId w:val="11"/>
              </w:numPr>
              <w:spacing w:before="40" w:after="40"/>
              <w:ind w:left="208" w:right="57" w:hanging="218"/>
              <w:rPr>
                <w:rFonts w:eastAsia="Calibri"/>
                <w:sz w:val="18"/>
                <w:szCs w:val="18"/>
              </w:rPr>
            </w:pPr>
            <w:r w:rsidRPr="00395CC5">
              <w:rPr>
                <w:rFonts w:eastAsia="Calibri"/>
                <w:sz w:val="18"/>
                <w:szCs w:val="18"/>
              </w:rPr>
              <w:t>Рассмотрение замечаний и информации, относящихся к обзору установленных в предварительном порядке значений низкого содержания стойких органических загрязнителей в рамках общих технических руководящих принципов, о которых говорится в решении БК-15/6, и других технических руководящих принципов, по мере целесообразности.</w:t>
            </w:r>
          </w:p>
        </w:tc>
        <w:tc>
          <w:tcPr>
            <w:tcW w:w="1842" w:type="dxa"/>
          </w:tcPr>
          <w:p w14:paraId="3EF4794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БК-15/6</w:t>
            </w:r>
          </w:p>
        </w:tc>
        <w:tc>
          <w:tcPr>
            <w:tcW w:w="936" w:type="dxa"/>
          </w:tcPr>
          <w:p w14:paraId="43DCE92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408F21AD" w14:textId="77777777" w:rsidTr="006C04D6">
        <w:trPr>
          <w:trHeight w:val="57"/>
          <w:jc w:val="right"/>
        </w:trPr>
        <w:tc>
          <w:tcPr>
            <w:tcW w:w="2255" w:type="dxa"/>
            <w:vMerge/>
          </w:tcPr>
          <w:p w14:paraId="5A7A22B3" w14:textId="77777777" w:rsidR="00045920" w:rsidRPr="00395CC5" w:rsidRDefault="00045920" w:rsidP="006C04D6">
            <w:pPr>
              <w:spacing w:before="40" w:after="40"/>
              <w:ind w:left="57" w:right="57"/>
              <w:rPr>
                <w:rFonts w:eastAsia="Calibri"/>
                <w:sz w:val="18"/>
                <w:szCs w:val="18"/>
                <w:lang w:val="en-GB"/>
              </w:rPr>
            </w:pPr>
          </w:p>
        </w:tc>
        <w:tc>
          <w:tcPr>
            <w:tcW w:w="3274" w:type="dxa"/>
          </w:tcPr>
          <w:p w14:paraId="1A9224B1" w14:textId="77777777" w:rsidR="00045920" w:rsidRPr="00395CC5" w:rsidRDefault="00045920">
            <w:pPr>
              <w:numPr>
                <w:ilvl w:val="0"/>
                <w:numId w:val="11"/>
              </w:numPr>
              <w:spacing w:before="40" w:after="40"/>
              <w:ind w:left="208" w:right="57" w:hanging="218"/>
              <w:rPr>
                <w:rFonts w:eastAsia="Calibri"/>
                <w:sz w:val="18"/>
                <w:szCs w:val="18"/>
              </w:rPr>
            </w:pPr>
            <w:r w:rsidRPr="00395CC5">
              <w:rPr>
                <w:rFonts w:eastAsia="Calibri"/>
                <w:sz w:val="18"/>
                <w:szCs w:val="18"/>
              </w:rPr>
              <w:t xml:space="preserve">Обновление общих технических руководящих принципов экологически обоснованного регулирования отходов, состоящих из стойких органических загрязнителей, содержащих их или загрязненных ими, технических руководящих принципов в отношении перфтороктановой </w:t>
            </w:r>
            <w:r w:rsidRPr="00395CC5">
              <w:rPr>
                <w:rFonts w:eastAsia="Calibri"/>
                <w:sz w:val="18"/>
                <w:szCs w:val="18"/>
              </w:rPr>
              <w:lastRenderedPageBreak/>
              <w:t>сульфоновой кислоты, ее солей и перфтороктанового сульфонилфторида и перфтороктановой кислоты (ПФОК), ее солей и родственных ПФОК соединений с целью включения перфторгексановой сульфоновой кислоты (ПФГСК), ее солей и родственных ПФГСК соединений, принимая во внимание решение СК</w:t>
            </w:r>
            <w:r>
              <w:rPr>
                <w:rFonts w:eastAsia="Calibri"/>
                <w:sz w:val="18"/>
                <w:szCs w:val="18"/>
              </w:rPr>
              <w:noBreakHyphen/>
            </w:r>
            <w:r w:rsidRPr="00395CC5">
              <w:rPr>
                <w:rFonts w:eastAsia="Calibri"/>
                <w:sz w:val="18"/>
                <w:szCs w:val="18"/>
              </w:rPr>
              <w:t>10/9 Конференции Сторон Стокгольмской конвенции, включая следующее:</w:t>
            </w:r>
          </w:p>
          <w:p w14:paraId="739650D9" w14:textId="77777777" w:rsidR="00045920" w:rsidRPr="00395CC5" w:rsidRDefault="00045920">
            <w:pPr>
              <w:keepNext/>
              <w:keepLines/>
              <w:numPr>
                <w:ilvl w:val="0"/>
                <w:numId w:val="8"/>
              </w:numPr>
              <w:spacing w:before="40" w:after="40"/>
              <w:ind w:left="465" w:right="57" w:hanging="284"/>
              <w:rPr>
                <w:rFonts w:eastAsia="Batang"/>
                <w:sz w:val="18"/>
                <w:szCs w:val="18"/>
              </w:rPr>
            </w:pPr>
            <w:r w:rsidRPr="00395CC5">
              <w:rPr>
                <w:rFonts w:eastAsia="Calibri"/>
                <w:sz w:val="18"/>
                <w:szCs w:val="18"/>
              </w:rPr>
              <w:t xml:space="preserve">установление уровней уничтожения и необратимого преобразования химических веществ, необходимых для обеспечения того, чтобы после удаления они не проявляли свойств стойких органических загрязнителей, как указано в пункте 1 приложения D к Стокгольмской конвенции; </w:t>
            </w:r>
          </w:p>
          <w:p w14:paraId="68A877A9" w14:textId="77777777" w:rsidR="00045920" w:rsidRPr="00395CC5" w:rsidRDefault="00045920">
            <w:pPr>
              <w:numPr>
                <w:ilvl w:val="0"/>
                <w:numId w:val="8"/>
              </w:numPr>
              <w:spacing w:before="40" w:after="40"/>
              <w:ind w:left="465" w:right="57" w:hanging="284"/>
              <w:rPr>
                <w:rFonts w:eastAsia="Calibri"/>
                <w:sz w:val="18"/>
                <w:szCs w:val="18"/>
              </w:rPr>
            </w:pPr>
            <w:r w:rsidRPr="00395CC5">
              <w:rPr>
                <w:rFonts w:eastAsia="Calibri"/>
                <w:sz w:val="18"/>
                <w:szCs w:val="18"/>
              </w:rPr>
              <w:t xml:space="preserve">определение того, какие методы удаления представляют собой экологически обоснованное удаление, как указано в пункте 1 d) ii) статьи 6 Стокгольмской конвенции; </w:t>
            </w:r>
          </w:p>
          <w:p w14:paraId="22037EB7" w14:textId="77777777" w:rsidR="00045920" w:rsidRPr="00395CC5" w:rsidRDefault="00045920">
            <w:pPr>
              <w:numPr>
                <w:ilvl w:val="0"/>
                <w:numId w:val="8"/>
              </w:numPr>
              <w:spacing w:before="40" w:after="40"/>
              <w:ind w:left="475" w:right="58" w:hanging="288"/>
              <w:rPr>
                <w:rFonts w:eastAsia="Calibri"/>
                <w:sz w:val="18"/>
                <w:szCs w:val="18"/>
              </w:rPr>
            </w:pPr>
            <w:r w:rsidRPr="00395CC5">
              <w:rPr>
                <w:rFonts w:eastAsia="Calibri"/>
                <w:sz w:val="18"/>
                <w:szCs w:val="18"/>
              </w:rPr>
              <w:t>работать над установлением, при необходимости, уровней концентрации для определения для этих химических веществ низкого содержания стойких органических загрязнителей, о котором говорится в подпункте 1 d) ii) статьи 6 Стокгольмской конвенции.</w:t>
            </w:r>
          </w:p>
        </w:tc>
        <w:tc>
          <w:tcPr>
            <w:tcW w:w="1842" w:type="dxa"/>
          </w:tcPr>
          <w:p w14:paraId="7B20F0AB"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lastRenderedPageBreak/>
              <w:t>Решение БК-15/6</w:t>
            </w:r>
          </w:p>
        </w:tc>
        <w:tc>
          <w:tcPr>
            <w:tcW w:w="936" w:type="dxa"/>
          </w:tcPr>
          <w:p w14:paraId="39BDC72F"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0841807E" w14:textId="77777777" w:rsidTr="006C04D6">
        <w:trPr>
          <w:trHeight w:val="57"/>
          <w:jc w:val="right"/>
        </w:trPr>
        <w:tc>
          <w:tcPr>
            <w:tcW w:w="2255" w:type="dxa"/>
            <w:vMerge/>
          </w:tcPr>
          <w:p w14:paraId="4E0BCE40" w14:textId="77777777" w:rsidR="00045920" w:rsidRPr="00395CC5" w:rsidRDefault="00045920" w:rsidP="006C04D6">
            <w:pPr>
              <w:spacing w:before="40" w:after="40"/>
              <w:ind w:left="57" w:right="57"/>
              <w:rPr>
                <w:rFonts w:eastAsia="Calibri"/>
                <w:sz w:val="18"/>
                <w:szCs w:val="18"/>
                <w:lang w:val="en-GB"/>
              </w:rPr>
            </w:pPr>
          </w:p>
        </w:tc>
        <w:tc>
          <w:tcPr>
            <w:tcW w:w="3274" w:type="dxa"/>
          </w:tcPr>
          <w:p w14:paraId="35F45660" w14:textId="77777777" w:rsidR="00045920" w:rsidRPr="00395CC5" w:rsidRDefault="00045920">
            <w:pPr>
              <w:numPr>
                <w:ilvl w:val="0"/>
                <w:numId w:val="11"/>
              </w:numPr>
              <w:spacing w:before="40" w:after="40"/>
              <w:ind w:left="202" w:right="58" w:hanging="216"/>
              <w:rPr>
                <w:rFonts w:eastAsia="Calibri"/>
                <w:sz w:val="18"/>
                <w:szCs w:val="18"/>
              </w:rPr>
            </w:pPr>
            <w:r w:rsidRPr="00395CC5">
              <w:rPr>
                <w:rFonts w:eastAsia="Calibri"/>
                <w:sz w:val="18"/>
                <w:szCs w:val="18"/>
              </w:rPr>
              <w:t>Рассмотрение доклада о ходе осуществления решения БК-15/7 о технических руководящих принципах трансграничной перевозки электротехнических и электронных отходов и бывшего в употреблении электротехнического и электронного оборудования, в частности, касающихся проведения различия между отходами и неотходами в соответствии с Базельской конвенцией.</w:t>
            </w:r>
          </w:p>
        </w:tc>
        <w:tc>
          <w:tcPr>
            <w:tcW w:w="1842" w:type="dxa"/>
          </w:tcPr>
          <w:p w14:paraId="79A274A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БК-15/7</w:t>
            </w:r>
          </w:p>
        </w:tc>
        <w:tc>
          <w:tcPr>
            <w:tcW w:w="936" w:type="dxa"/>
          </w:tcPr>
          <w:p w14:paraId="6861BAA0"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2B19034C" w14:textId="77777777" w:rsidTr="006C04D6">
        <w:trPr>
          <w:trHeight w:val="57"/>
          <w:jc w:val="right"/>
        </w:trPr>
        <w:tc>
          <w:tcPr>
            <w:tcW w:w="2255" w:type="dxa"/>
            <w:vMerge/>
          </w:tcPr>
          <w:p w14:paraId="53EB189F" w14:textId="77777777" w:rsidR="00045920" w:rsidRPr="00395CC5" w:rsidRDefault="00045920" w:rsidP="006C04D6">
            <w:pPr>
              <w:spacing w:before="40" w:after="40"/>
              <w:ind w:left="57" w:right="57"/>
              <w:rPr>
                <w:rFonts w:eastAsia="Calibri"/>
                <w:sz w:val="18"/>
                <w:szCs w:val="18"/>
                <w:lang w:val="en-GB"/>
              </w:rPr>
            </w:pPr>
          </w:p>
        </w:tc>
        <w:tc>
          <w:tcPr>
            <w:tcW w:w="3274" w:type="dxa"/>
          </w:tcPr>
          <w:p w14:paraId="7D1C6419" w14:textId="77777777" w:rsidR="00045920" w:rsidRPr="00395CC5" w:rsidRDefault="00045920">
            <w:pPr>
              <w:numPr>
                <w:ilvl w:val="0"/>
                <w:numId w:val="11"/>
              </w:numPr>
              <w:spacing w:before="40" w:after="40"/>
              <w:ind w:left="202" w:right="58" w:hanging="216"/>
              <w:rPr>
                <w:rFonts w:eastAsia="Calibri"/>
                <w:sz w:val="18"/>
                <w:szCs w:val="18"/>
              </w:rPr>
            </w:pPr>
            <w:r w:rsidRPr="00395CC5">
              <w:rPr>
                <w:rFonts w:eastAsia="Calibri"/>
                <w:sz w:val="18"/>
                <w:szCs w:val="18"/>
              </w:rPr>
              <w:t>Технические руководящие принципы экологически обоснованного регулирования пластиковых отходов</w:t>
            </w:r>
            <w:r>
              <w:rPr>
                <w:rFonts w:eastAsia="Calibri"/>
                <w:sz w:val="18"/>
                <w:szCs w:val="18"/>
              </w:rPr>
              <w:t>.</w:t>
            </w:r>
          </w:p>
        </w:tc>
        <w:tc>
          <w:tcPr>
            <w:tcW w:w="1842" w:type="dxa"/>
          </w:tcPr>
          <w:p w14:paraId="4539193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БК-15/10</w:t>
            </w:r>
          </w:p>
        </w:tc>
        <w:tc>
          <w:tcPr>
            <w:tcW w:w="936" w:type="dxa"/>
          </w:tcPr>
          <w:p w14:paraId="3A88BF20"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1A1226A1" w14:textId="77777777" w:rsidTr="006C04D6">
        <w:trPr>
          <w:trHeight w:val="963"/>
          <w:jc w:val="right"/>
        </w:trPr>
        <w:tc>
          <w:tcPr>
            <w:tcW w:w="2255" w:type="dxa"/>
            <w:vMerge/>
          </w:tcPr>
          <w:p w14:paraId="79A037D3" w14:textId="77777777" w:rsidR="00045920" w:rsidRPr="00395CC5" w:rsidRDefault="00045920" w:rsidP="006C04D6">
            <w:pPr>
              <w:spacing w:before="40" w:after="40"/>
              <w:ind w:left="57" w:right="57"/>
              <w:rPr>
                <w:rFonts w:eastAsia="Calibri"/>
                <w:sz w:val="18"/>
                <w:szCs w:val="18"/>
                <w:lang w:val="en-GB"/>
              </w:rPr>
            </w:pPr>
          </w:p>
        </w:tc>
        <w:tc>
          <w:tcPr>
            <w:tcW w:w="3274" w:type="dxa"/>
          </w:tcPr>
          <w:p w14:paraId="128A82DB" w14:textId="77777777" w:rsidR="00045920" w:rsidRPr="00395CC5" w:rsidRDefault="00045920">
            <w:pPr>
              <w:numPr>
                <w:ilvl w:val="0"/>
                <w:numId w:val="11"/>
              </w:numPr>
              <w:spacing w:before="40" w:after="40"/>
              <w:ind w:left="202" w:right="58" w:hanging="216"/>
              <w:rPr>
                <w:rFonts w:eastAsia="Calibri"/>
                <w:sz w:val="18"/>
                <w:szCs w:val="18"/>
              </w:rPr>
            </w:pPr>
            <w:r w:rsidRPr="00395CC5">
              <w:rPr>
                <w:rFonts w:eastAsia="Calibri"/>
                <w:sz w:val="18"/>
                <w:szCs w:val="18"/>
              </w:rPr>
              <w:t xml:space="preserve">Рассмотрение проекта обновленных технических руководящих принципов экологически обоснованного регулирования </w:t>
            </w:r>
            <w:r w:rsidRPr="00395CC5">
              <w:rPr>
                <w:rFonts w:eastAsia="Calibri"/>
                <w:sz w:val="18"/>
                <w:szCs w:val="18"/>
              </w:rPr>
              <w:lastRenderedPageBreak/>
              <w:t xml:space="preserve">утильных свинцово-кислотных аккумуляторных батарей. </w:t>
            </w:r>
          </w:p>
        </w:tc>
        <w:tc>
          <w:tcPr>
            <w:tcW w:w="1842" w:type="dxa"/>
          </w:tcPr>
          <w:p w14:paraId="66CABFEE"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lastRenderedPageBreak/>
              <w:t>Решение БК-15/11</w:t>
            </w:r>
          </w:p>
        </w:tc>
        <w:tc>
          <w:tcPr>
            <w:tcW w:w="936" w:type="dxa"/>
          </w:tcPr>
          <w:p w14:paraId="0B320C65" w14:textId="77777777" w:rsidR="00045920" w:rsidRPr="00395CC5" w:rsidDel="00D4655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53C1BB4C" w14:textId="77777777" w:rsidTr="006C04D6">
        <w:trPr>
          <w:trHeight w:val="57"/>
          <w:jc w:val="right"/>
        </w:trPr>
        <w:tc>
          <w:tcPr>
            <w:tcW w:w="2255" w:type="dxa"/>
            <w:vMerge/>
          </w:tcPr>
          <w:p w14:paraId="4560C136" w14:textId="77777777" w:rsidR="00045920" w:rsidRPr="00395CC5" w:rsidRDefault="00045920" w:rsidP="006C04D6">
            <w:pPr>
              <w:spacing w:before="40" w:after="40"/>
              <w:ind w:left="57" w:right="57"/>
              <w:rPr>
                <w:rFonts w:eastAsia="Calibri"/>
                <w:sz w:val="18"/>
                <w:szCs w:val="18"/>
                <w:lang w:val="en-GB"/>
              </w:rPr>
            </w:pPr>
          </w:p>
        </w:tc>
        <w:tc>
          <w:tcPr>
            <w:tcW w:w="3274" w:type="dxa"/>
          </w:tcPr>
          <w:p w14:paraId="2BE0FC7A" w14:textId="77777777" w:rsidR="00045920" w:rsidRPr="00395CC5" w:rsidRDefault="00045920">
            <w:pPr>
              <w:numPr>
                <w:ilvl w:val="0"/>
                <w:numId w:val="11"/>
              </w:numPr>
              <w:spacing w:before="40" w:after="40"/>
              <w:ind w:left="204" w:right="57" w:hanging="215"/>
              <w:rPr>
                <w:rFonts w:eastAsia="Calibri"/>
                <w:sz w:val="18"/>
                <w:szCs w:val="18"/>
              </w:rPr>
            </w:pPr>
            <w:r w:rsidRPr="00395CC5">
              <w:rPr>
                <w:rFonts w:eastAsia="Calibri"/>
                <w:sz w:val="18"/>
                <w:szCs w:val="18"/>
              </w:rPr>
              <w:t>Рассмотрение проекта обновленных технических руководящих принципов экологически обоснованного регулирования использованных и утильных пневматических шин.</w:t>
            </w:r>
          </w:p>
        </w:tc>
        <w:tc>
          <w:tcPr>
            <w:tcW w:w="1842" w:type="dxa"/>
          </w:tcPr>
          <w:p w14:paraId="71428F36"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БК-15/15</w:t>
            </w:r>
          </w:p>
        </w:tc>
        <w:tc>
          <w:tcPr>
            <w:tcW w:w="936" w:type="dxa"/>
          </w:tcPr>
          <w:p w14:paraId="217D01FB"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0DC36770" w14:textId="77777777" w:rsidTr="006C04D6">
        <w:trPr>
          <w:trHeight w:val="57"/>
          <w:jc w:val="right"/>
        </w:trPr>
        <w:tc>
          <w:tcPr>
            <w:tcW w:w="2255" w:type="dxa"/>
            <w:vMerge/>
            <w:tcBorders>
              <w:bottom w:val="single" w:sz="4" w:space="0" w:color="auto"/>
            </w:tcBorders>
          </w:tcPr>
          <w:p w14:paraId="4A3B2687" w14:textId="77777777" w:rsidR="00045920" w:rsidRPr="00395CC5" w:rsidRDefault="00045920" w:rsidP="006C04D6">
            <w:pPr>
              <w:spacing w:before="40" w:after="40"/>
              <w:ind w:left="57" w:right="57"/>
              <w:rPr>
                <w:rFonts w:eastAsia="Calibri"/>
                <w:sz w:val="18"/>
                <w:szCs w:val="18"/>
                <w:lang w:val="en-GB"/>
              </w:rPr>
            </w:pPr>
          </w:p>
        </w:tc>
        <w:tc>
          <w:tcPr>
            <w:tcW w:w="3274" w:type="dxa"/>
            <w:tcBorders>
              <w:bottom w:val="single" w:sz="4" w:space="0" w:color="auto"/>
            </w:tcBorders>
          </w:tcPr>
          <w:p w14:paraId="5A41F3AA" w14:textId="77777777" w:rsidR="00045920" w:rsidRPr="00395CC5" w:rsidRDefault="00045920">
            <w:pPr>
              <w:numPr>
                <w:ilvl w:val="0"/>
                <w:numId w:val="11"/>
              </w:numPr>
              <w:spacing w:before="40" w:after="40"/>
              <w:ind w:left="202" w:right="58" w:hanging="216"/>
              <w:rPr>
                <w:rFonts w:eastAsia="Calibri"/>
                <w:sz w:val="18"/>
                <w:szCs w:val="18"/>
              </w:rPr>
            </w:pPr>
            <w:r w:rsidRPr="00395CC5">
              <w:rPr>
                <w:rFonts w:eastAsia="Calibri"/>
                <w:sz w:val="18"/>
                <w:szCs w:val="18"/>
              </w:rPr>
              <w:t>Рассмотрение необходимости разработки технических руководящих принципов экологически обоснованного регулирования отходов резины (позиция B3040) и обрезков и скрапа резины (позиция B3080).</w:t>
            </w:r>
          </w:p>
        </w:tc>
        <w:tc>
          <w:tcPr>
            <w:tcW w:w="1842" w:type="dxa"/>
            <w:tcBorders>
              <w:bottom w:val="single" w:sz="4" w:space="0" w:color="auto"/>
            </w:tcBorders>
          </w:tcPr>
          <w:p w14:paraId="2F2DACCE"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БК-15/15</w:t>
            </w:r>
          </w:p>
        </w:tc>
        <w:tc>
          <w:tcPr>
            <w:tcW w:w="936" w:type="dxa"/>
            <w:tcBorders>
              <w:bottom w:val="single" w:sz="4" w:space="0" w:color="auto"/>
            </w:tcBorders>
          </w:tcPr>
          <w:p w14:paraId="064B31D5"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58C43745" w14:textId="77777777" w:rsidTr="006C04D6">
        <w:trPr>
          <w:trHeight w:val="57"/>
          <w:jc w:val="right"/>
        </w:trPr>
        <w:tc>
          <w:tcPr>
            <w:tcW w:w="2255" w:type="dxa"/>
            <w:tcBorders>
              <w:top w:val="single" w:sz="4" w:space="0" w:color="auto"/>
              <w:bottom w:val="single" w:sz="4" w:space="0" w:color="auto"/>
            </w:tcBorders>
            <w:hideMark/>
          </w:tcPr>
          <w:p w14:paraId="1C63E9DD" w14:textId="77777777" w:rsidR="00045920" w:rsidRPr="00395CC5" w:rsidRDefault="00045920">
            <w:pPr>
              <w:numPr>
                <w:ilvl w:val="0"/>
                <w:numId w:val="12"/>
              </w:numPr>
              <w:spacing w:before="40" w:after="40"/>
              <w:ind w:left="318" w:right="57" w:hanging="284"/>
              <w:rPr>
                <w:rFonts w:eastAsia="Calibri"/>
                <w:sz w:val="18"/>
                <w:szCs w:val="18"/>
              </w:rPr>
            </w:pPr>
            <w:r w:rsidRPr="00395CC5">
              <w:rPr>
                <w:rFonts w:eastAsia="Calibri"/>
                <w:sz w:val="18"/>
                <w:szCs w:val="18"/>
              </w:rPr>
              <w:t>Электронный оборот документов об уведомлениях и перевозках</w:t>
            </w:r>
          </w:p>
        </w:tc>
        <w:tc>
          <w:tcPr>
            <w:tcW w:w="3274" w:type="dxa"/>
            <w:tcBorders>
              <w:top w:val="single" w:sz="4" w:space="0" w:color="auto"/>
              <w:bottom w:val="single" w:sz="4" w:space="0" w:color="auto"/>
            </w:tcBorders>
            <w:hideMark/>
          </w:tcPr>
          <w:p w14:paraId="400F8346" w14:textId="77777777" w:rsidR="00045920" w:rsidRPr="00395CC5" w:rsidRDefault="00045920" w:rsidP="006C04D6">
            <w:pPr>
              <w:spacing w:before="40" w:after="40"/>
              <w:ind w:left="57" w:right="57"/>
              <w:rPr>
                <w:rFonts w:eastAsia="Calibri"/>
                <w:sz w:val="18"/>
                <w:szCs w:val="18"/>
              </w:rPr>
            </w:pPr>
            <w:r w:rsidRPr="00395CC5">
              <w:rPr>
                <w:rFonts w:eastAsia="Calibri"/>
                <w:sz w:val="18"/>
                <w:szCs w:val="18"/>
              </w:rPr>
              <w:t>Рассмотрение доклада, содержащего рекомендации в отношении дальнейших этапов работы над электронным оборотом документов об уведомлениях и перевозках.</w:t>
            </w:r>
          </w:p>
        </w:tc>
        <w:tc>
          <w:tcPr>
            <w:tcW w:w="1842" w:type="dxa"/>
            <w:tcBorders>
              <w:top w:val="single" w:sz="4" w:space="0" w:color="auto"/>
              <w:bottom w:val="single" w:sz="4" w:space="0" w:color="auto"/>
            </w:tcBorders>
            <w:hideMark/>
          </w:tcPr>
          <w:p w14:paraId="2E2BF2EA"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БК-15/14</w:t>
            </w:r>
          </w:p>
        </w:tc>
        <w:tc>
          <w:tcPr>
            <w:tcW w:w="936" w:type="dxa"/>
            <w:tcBorders>
              <w:top w:val="single" w:sz="4" w:space="0" w:color="auto"/>
              <w:bottom w:val="single" w:sz="4" w:space="0" w:color="auto"/>
            </w:tcBorders>
            <w:hideMark/>
          </w:tcPr>
          <w:p w14:paraId="6712D6B8"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7DA72F0E" w14:textId="77777777" w:rsidTr="006C04D6">
        <w:trPr>
          <w:trHeight w:val="57"/>
          <w:jc w:val="right"/>
        </w:trPr>
        <w:tc>
          <w:tcPr>
            <w:tcW w:w="2255" w:type="dxa"/>
            <w:tcBorders>
              <w:top w:val="single" w:sz="4" w:space="0" w:color="auto"/>
              <w:bottom w:val="single" w:sz="4" w:space="0" w:color="auto"/>
            </w:tcBorders>
            <w:hideMark/>
          </w:tcPr>
          <w:p w14:paraId="7A893784" w14:textId="77777777" w:rsidR="00045920" w:rsidRPr="00395CC5" w:rsidRDefault="00045920">
            <w:pPr>
              <w:numPr>
                <w:ilvl w:val="0"/>
                <w:numId w:val="12"/>
              </w:numPr>
              <w:spacing w:before="40" w:after="40"/>
              <w:ind w:left="318" w:right="57" w:hanging="284"/>
              <w:rPr>
                <w:rFonts w:eastAsia="Calibri"/>
                <w:sz w:val="18"/>
                <w:szCs w:val="18"/>
              </w:rPr>
            </w:pPr>
            <w:r w:rsidRPr="00395CC5">
              <w:rPr>
                <w:rFonts w:eastAsia="Calibri"/>
                <w:sz w:val="18"/>
                <w:szCs w:val="18"/>
              </w:rPr>
              <w:t>Дальнейшее рассмотрение вопроса о пластиковых отходах</w:t>
            </w:r>
          </w:p>
        </w:tc>
        <w:tc>
          <w:tcPr>
            <w:tcW w:w="3274" w:type="dxa"/>
            <w:tcBorders>
              <w:top w:val="single" w:sz="4" w:space="0" w:color="auto"/>
              <w:bottom w:val="single" w:sz="4" w:space="0" w:color="auto"/>
            </w:tcBorders>
            <w:hideMark/>
          </w:tcPr>
          <w:p w14:paraId="7D23C0E7" w14:textId="77777777" w:rsidR="00045920" w:rsidRPr="00395CC5" w:rsidRDefault="00045920" w:rsidP="006C04D6">
            <w:pPr>
              <w:spacing w:before="40" w:after="40"/>
              <w:ind w:left="57" w:right="57"/>
              <w:rPr>
                <w:rFonts w:eastAsia="Batang"/>
                <w:color w:val="000000"/>
                <w:sz w:val="18"/>
                <w:szCs w:val="18"/>
              </w:rPr>
            </w:pPr>
            <w:r w:rsidRPr="00395CC5">
              <w:rPr>
                <w:rFonts w:eastAsia="Calibri"/>
                <w:sz w:val="18"/>
                <w:szCs w:val="18"/>
              </w:rPr>
              <w:t>Рассмотрение возможных дальнейших мероприятий, которые могут проводиться в рамках Базельской конвенции в связи с достижениями в области научных знаний и информации об окружающей среде и последствиях для здоровья человека, касающимися пластиковых отходов как источника загрязнения на суше, морского пластикового мусора и микрочастиц пластмасс.</w:t>
            </w:r>
          </w:p>
        </w:tc>
        <w:tc>
          <w:tcPr>
            <w:tcW w:w="1842" w:type="dxa"/>
            <w:tcBorders>
              <w:top w:val="single" w:sz="4" w:space="0" w:color="auto"/>
              <w:bottom w:val="single" w:sz="4" w:space="0" w:color="auto"/>
            </w:tcBorders>
            <w:hideMark/>
          </w:tcPr>
          <w:p w14:paraId="5FAC6B28"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БК-15/15</w:t>
            </w:r>
          </w:p>
        </w:tc>
        <w:tc>
          <w:tcPr>
            <w:tcW w:w="936" w:type="dxa"/>
            <w:tcBorders>
              <w:top w:val="single" w:sz="4" w:space="0" w:color="auto"/>
              <w:bottom w:val="single" w:sz="4" w:space="0" w:color="auto"/>
            </w:tcBorders>
            <w:hideMark/>
          </w:tcPr>
          <w:p w14:paraId="7497C681"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6DA80FEC" w14:textId="77777777" w:rsidTr="006C04D6">
        <w:trPr>
          <w:trHeight w:val="57"/>
          <w:jc w:val="right"/>
        </w:trPr>
        <w:tc>
          <w:tcPr>
            <w:tcW w:w="2255" w:type="dxa"/>
            <w:tcBorders>
              <w:top w:val="single" w:sz="4" w:space="0" w:color="auto"/>
              <w:bottom w:val="single" w:sz="4" w:space="0" w:color="auto"/>
            </w:tcBorders>
            <w:hideMark/>
          </w:tcPr>
          <w:p w14:paraId="11C53761" w14:textId="77777777" w:rsidR="00045920" w:rsidRPr="00395CC5" w:rsidRDefault="00045920">
            <w:pPr>
              <w:keepNext/>
              <w:keepLines/>
              <w:numPr>
                <w:ilvl w:val="0"/>
                <w:numId w:val="12"/>
              </w:numPr>
              <w:spacing w:before="40" w:after="40"/>
              <w:ind w:left="318" w:right="57" w:hanging="284"/>
              <w:rPr>
                <w:rFonts w:eastAsia="Calibri"/>
                <w:sz w:val="18"/>
                <w:szCs w:val="18"/>
                <w:lang w:val="en-US"/>
              </w:rPr>
            </w:pPr>
            <w:r w:rsidRPr="00395CC5">
              <w:rPr>
                <w:rFonts w:eastAsia="Calibri"/>
                <w:sz w:val="18"/>
                <w:szCs w:val="18"/>
              </w:rPr>
              <w:t>Отходы, содержащие наноматериалы</w:t>
            </w:r>
          </w:p>
        </w:tc>
        <w:tc>
          <w:tcPr>
            <w:tcW w:w="3274" w:type="dxa"/>
            <w:tcBorders>
              <w:top w:val="single" w:sz="4" w:space="0" w:color="auto"/>
              <w:bottom w:val="single" w:sz="4" w:space="0" w:color="auto"/>
            </w:tcBorders>
            <w:hideMark/>
          </w:tcPr>
          <w:p w14:paraId="55EA517D" w14:textId="77777777" w:rsidR="00045920" w:rsidRPr="00395CC5" w:rsidRDefault="00045920" w:rsidP="006C04D6">
            <w:pPr>
              <w:keepNext/>
              <w:keepLines/>
              <w:spacing w:before="40" w:after="40"/>
              <w:ind w:left="57" w:right="57"/>
              <w:rPr>
                <w:rFonts w:eastAsia="Calibri"/>
                <w:sz w:val="18"/>
                <w:szCs w:val="18"/>
              </w:rPr>
            </w:pPr>
            <w:r w:rsidRPr="00395CC5">
              <w:rPr>
                <w:rFonts w:eastAsia="Calibri"/>
                <w:sz w:val="18"/>
                <w:szCs w:val="18"/>
              </w:rPr>
              <w:t>Рассмотрение информации о деятельности, направленной на решение вопросов, касающихся отходов, содержащих наноматериалы.</w:t>
            </w:r>
          </w:p>
        </w:tc>
        <w:tc>
          <w:tcPr>
            <w:tcW w:w="1842" w:type="dxa"/>
            <w:tcBorders>
              <w:top w:val="single" w:sz="4" w:space="0" w:color="auto"/>
              <w:bottom w:val="single" w:sz="4" w:space="0" w:color="auto"/>
            </w:tcBorders>
            <w:hideMark/>
          </w:tcPr>
          <w:p w14:paraId="19450CAB" w14:textId="77777777" w:rsidR="00045920" w:rsidRPr="00395CC5" w:rsidRDefault="00045920" w:rsidP="006C04D6">
            <w:pPr>
              <w:keepNext/>
              <w:keepLines/>
              <w:spacing w:before="40" w:after="40"/>
              <w:rPr>
                <w:rFonts w:eastAsia="Calibri"/>
                <w:sz w:val="18"/>
                <w:szCs w:val="18"/>
                <w:lang w:val="en-US"/>
              </w:rPr>
            </w:pPr>
            <w:r w:rsidRPr="00395CC5">
              <w:rPr>
                <w:rFonts w:eastAsia="Calibri"/>
                <w:sz w:val="18"/>
                <w:szCs w:val="18"/>
              </w:rPr>
              <w:t>Решение БК-15/16</w:t>
            </w:r>
          </w:p>
        </w:tc>
        <w:tc>
          <w:tcPr>
            <w:tcW w:w="936" w:type="dxa"/>
            <w:tcBorders>
              <w:top w:val="single" w:sz="4" w:space="0" w:color="auto"/>
              <w:bottom w:val="single" w:sz="4" w:space="0" w:color="auto"/>
            </w:tcBorders>
            <w:hideMark/>
          </w:tcPr>
          <w:p w14:paraId="0903B0F3" w14:textId="77777777" w:rsidR="00045920" w:rsidRPr="00395CC5" w:rsidRDefault="00045920" w:rsidP="006C04D6">
            <w:pPr>
              <w:keepNext/>
              <w:keepLines/>
              <w:spacing w:before="40" w:after="40"/>
              <w:rPr>
                <w:rFonts w:eastAsia="Batang"/>
                <w:sz w:val="18"/>
                <w:szCs w:val="18"/>
                <w:lang w:val="en-US"/>
              </w:rPr>
            </w:pPr>
            <w:r w:rsidRPr="00395CC5">
              <w:rPr>
                <w:rFonts w:eastAsia="Calibri"/>
                <w:sz w:val="18"/>
                <w:szCs w:val="18"/>
              </w:rPr>
              <w:t>Средний</w:t>
            </w:r>
          </w:p>
        </w:tc>
      </w:tr>
      <w:tr w:rsidR="00045920" w:rsidRPr="00395CC5" w14:paraId="5D1A512B" w14:textId="77777777" w:rsidTr="006C04D6">
        <w:trPr>
          <w:trHeight w:val="57"/>
          <w:jc w:val="right"/>
        </w:trPr>
        <w:tc>
          <w:tcPr>
            <w:tcW w:w="2255" w:type="dxa"/>
            <w:tcBorders>
              <w:top w:val="single" w:sz="4" w:space="0" w:color="auto"/>
              <w:bottom w:val="single" w:sz="4" w:space="0" w:color="auto"/>
            </w:tcBorders>
          </w:tcPr>
          <w:p w14:paraId="6377D308" w14:textId="77777777" w:rsidR="00045920" w:rsidRPr="00395CC5" w:rsidRDefault="00045920">
            <w:pPr>
              <w:numPr>
                <w:ilvl w:val="0"/>
                <w:numId w:val="12"/>
              </w:numPr>
              <w:spacing w:before="40" w:after="40"/>
              <w:ind w:left="318" w:right="57" w:hanging="284"/>
              <w:rPr>
                <w:rFonts w:eastAsia="Calibri"/>
                <w:sz w:val="18"/>
                <w:szCs w:val="18"/>
              </w:rPr>
            </w:pPr>
            <w:r w:rsidRPr="00395CC5">
              <w:rPr>
                <w:rFonts w:eastAsia="Calibri"/>
                <w:sz w:val="18"/>
                <w:szCs w:val="18"/>
              </w:rPr>
              <w:t>Внесение поправок в приложения II, VIII и IX к Базельской конвенции</w:t>
            </w:r>
          </w:p>
        </w:tc>
        <w:tc>
          <w:tcPr>
            <w:tcW w:w="3274" w:type="dxa"/>
            <w:tcBorders>
              <w:top w:val="single" w:sz="4" w:space="0" w:color="auto"/>
              <w:bottom w:val="single" w:sz="4" w:space="0" w:color="auto"/>
            </w:tcBorders>
          </w:tcPr>
          <w:p w14:paraId="06E7D551" w14:textId="77777777" w:rsidR="00045920" w:rsidRPr="00395CC5" w:rsidRDefault="00045920" w:rsidP="006C04D6">
            <w:pPr>
              <w:spacing w:before="40" w:after="40"/>
              <w:ind w:left="57" w:right="57"/>
              <w:rPr>
                <w:rFonts w:eastAsia="Calibri"/>
                <w:sz w:val="18"/>
                <w:szCs w:val="18"/>
              </w:rPr>
            </w:pPr>
            <w:r w:rsidRPr="00395CC5">
              <w:rPr>
                <w:rFonts w:eastAsia="Calibri"/>
                <w:sz w:val="18"/>
                <w:szCs w:val="18"/>
              </w:rPr>
              <w:t>Рассмотрение необходимости обновления действующих руководств, технических руководящих принципов и фактологических справок для отражения корректировок в результате принятия поправок, касающихся э-отходов.</w:t>
            </w:r>
          </w:p>
        </w:tc>
        <w:tc>
          <w:tcPr>
            <w:tcW w:w="1842" w:type="dxa"/>
            <w:tcBorders>
              <w:top w:val="single" w:sz="4" w:space="0" w:color="auto"/>
              <w:bottom w:val="single" w:sz="4" w:space="0" w:color="auto"/>
            </w:tcBorders>
          </w:tcPr>
          <w:p w14:paraId="06EF3E20" w14:textId="77777777" w:rsidR="00045920" w:rsidRPr="00395CC5" w:rsidRDefault="00045920" w:rsidP="006C04D6">
            <w:pPr>
              <w:spacing w:before="40" w:after="40"/>
              <w:jc w:val="center"/>
              <w:rPr>
                <w:rFonts w:eastAsia="Calibri"/>
                <w:sz w:val="18"/>
                <w:szCs w:val="18"/>
                <w:lang w:val="en-US"/>
              </w:rPr>
            </w:pPr>
            <w:r w:rsidRPr="00395CC5">
              <w:rPr>
                <w:rFonts w:eastAsia="Calibri"/>
                <w:sz w:val="18"/>
                <w:szCs w:val="18"/>
              </w:rPr>
              <w:t>Решение БК-15/18</w:t>
            </w:r>
          </w:p>
        </w:tc>
        <w:tc>
          <w:tcPr>
            <w:tcW w:w="936" w:type="dxa"/>
            <w:tcBorders>
              <w:top w:val="single" w:sz="4" w:space="0" w:color="auto"/>
              <w:bottom w:val="single" w:sz="4" w:space="0" w:color="auto"/>
            </w:tcBorders>
          </w:tcPr>
          <w:p w14:paraId="232EFFDC"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06651CFA" w14:textId="77777777" w:rsidTr="006C04D6">
        <w:trPr>
          <w:trHeight w:val="57"/>
          <w:jc w:val="right"/>
        </w:trPr>
        <w:tc>
          <w:tcPr>
            <w:tcW w:w="2255" w:type="dxa"/>
            <w:tcBorders>
              <w:top w:val="single" w:sz="4" w:space="0" w:color="auto"/>
              <w:bottom w:val="single" w:sz="4" w:space="0" w:color="auto"/>
            </w:tcBorders>
          </w:tcPr>
          <w:p w14:paraId="55A8CBF1" w14:textId="77777777" w:rsidR="00045920" w:rsidRPr="00395CC5" w:rsidRDefault="00045920">
            <w:pPr>
              <w:numPr>
                <w:ilvl w:val="0"/>
                <w:numId w:val="12"/>
              </w:numPr>
              <w:spacing w:before="40" w:after="40"/>
              <w:ind w:left="318" w:right="57" w:hanging="284"/>
              <w:rPr>
                <w:rFonts w:eastAsia="Calibri"/>
                <w:sz w:val="18"/>
                <w:szCs w:val="18"/>
              </w:rPr>
            </w:pPr>
            <w:r w:rsidRPr="00395CC5">
              <w:rPr>
                <w:rFonts w:eastAsia="Calibri"/>
                <w:sz w:val="18"/>
                <w:szCs w:val="18"/>
              </w:rPr>
              <w:t>Внесение поправок в приложения II, VIII и IX к Базельской конвенции</w:t>
            </w:r>
          </w:p>
        </w:tc>
        <w:tc>
          <w:tcPr>
            <w:tcW w:w="3274" w:type="dxa"/>
            <w:tcBorders>
              <w:top w:val="single" w:sz="4" w:space="0" w:color="auto"/>
              <w:bottom w:val="single" w:sz="4" w:space="0" w:color="auto"/>
            </w:tcBorders>
          </w:tcPr>
          <w:p w14:paraId="47A4B6EA" w14:textId="77777777" w:rsidR="00045920" w:rsidRPr="00395CC5" w:rsidRDefault="00045920" w:rsidP="006C04D6">
            <w:pPr>
              <w:spacing w:before="40" w:after="40"/>
              <w:ind w:left="57" w:right="57"/>
              <w:rPr>
                <w:rFonts w:eastAsia="Calibri"/>
                <w:sz w:val="18"/>
                <w:szCs w:val="18"/>
              </w:rPr>
            </w:pPr>
            <w:r w:rsidRPr="00395CC5">
              <w:rPr>
                <w:rFonts w:eastAsia="Calibri"/>
                <w:sz w:val="18"/>
                <w:szCs w:val="18"/>
              </w:rPr>
              <w:t>Рассмотрение и анализ любых заявок о внесении изменений и любых корректировок в перечень отходов, содержащийся в приложениях VIII и IX к Базельской конвенции.</w:t>
            </w:r>
          </w:p>
        </w:tc>
        <w:tc>
          <w:tcPr>
            <w:tcW w:w="1842" w:type="dxa"/>
            <w:tcBorders>
              <w:top w:val="single" w:sz="4" w:space="0" w:color="auto"/>
              <w:bottom w:val="single" w:sz="4" w:space="0" w:color="auto"/>
            </w:tcBorders>
          </w:tcPr>
          <w:p w14:paraId="150A0B19" w14:textId="77777777" w:rsidR="00045920" w:rsidRPr="00395CC5" w:rsidRDefault="00045920" w:rsidP="006C04D6">
            <w:pPr>
              <w:spacing w:before="40" w:after="40"/>
              <w:jc w:val="center"/>
              <w:rPr>
                <w:rFonts w:eastAsia="Calibri"/>
                <w:sz w:val="18"/>
                <w:szCs w:val="18"/>
                <w:lang w:val="en-US"/>
              </w:rPr>
            </w:pPr>
            <w:r w:rsidRPr="00395CC5">
              <w:rPr>
                <w:rFonts w:eastAsia="Calibri"/>
                <w:sz w:val="18"/>
                <w:szCs w:val="18"/>
              </w:rPr>
              <w:t>Решение VIII/15</w:t>
            </w:r>
          </w:p>
        </w:tc>
        <w:tc>
          <w:tcPr>
            <w:tcW w:w="936" w:type="dxa"/>
            <w:tcBorders>
              <w:top w:val="single" w:sz="4" w:space="0" w:color="auto"/>
              <w:bottom w:val="single" w:sz="4" w:space="0" w:color="auto"/>
            </w:tcBorders>
          </w:tcPr>
          <w:p w14:paraId="3D587AA0"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7D8E13ED" w14:textId="77777777" w:rsidTr="006C04D6">
        <w:trPr>
          <w:trHeight w:val="57"/>
          <w:jc w:val="right"/>
        </w:trPr>
        <w:tc>
          <w:tcPr>
            <w:tcW w:w="8307" w:type="dxa"/>
            <w:gridSpan w:val="4"/>
            <w:tcBorders>
              <w:top w:val="single" w:sz="4" w:space="0" w:color="auto"/>
            </w:tcBorders>
            <w:hideMark/>
          </w:tcPr>
          <w:p w14:paraId="701555EB" w14:textId="77777777" w:rsidR="00045920" w:rsidRPr="00395CC5" w:rsidRDefault="00045920">
            <w:pPr>
              <w:numPr>
                <w:ilvl w:val="0"/>
                <w:numId w:val="7"/>
              </w:numPr>
              <w:spacing w:before="40" w:after="40"/>
              <w:ind w:left="318" w:hanging="284"/>
              <w:rPr>
                <w:rFonts w:eastAsia="Calibri"/>
                <w:b/>
                <w:iCs/>
                <w:sz w:val="18"/>
                <w:szCs w:val="18"/>
              </w:rPr>
            </w:pPr>
            <w:r w:rsidRPr="00395CC5">
              <w:rPr>
                <w:rFonts w:eastAsia="Calibri"/>
                <w:b/>
                <w:bCs/>
                <w:sz w:val="18"/>
                <w:szCs w:val="18"/>
              </w:rPr>
              <w:t>Правовые вопросы и вопросы руководства и обеспечения соблюдения</w:t>
            </w:r>
            <w:r w:rsidRPr="00395CC5">
              <w:rPr>
                <w:rFonts w:eastAsia="Calibri"/>
                <w:sz w:val="18"/>
                <w:szCs w:val="18"/>
              </w:rPr>
              <w:t xml:space="preserve"> </w:t>
            </w:r>
          </w:p>
        </w:tc>
      </w:tr>
      <w:tr w:rsidR="00045920" w:rsidRPr="00395CC5" w14:paraId="7C079C77" w14:textId="77777777" w:rsidTr="006C04D6">
        <w:trPr>
          <w:trHeight w:val="57"/>
          <w:jc w:val="right"/>
        </w:trPr>
        <w:tc>
          <w:tcPr>
            <w:tcW w:w="2255" w:type="dxa"/>
            <w:vMerge w:val="restart"/>
            <w:hideMark/>
          </w:tcPr>
          <w:p w14:paraId="4E9F592B" w14:textId="77777777" w:rsidR="00045920" w:rsidRPr="00395CC5" w:rsidRDefault="00045920">
            <w:pPr>
              <w:numPr>
                <w:ilvl w:val="0"/>
                <w:numId w:val="13"/>
              </w:numPr>
              <w:spacing w:before="40" w:after="40"/>
              <w:ind w:left="318" w:right="57" w:hanging="284"/>
              <w:rPr>
                <w:rFonts w:eastAsia="Calibri"/>
                <w:sz w:val="18"/>
                <w:szCs w:val="18"/>
              </w:rPr>
            </w:pPr>
            <w:r w:rsidRPr="00395CC5">
              <w:rPr>
                <w:rFonts w:eastAsia="Calibri"/>
                <w:sz w:val="18"/>
                <w:szCs w:val="18"/>
              </w:rPr>
              <w:t xml:space="preserve">Обеспечение дополнительной юридической четкости </w:t>
            </w:r>
          </w:p>
        </w:tc>
        <w:tc>
          <w:tcPr>
            <w:tcW w:w="3274" w:type="dxa"/>
            <w:hideMark/>
          </w:tcPr>
          <w:p w14:paraId="522C9A04" w14:textId="77777777" w:rsidR="00045920" w:rsidRPr="00395CC5" w:rsidRDefault="00045920">
            <w:pPr>
              <w:numPr>
                <w:ilvl w:val="0"/>
                <w:numId w:val="9"/>
              </w:numPr>
              <w:spacing w:before="40" w:after="40"/>
              <w:ind w:left="208" w:right="57" w:hanging="218"/>
              <w:rPr>
                <w:rFonts w:eastAsia="Calibri"/>
                <w:color w:val="000000"/>
                <w:sz w:val="18"/>
                <w:szCs w:val="18"/>
              </w:rPr>
            </w:pPr>
            <w:r w:rsidRPr="00395CC5">
              <w:rPr>
                <w:rFonts w:eastAsia="Calibri"/>
                <w:sz w:val="18"/>
                <w:szCs w:val="18"/>
              </w:rPr>
              <w:t xml:space="preserve">Рассмотрение предложений Европейского союза о внесении поправок в приложение IV и отдельные позиции в приложениях II и IX к Базельской конвенции, а </w:t>
            </w:r>
            <w:r w:rsidRPr="00395CC5">
              <w:rPr>
                <w:rFonts w:eastAsia="Calibri"/>
                <w:sz w:val="18"/>
                <w:szCs w:val="18"/>
              </w:rPr>
              <w:lastRenderedPageBreak/>
              <w:t>также рекомендации и выводы экспертной рабочей группы с учетом обсуждений, состоявшихся на пятнадцатом совещании Конференции Сторон, а также вынесение рекомендаций для рассмотрения Конференцией Сторон на ее шестнадцатом совещании.</w:t>
            </w:r>
          </w:p>
        </w:tc>
        <w:tc>
          <w:tcPr>
            <w:tcW w:w="1842" w:type="dxa"/>
            <w:hideMark/>
          </w:tcPr>
          <w:p w14:paraId="141D6BAA"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lastRenderedPageBreak/>
              <w:t>Решение БК-15/19</w:t>
            </w:r>
          </w:p>
        </w:tc>
        <w:tc>
          <w:tcPr>
            <w:tcW w:w="936" w:type="dxa"/>
            <w:hideMark/>
          </w:tcPr>
          <w:p w14:paraId="47B814ED"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2A9C5C3A" w14:textId="77777777" w:rsidTr="006C04D6">
        <w:trPr>
          <w:trHeight w:val="57"/>
          <w:jc w:val="right"/>
        </w:trPr>
        <w:tc>
          <w:tcPr>
            <w:tcW w:w="2255" w:type="dxa"/>
            <w:vMerge/>
            <w:tcBorders>
              <w:bottom w:val="single" w:sz="4" w:space="0" w:color="auto"/>
            </w:tcBorders>
          </w:tcPr>
          <w:p w14:paraId="4B0A6F4D" w14:textId="77777777" w:rsidR="00045920" w:rsidRPr="00395CC5" w:rsidRDefault="00045920" w:rsidP="006C04D6">
            <w:pPr>
              <w:spacing w:before="40" w:after="40"/>
              <w:ind w:right="57"/>
              <w:rPr>
                <w:rFonts w:eastAsia="Calibri"/>
                <w:sz w:val="18"/>
                <w:szCs w:val="18"/>
                <w:lang w:val="en-GB"/>
              </w:rPr>
            </w:pPr>
          </w:p>
        </w:tc>
        <w:tc>
          <w:tcPr>
            <w:tcW w:w="3274" w:type="dxa"/>
            <w:tcBorders>
              <w:bottom w:val="single" w:sz="4" w:space="0" w:color="auto"/>
            </w:tcBorders>
          </w:tcPr>
          <w:p w14:paraId="6A5CB05E" w14:textId="77777777" w:rsidR="00045920" w:rsidRPr="00395CC5" w:rsidRDefault="00045920">
            <w:pPr>
              <w:numPr>
                <w:ilvl w:val="0"/>
                <w:numId w:val="9"/>
              </w:numPr>
              <w:spacing w:before="40" w:after="40"/>
              <w:ind w:left="208" w:right="57" w:hanging="218"/>
              <w:rPr>
                <w:rFonts w:eastAsia="Calibri"/>
                <w:sz w:val="18"/>
                <w:szCs w:val="18"/>
              </w:rPr>
            </w:pPr>
            <w:r w:rsidRPr="00395CC5">
              <w:rPr>
                <w:rFonts w:eastAsia="Calibri"/>
                <w:sz w:val="18"/>
                <w:szCs w:val="18"/>
              </w:rPr>
              <w:t>Рассмотрение результатов обзора приложений I и III и вынесение рекомендаций для рассмотрения Конференцией Сторон на ее шестнадцатом совещании.</w:t>
            </w:r>
          </w:p>
        </w:tc>
        <w:tc>
          <w:tcPr>
            <w:tcW w:w="1842" w:type="dxa"/>
            <w:tcBorders>
              <w:bottom w:val="single" w:sz="4" w:space="0" w:color="auto"/>
            </w:tcBorders>
          </w:tcPr>
          <w:p w14:paraId="00E6E65C"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БК-15/19</w:t>
            </w:r>
          </w:p>
        </w:tc>
        <w:tc>
          <w:tcPr>
            <w:tcW w:w="936" w:type="dxa"/>
            <w:tcBorders>
              <w:bottom w:val="single" w:sz="4" w:space="0" w:color="auto"/>
            </w:tcBorders>
          </w:tcPr>
          <w:p w14:paraId="35201397"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Высокий</w:t>
            </w:r>
          </w:p>
        </w:tc>
      </w:tr>
      <w:tr w:rsidR="00045920" w:rsidRPr="00395CC5" w14:paraId="2C30B5C3" w14:textId="77777777" w:rsidTr="006C04D6">
        <w:trPr>
          <w:trHeight w:val="57"/>
          <w:jc w:val="right"/>
        </w:trPr>
        <w:tc>
          <w:tcPr>
            <w:tcW w:w="8307" w:type="dxa"/>
            <w:gridSpan w:val="4"/>
            <w:tcBorders>
              <w:top w:val="single" w:sz="4" w:space="0" w:color="auto"/>
            </w:tcBorders>
            <w:hideMark/>
          </w:tcPr>
          <w:p w14:paraId="4B8AF047" w14:textId="77777777" w:rsidR="00045920" w:rsidRPr="00395CC5" w:rsidRDefault="00045920">
            <w:pPr>
              <w:numPr>
                <w:ilvl w:val="0"/>
                <w:numId w:val="7"/>
              </w:numPr>
              <w:spacing w:before="40" w:after="40"/>
              <w:ind w:left="318" w:hanging="284"/>
              <w:rPr>
                <w:rFonts w:eastAsia="Calibri"/>
                <w:b/>
                <w:sz w:val="18"/>
                <w:szCs w:val="18"/>
                <w:lang w:val="en-US"/>
              </w:rPr>
            </w:pPr>
            <w:r w:rsidRPr="00395CC5">
              <w:rPr>
                <w:rFonts w:eastAsia="Calibri"/>
                <w:b/>
                <w:bCs/>
                <w:sz w:val="18"/>
                <w:szCs w:val="18"/>
              </w:rPr>
              <w:t>Международное сотрудничество и координация</w:t>
            </w:r>
            <w:r w:rsidRPr="00395CC5">
              <w:rPr>
                <w:rFonts w:eastAsia="Calibri"/>
                <w:sz w:val="18"/>
                <w:szCs w:val="18"/>
              </w:rPr>
              <w:t xml:space="preserve"> </w:t>
            </w:r>
          </w:p>
        </w:tc>
      </w:tr>
      <w:tr w:rsidR="00045920" w:rsidRPr="00395CC5" w14:paraId="58185B63" w14:textId="77777777" w:rsidTr="006C04D6">
        <w:trPr>
          <w:trHeight w:val="57"/>
          <w:jc w:val="right"/>
        </w:trPr>
        <w:tc>
          <w:tcPr>
            <w:tcW w:w="2255" w:type="dxa"/>
            <w:vMerge w:val="restart"/>
            <w:shd w:val="clear" w:color="auto" w:fill="auto"/>
            <w:hideMark/>
          </w:tcPr>
          <w:p w14:paraId="63B9D374" w14:textId="77777777" w:rsidR="00045920" w:rsidRPr="00395CC5" w:rsidRDefault="00045920">
            <w:pPr>
              <w:numPr>
                <w:ilvl w:val="0"/>
                <w:numId w:val="14"/>
              </w:numPr>
              <w:spacing w:before="40" w:after="40"/>
              <w:ind w:left="318" w:right="57" w:hanging="284"/>
              <w:rPr>
                <w:rFonts w:eastAsia="Calibri"/>
                <w:sz w:val="18"/>
                <w:szCs w:val="18"/>
              </w:rPr>
            </w:pPr>
            <w:r w:rsidRPr="00395CC5">
              <w:rPr>
                <w:rFonts w:eastAsia="Calibri"/>
                <w:sz w:val="18"/>
                <w:szCs w:val="18"/>
              </w:rPr>
              <w:t>Программа Базельской конвенции по развитию партнерств</w:t>
            </w:r>
          </w:p>
        </w:tc>
        <w:tc>
          <w:tcPr>
            <w:tcW w:w="3274" w:type="dxa"/>
            <w:shd w:val="clear" w:color="auto" w:fill="auto"/>
            <w:hideMark/>
          </w:tcPr>
          <w:p w14:paraId="6AF1EC45" w14:textId="77777777" w:rsidR="00045920" w:rsidRPr="00395CC5" w:rsidRDefault="00045920">
            <w:pPr>
              <w:numPr>
                <w:ilvl w:val="0"/>
                <w:numId w:val="10"/>
              </w:numPr>
              <w:spacing w:before="40" w:after="40"/>
              <w:ind w:left="208" w:right="57" w:hanging="218"/>
              <w:rPr>
                <w:rFonts w:eastAsia="Calibri"/>
                <w:sz w:val="18"/>
                <w:szCs w:val="18"/>
              </w:rPr>
            </w:pPr>
            <w:r w:rsidRPr="00395CC5">
              <w:rPr>
                <w:rFonts w:eastAsia="Calibri"/>
                <w:sz w:val="18"/>
                <w:szCs w:val="18"/>
              </w:rPr>
              <w:t xml:space="preserve">Рассмотрение хода выполнения программы работы рабочей группы Партнерства для действий по решению проблем, связанных с э-отходами, на двухгодичный период 2022-2023 годов и предоставление руководящих указаний в этом отношении. </w:t>
            </w:r>
          </w:p>
        </w:tc>
        <w:tc>
          <w:tcPr>
            <w:tcW w:w="1842" w:type="dxa"/>
            <w:hideMark/>
          </w:tcPr>
          <w:p w14:paraId="5E01F8D1"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БК-15/22</w:t>
            </w:r>
          </w:p>
        </w:tc>
        <w:tc>
          <w:tcPr>
            <w:tcW w:w="936" w:type="dxa"/>
            <w:hideMark/>
          </w:tcPr>
          <w:p w14:paraId="0CB35D8B"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591A1B85" w14:textId="77777777" w:rsidTr="006C04D6">
        <w:trPr>
          <w:trHeight w:val="57"/>
          <w:jc w:val="right"/>
        </w:trPr>
        <w:tc>
          <w:tcPr>
            <w:tcW w:w="2255" w:type="dxa"/>
            <w:vMerge/>
            <w:shd w:val="clear" w:color="auto" w:fill="auto"/>
          </w:tcPr>
          <w:p w14:paraId="3976C027" w14:textId="77777777" w:rsidR="00045920" w:rsidRPr="00395CC5" w:rsidRDefault="00045920" w:rsidP="006C04D6">
            <w:pPr>
              <w:spacing w:before="40" w:after="40"/>
              <w:ind w:left="316" w:right="57"/>
              <w:rPr>
                <w:rFonts w:eastAsia="Calibri"/>
                <w:sz w:val="18"/>
                <w:szCs w:val="18"/>
                <w:lang w:val="en-GB"/>
              </w:rPr>
            </w:pPr>
          </w:p>
        </w:tc>
        <w:tc>
          <w:tcPr>
            <w:tcW w:w="3274" w:type="dxa"/>
            <w:shd w:val="clear" w:color="auto" w:fill="auto"/>
          </w:tcPr>
          <w:p w14:paraId="1BB6742F" w14:textId="77777777" w:rsidR="00045920" w:rsidRPr="00395CC5" w:rsidRDefault="00045920">
            <w:pPr>
              <w:numPr>
                <w:ilvl w:val="0"/>
                <w:numId w:val="10"/>
              </w:numPr>
              <w:spacing w:before="40" w:after="40"/>
              <w:ind w:left="208" w:right="57" w:hanging="218"/>
              <w:rPr>
                <w:rFonts w:eastAsia="Calibri"/>
                <w:sz w:val="18"/>
                <w:szCs w:val="18"/>
              </w:rPr>
            </w:pPr>
            <w:r w:rsidRPr="00395CC5">
              <w:rPr>
                <w:rFonts w:eastAsia="Calibri"/>
                <w:sz w:val="18"/>
                <w:szCs w:val="18"/>
              </w:rPr>
              <w:t xml:space="preserve">Рассмотрение хода выполнения плана работы рабочей группы Партнерства по бытовым отходам на двухгодичный период </w:t>
            </w:r>
            <w:r>
              <w:rPr>
                <w:rFonts w:eastAsia="Calibri"/>
                <w:sz w:val="18"/>
                <w:szCs w:val="18"/>
              </w:rPr>
              <w:br/>
            </w:r>
            <w:r w:rsidRPr="00395CC5">
              <w:rPr>
                <w:rFonts w:eastAsia="Calibri"/>
                <w:sz w:val="18"/>
                <w:szCs w:val="18"/>
              </w:rPr>
              <w:t xml:space="preserve">2022-2023 годов и предоставление руководящих указаний в этом отношении. </w:t>
            </w:r>
          </w:p>
        </w:tc>
        <w:tc>
          <w:tcPr>
            <w:tcW w:w="1842" w:type="dxa"/>
          </w:tcPr>
          <w:p w14:paraId="4193E4A6"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БК-15/22</w:t>
            </w:r>
          </w:p>
        </w:tc>
        <w:tc>
          <w:tcPr>
            <w:tcW w:w="936" w:type="dxa"/>
          </w:tcPr>
          <w:p w14:paraId="61B78946"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6F322FD1" w14:textId="77777777" w:rsidTr="006C04D6">
        <w:trPr>
          <w:trHeight w:val="57"/>
          <w:jc w:val="right"/>
        </w:trPr>
        <w:tc>
          <w:tcPr>
            <w:tcW w:w="2255" w:type="dxa"/>
            <w:vMerge/>
            <w:tcBorders>
              <w:bottom w:val="single" w:sz="4" w:space="0" w:color="auto"/>
            </w:tcBorders>
            <w:shd w:val="clear" w:color="auto" w:fill="auto"/>
          </w:tcPr>
          <w:p w14:paraId="599E9608" w14:textId="77777777" w:rsidR="00045920" w:rsidRPr="00395CC5" w:rsidRDefault="00045920" w:rsidP="006C04D6">
            <w:pPr>
              <w:spacing w:before="40" w:after="40"/>
              <w:ind w:left="316" w:right="57"/>
              <w:rPr>
                <w:rFonts w:eastAsia="Calibri"/>
                <w:sz w:val="18"/>
                <w:szCs w:val="18"/>
                <w:lang w:val="en-GB"/>
              </w:rPr>
            </w:pPr>
          </w:p>
        </w:tc>
        <w:tc>
          <w:tcPr>
            <w:tcW w:w="3274" w:type="dxa"/>
            <w:tcBorders>
              <w:bottom w:val="single" w:sz="4" w:space="0" w:color="auto"/>
            </w:tcBorders>
            <w:shd w:val="clear" w:color="auto" w:fill="auto"/>
          </w:tcPr>
          <w:p w14:paraId="33EE8D25" w14:textId="77777777" w:rsidR="00045920" w:rsidRPr="00395CC5" w:rsidRDefault="00045920">
            <w:pPr>
              <w:numPr>
                <w:ilvl w:val="0"/>
                <w:numId w:val="10"/>
              </w:numPr>
              <w:spacing w:before="40" w:after="40"/>
              <w:ind w:left="208" w:right="57" w:hanging="218"/>
              <w:rPr>
                <w:rFonts w:eastAsia="Calibri"/>
                <w:sz w:val="18"/>
                <w:szCs w:val="18"/>
              </w:rPr>
            </w:pPr>
            <w:r w:rsidRPr="00395CC5">
              <w:rPr>
                <w:rFonts w:eastAsia="Calibri"/>
                <w:sz w:val="18"/>
                <w:szCs w:val="18"/>
              </w:rPr>
              <w:t>Рассмотрение хода выполнения плана работы рабочей группы Партнерства по пластиковым отходам на двухгодичный период 2022-2023 годов и предоставление руководящих указаний в этом отношении.</w:t>
            </w:r>
          </w:p>
        </w:tc>
        <w:tc>
          <w:tcPr>
            <w:tcW w:w="1842" w:type="dxa"/>
            <w:tcBorders>
              <w:bottom w:val="single" w:sz="4" w:space="0" w:color="auto"/>
            </w:tcBorders>
          </w:tcPr>
          <w:p w14:paraId="61A98EEB"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БК-15/22</w:t>
            </w:r>
          </w:p>
        </w:tc>
        <w:tc>
          <w:tcPr>
            <w:tcW w:w="936" w:type="dxa"/>
            <w:tcBorders>
              <w:bottom w:val="single" w:sz="4" w:space="0" w:color="auto"/>
            </w:tcBorders>
          </w:tcPr>
          <w:p w14:paraId="40DCBC57"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Средний</w:t>
            </w:r>
          </w:p>
        </w:tc>
      </w:tr>
      <w:tr w:rsidR="00045920" w:rsidRPr="00395CC5" w14:paraId="36BA820A" w14:textId="77777777" w:rsidTr="006C04D6">
        <w:trPr>
          <w:trHeight w:val="57"/>
          <w:jc w:val="right"/>
        </w:trPr>
        <w:tc>
          <w:tcPr>
            <w:tcW w:w="2255" w:type="dxa"/>
            <w:tcBorders>
              <w:top w:val="single" w:sz="4" w:space="0" w:color="auto"/>
              <w:bottom w:val="single" w:sz="12" w:space="0" w:color="auto"/>
            </w:tcBorders>
            <w:shd w:val="clear" w:color="auto" w:fill="auto"/>
            <w:hideMark/>
          </w:tcPr>
          <w:p w14:paraId="73615970" w14:textId="77777777" w:rsidR="00045920" w:rsidRPr="00395CC5" w:rsidRDefault="00045920">
            <w:pPr>
              <w:numPr>
                <w:ilvl w:val="0"/>
                <w:numId w:val="14"/>
              </w:numPr>
              <w:spacing w:before="40" w:after="40"/>
              <w:ind w:left="318" w:right="57" w:hanging="284"/>
              <w:rPr>
                <w:rFonts w:eastAsia="Calibri"/>
                <w:sz w:val="18"/>
                <w:szCs w:val="18"/>
              </w:rPr>
            </w:pPr>
            <w:r w:rsidRPr="00395CC5">
              <w:rPr>
                <w:rFonts w:eastAsia="Calibri"/>
                <w:sz w:val="18"/>
                <w:szCs w:val="18"/>
              </w:rPr>
              <w:t>Сотрудничество со Всемирной таможенной организацией в отношении Гармонизированной системы описания и кодирования товаров</w:t>
            </w:r>
          </w:p>
        </w:tc>
        <w:tc>
          <w:tcPr>
            <w:tcW w:w="3274" w:type="dxa"/>
            <w:tcBorders>
              <w:top w:val="single" w:sz="4" w:space="0" w:color="auto"/>
              <w:bottom w:val="single" w:sz="12" w:space="0" w:color="auto"/>
            </w:tcBorders>
            <w:shd w:val="clear" w:color="auto" w:fill="auto"/>
            <w:hideMark/>
          </w:tcPr>
          <w:p w14:paraId="78B108E8" w14:textId="77777777" w:rsidR="00045920" w:rsidRPr="00395CC5" w:rsidRDefault="00045920" w:rsidP="006C04D6">
            <w:pPr>
              <w:spacing w:before="40" w:after="40"/>
              <w:ind w:left="57" w:right="57"/>
              <w:rPr>
                <w:rFonts w:eastAsia="Calibri"/>
                <w:sz w:val="18"/>
                <w:szCs w:val="18"/>
              </w:rPr>
            </w:pPr>
            <w:r w:rsidRPr="00395CC5">
              <w:rPr>
                <w:rFonts w:eastAsia="Calibri"/>
                <w:sz w:val="18"/>
                <w:szCs w:val="18"/>
              </w:rPr>
              <w:t>Рассмотрение прогресса, достигнутого в отношении включения охватываемых Базельской конвенцией отходов в Гармонизированную систему описания и кодирования товаров Всемирной таможенной организации.</w:t>
            </w:r>
          </w:p>
        </w:tc>
        <w:tc>
          <w:tcPr>
            <w:tcW w:w="1842" w:type="dxa"/>
            <w:tcBorders>
              <w:top w:val="single" w:sz="4" w:space="0" w:color="auto"/>
              <w:bottom w:val="single" w:sz="12" w:space="0" w:color="auto"/>
            </w:tcBorders>
            <w:hideMark/>
          </w:tcPr>
          <w:p w14:paraId="3AAFA9C9"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Решение БК-15/12</w:t>
            </w:r>
          </w:p>
        </w:tc>
        <w:tc>
          <w:tcPr>
            <w:tcW w:w="936" w:type="dxa"/>
            <w:tcBorders>
              <w:top w:val="single" w:sz="4" w:space="0" w:color="auto"/>
              <w:bottom w:val="single" w:sz="12" w:space="0" w:color="auto"/>
            </w:tcBorders>
            <w:hideMark/>
          </w:tcPr>
          <w:p w14:paraId="00116774" w14:textId="77777777" w:rsidR="00045920" w:rsidRPr="00395CC5" w:rsidRDefault="00045920" w:rsidP="006C04D6">
            <w:pPr>
              <w:spacing w:before="40" w:after="40"/>
              <w:rPr>
                <w:rFonts w:eastAsia="Calibri"/>
                <w:sz w:val="18"/>
                <w:szCs w:val="18"/>
                <w:lang w:val="en-US"/>
              </w:rPr>
            </w:pPr>
            <w:r w:rsidRPr="00395CC5">
              <w:rPr>
                <w:rFonts w:eastAsia="Calibri"/>
                <w:sz w:val="18"/>
                <w:szCs w:val="18"/>
              </w:rPr>
              <w:t>Низкий</w:t>
            </w:r>
          </w:p>
        </w:tc>
      </w:tr>
      <w:bookmarkEnd w:id="0"/>
    </w:tbl>
    <w:p w14:paraId="2C1B9C9E" w14:textId="77777777" w:rsidR="00045920" w:rsidRDefault="00045920" w:rsidP="00045920">
      <w:pPr>
        <w:ind w:left="1247" w:firstLine="624"/>
        <w:rPr>
          <w:b/>
          <w:bCs/>
        </w:rPr>
      </w:pPr>
    </w:p>
    <w:p w14:paraId="72A577FA" w14:textId="5DE47FDE" w:rsidR="00F935A6" w:rsidRPr="00045920" w:rsidRDefault="00F935A6" w:rsidP="00045920"/>
    <w:sectPr w:rsidR="00F935A6" w:rsidRPr="000459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155F2" w14:textId="77777777" w:rsidR="00A8484F" w:rsidRDefault="00A8484F" w:rsidP="002B66BF">
      <w:pPr>
        <w:spacing w:after="0"/>
      </w:pPr>
      <w:r>
        <w:separator/>
      </w:r>
    </w:p>
  </w:endnote>
  <w:endnote w:type="continuationSeparator" w:id="0">
    <w:p w14:paraId="4B9E4C52" w14:textId="77777777" w:rsidR="00A8484F" w:rsidRDefault="00A8484F"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15C5" w14:textId="77777777" w:rsidR="00A8484F" w:rsidRDefault="00A8484F" w:rsidP="002B66BF">
      <w:pPr>
        <w:spacing w:after="0"/>
      </w:pPr>
      <w:r>
        <w:separator/>
      </w:r>
    </w:p>
  </w:footnote>
  <w:footnote w:type="continuationSeparator" w:id="0">
    <w:p w14:paraId="0ED44227" w14:textId="77777777" w:rsidR="00A8484F" w:rsidRDefault="00A8484F" w:rsidP="002B66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5"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1"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80400344">
    <w:abstractNumId w:val="3"/>
  </w:num>
  <w:num w:numId="2" w16cid:durableId="564267273">
    <w:abstractNumId w:val="12"/>
  </w:num>
  <w:num w:numId="3" w16cid:durableId="1390229554">
    <w:abstractNumId w:val="6"/>
  </w:num>
  <w:num w:numId="4" w16cid:durableId="1402214900">
    <w:abstractNumId w:val="5"/>
  </w:num>
  <w:num w:numId="5" w16cid:durableId="293609818">
    <w:abstractNumId w:val="11"/>
  </w:num>
  <w:num w:numId="6" w16cid:durableId="767309983">
    <w:abstractNumId w:val="7"/>
  </w:num>
  <w:num w:numId="7" w16cid:durableId="2043050429">
    <w:abstractNumId w:val="13"/>
  </w:num>
  <w:num w:numId="8" w16cid:durableId="312609881">
    <w:abstractNumId w:val="4"/>
  </w:num>
  <w:num w:numId="9" w16cid:durableId="1390152933">
    <w:abstractNumId w:val="1"/>
  </w:num>
  <w:num w:numId="10" w16cid:durableId="1364094923">
    <w:abstractNumId w:val="0"/>
  </w:num>
  <w:num w:numId="11" w16cid:durableId="122235806">
    <w:abstractNumId w:val="10"/>
  </w:num>
  <w:num w:numId="12" w16cid:durableId="2106228023">
    <w:abstractNumId w:val="9"/>
  </w:num>
  <w:num w:numId="13" w16cid:durableId="1982072921">
    <w:abstractNumId w:val="8"/>
  </w:num>
  <w:num w:numId="14" w16cid:durableId="1619337808">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B66BF"/>
    <w:rsid w:val="00322FE3"/>
    <w:rsid w:val="003C0A29"/>
    <w:rsid w:val="003C25AF"/>
    <w:rsid w:val="00447FD6"/>
    <w:rsid w:val="00475395"/>
    <w:rsid w:val="005A158C"/>
    <w:rsid w:val="005B1C5E"/>
    <w:rsid w:val="00617E26"/>
    <w:rsid w:val="006A2E46"/>
    <w:rsid w:val="00700627"/>
    <w:rsid w:val="007A72EB"/>
    <w:rsid w:val="00836B73"/>
    <w:rsid w:val="00872B69"/>
    <w:rsid w:val="009B16ED"/>
    <w:rsid w:val="00A8484F"/>
    <w:rsid w:val="00C84536"/>
    <w:rsid w:val="00CA40F2"/>
    <w:rsid w:val="00D167FF"/>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1073</Words>
  <Characters>6121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2023-05-22T13:01:00Z</dcterms:created>
  <dcterms:modified xsi:type="dcterms:W3CDTF">2023-05-22T13:01:00Z</dcterms:modified>
</cp:coreProperties>
</file>