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DF0946" w14:textId="77777777" w:rsidR="00806D82" w:rsidRPr="00447994" w:rsidRDefault="00806D82" w:rsidP="00806D82">
      <w:pPr>
        <w:pStyle w:val="CH1"/>
        <w:rPr>
          <w:lang w:val="es-ES_tradnl"/>
        </w:rPr>
      </w:pPr>
      <w:r w:rsidRPr="00447994">
        <w:rPr>
          <w:lang w:val="es-ES_tradnl"/>
        </w:rPr>
        <w:tab/>
      </w:r>
      <w:r w:rsidRPr="00447994">
        <w:rPr>
          <w:lang w:val="es-ES_tradnl"/>
        </w:rPr>
        <w:tab/>
      </w:r>
      <w:r w:rsidRPr="00447994">
        <w:rPr>
          <w:bCs/>
          <w:lang w:val="es-ES_tradnl"/>
        </w:rPr>
        <w:t>BC</w:t>
      </w:r>
      <w:r w:rsidRPr="00447994">
        <w:rPr>
          <w:bCs/>
          <w:lang w:val="es-ES_tradnl"/>
        </w:rPr>
        <w:noBreakHyphen/>
        <w:t>15/23: Programa de trabajo del Grupo de Trabajo de composición abierta para el período 2022</w:t>
      </w:r>
      <w:r w:rsidRPr="00447994">
        <w:rPr>
          <w:bCs/>
          <w:lang w:val="es-ES_tradnl"/>
        </w:rPr>
        <w:noBreakHyphen/>
        <w:t>2023</w:t>
      </w:r>
    </w:p>
    <w:p w14:paraId="7A737D9F" w14:textId="77777777" w:rsidR="00806D82" w:rsidRPr="00447994" w:rsidRDefault="00806D82" w:rsidP="00806D82">
      <w:pPr>
        <w:pStyle w:val="Normal-pool"/>
        <w:spacing w:after="120"/>
        <w:ind w:left="1247" w:firstLine="624"/>
        <w:rPr>
          <w:i/>
          <w:iCs/>
          <w:lang w:val="es-ES_tradnl"/>
        </w:rPr>
      </w:pPr>
      <w:r w:rsidRPr="00447994">
        <w:rPr>
          <w:i/>
          <w:iCs/>
          <w:lang w:val="es-ES_tradnl"/>
        </w:rPr>
        <w:t>La Conferencia de las Partes</w:t>
      </w:r>
    </w:p>
    <w:p w14:paraId="3BA729A2" w14:textId="77777777" w:rsidR="00806D82" w:rsidRPr="00447994" w:rsidRDefault="00806D82" w:rsidP="00806D82">
      <w:pPr>
        <w:pStyle w:val="Normal-pool"/>
        <w:spacing w:after="120"/>
        <w:ind w:left="1247" w:firstLine="624"/>
        <w:rPr>
          <w:lang w:val="es-ES_tradnl"/>
        </w:rPr>
      </w:pPr>
      <w:r w:rsidRPr="00447994">
        <w:rPr>
          <w:i/>
          <w:iCs/>
          <w:lang w:val="es-ES_tradnl"/>
        </w:rPr>
        <w:t>Aprueba</w:t>
      </w:r>
      <w:r w:rsidRPr="00447994">
        <w:rPr>
          <w:lang w:val="es-ES_tradnl"/>
        </w:rPr>
        <w:t xml:space="preserve"> el programa de trabajo del Grupo de Trabajo de composición abierta para el bienio 2022</w:t>
      </w:r>
      <w:r w:rsidRPr="00447994">
        <w:rPr>
          <w:lang w:val="es-ES_tradnl"/>
        </w:rPr>
        <w:noBreakHyphen/>
        <w:t>2023 que figura en el anexo de la presente decisión.</w:t>
      </w:r>
    </w:p>
    <w:p w14:paraId="16F502D9" w14:textId="77777777" w:rsidR="00806D82" w:rsidRPr="00447994" w:rsidRDefault="00806D82" w:rsidP="00806D82">
      <w:pPr>
        <w:pStyle w:val="CH2"/>
        <w:keepNext w:val="0"/>
        <w:keepLines w:val="0"/>
        <w:rPr>
          <w:lang w:val="es-ES_tradnl"/>
        </w:rPr>
      </w:pPr>
      <w:r w:rsidRPr="00447994">
        <w:rPr>
          <w:lang w:val="es-ES_tradnl"/>
        </w:rPr>
        <w:tab/>
      </w:r>
      <w:r w:rsidRPr="00447994">
        <w:rPr>
          <w:lang w:val="es-ES_tradnl"/>
        </w:rPr>
        <w:tab/>
      </w:r>
      <w:r w:rsidRPr="00447994">
        <w:rPr>
          <w:bCs/>
          <w:lang w:val="es-ES_tradnl"/>
        </w:rPr>
        <w:t>Anexo de la decisión BC</w:t>
      </w:r>
      <w:r w:rsidRPr="00447994">
        <w:rPr>
          <w:bCs/>
          <w:lang w:val="es-ES_tradnl"/>
        </w:rPr>
        <w:noBreakHyphen/>
        <w:t>15/23</w:t>
      </w:r>
    </w:p>
    <w:p w14:paraId="507AEDE3" w14:textId="77777777" w:rsidR="00806D82" w:rsidRPr="00447994" w:rsidRDefault="00806D82" w:rsidP="00806D82">
      <w:pPr>
        <w:pStyle w:val="CH2"/>
        <w:keepNext w:val="0"/>
        <w:keepLines w:val="0"/>
        <w:rPr>
          <w:lang w:val="es-ES_tradnl"/>
        </w:rPr>
      </w:pPr>
      <w:r w:rsidRPr="00447994">
        <w:rPr>
          <w:lang w:val="es-ES_tradnl"/>
        </w:rPr>
        <w:tab/>
      </w:r>
      <w:r w:rsidRPr="00447994">
        <w:rPr>
          <w:lang w:val="es-ES_tradnl"/>
        </w:rPr>
        <w:tab/>
      </w:r>
      <w:r w:rsidRPr="00447994">
        <w:rPr>
          <w:bCs/>
          <w:lang w:val="es-ES_tradnl"/>
        </w:rPr>
        <w:t>Programa de trabajo del Grupo de Trabajo de composición abierta para el bienio 2022</w:t>
      </w:r>
      <w:r w:rsidRPr="00447994">
        <w:rPr>
          <w:bCs/>
          <w:lang w:val="es-ES_tradnl"/>
        </w:rPr>
        <w:noBreakHyphen/>
        <w:t>2023</w:t>
      </w:r>
    </w:p>
    <w:tbl>
      <w:tblPr>
        <w:tblW w:w="8307" w:type="dxa"/>
        <w:jc w:val="right"/>
        <w:tblLayout w:type="fixed"/>
        <w:tblLook w:val="04A0" w:firstRow="1" w:lastRow="0" w:firstColumn="1" w:lastColumn="0" w:noHBand="0" w:noVBand="1"/>
      </w:tblPr>
      <w:tblGrid>
        <w:gridCol w:w="2255"/>
        <w:gridCol w:w="3274"/>
        <w:gridCol w:w="1701"/>
        <w:gridCol w:w="1077"/>
      </w:tblGrid>
      <w:tr w:rsidR="00806D82" w:rsidRPr="00447994" w14:paraId="3A40E0A9" w14:textId="77777777" w:rsidTr="00A2639E">
        <w:trPr>
          <w:trHeight w:val="57"/>
          <w:tblHeader/>
          <w:jc w:val="right"/>
        </w:trPr>
        <w:tc>
          <w:tcPr>
            <w:tcW w:w="2255" w:type="dxa"/>
            <w:tcBorders>
              <w:top w:val="single" w:sz="4" w:space="0" w:color="auto"/>
              <w:bottom w:val="single" w:sz="12" w:space="0" w:color="auto"/>
            </w:tcBorders>
            <w:vAlign w:val="bottom"/>
          </w:tcPr>
          <w:p w14:paraId="1704FA01" w14:textId="77777777" w:rsidR="00806D82" w:rsidRPr="00447994" w:rsidRDefault="00806D82" w:rsidP="00A2639E">
            <w:pPr>
              <w:pStyle w:val="Normal-pool"/>
              <w:spacing w:before="40" w:after="40"/>
              <w:ind w:right="57"/>
              <w:rPr>
                <w:i/>
                <w:iCs/>
                <w:sz w:val="18"/>
                <w:szCs w:val="18"/>
                <w:lang w:val="es-ES_tradnl"/>
              </w:rPr>
            </w:pPr>
            <w:bookmarkStart w:id="0" w:name="_Hlk57295111"/>
            <w:r w:rsidRPr="00447994">
              <w:rPr>
                <w:i/>
                <w:iCs/>
                <w:sz w:val="18"/>
                <w:szCs w:val="18"/>
                <w:lang w:val="es-ES_tradnl"/>
              </w:rPr>
              <w:t>Temas</w:t>
            </w:r>
          </w:p>
        </w:tc>
        <w:tc>
          <w:tcPr>
            <w:tcW w:w="3274" w:type="dxa"/>
            <w:tcBorders>
              <w:top w:val="single" w:sz="4" w:space="0" w:color="auto"/>
              <w:bottom w:val="single" w:sz="12" w:space="0" w:color="auto"/>
            </w:tcBorders>
            <w:vAlign w:val="bottom"/>
          </w:tcPr>
          <w:p w14:paraId="34F7B85A" w14:textId="77777777" w:rsidR="00806D82" w:rsidRPr="00447994" w:rsidRDefault="00806D82" w:rsidP="00A2639E">
            <w:pPr>
              <w:pStyle w:val="Normal-pool"/>
              <w:spacing w:before="40" w:after="40"/>
              <w:ind w:right="57"/>
              <w:rPr>
                <w:i/>
                <w:iCs/>
                <w:sz w:val="18"/>
                <w:szCs w:val="18"/>
                <w:lang w:val="es-ES_tradnl"/>
              </w:rPr>
            </w:pPr>
            <w:r w:rsidRPr="00447994">
              <w:rPr>
                <w:i/>
                <w:iCs/>
                <w:sz w:val="18"/>
                <w:szCs w:val="18"/>
                <w:lang w:val="es-ES_tradnl"/>
              </w:rPr>
              <w:t>Actividades</w:t>
            </w:r>
          </w:p>
        </w:tc>
        <w:tc>
          <w:tcPr>
            <w:tcW w:w="1701" w:type="dxa"/>
            <w:tcBorders>
              <w:top w:val="single" w:sz="4" w:space="0" w:color="auto"/>
              <w:bottom w:val="single" w:sz="12" w:space="0" w:color="auto"/>
            </w:tcBorders>
            <w:vAlign w:val="bottom"/>
          </w:tcPr>
          <w:p w14:paraId="1E68332F" w14:textId="77777777" w:rsidR="00806D82" w:rsidRPr="00447994" w:rsidRDefault="00806D82" w:rsidP="00A2639E">
            <w:pPr>
              <w:pStyle w:val="Normal-pool"/>
              <w:spacing w:before="40" w:after="40"/>
              <w:ind w:right="57"/>
              <w:rPr>
                <w:i/>
                <w:iCs/>
                <w:sz w:val="18"/>
                <w:szCs w:val="18"/>
                <w:lang w:val="es-ES_tradnl"/>
              </w:rPr>
            </w:pPr>
            <w:r w:rsidRPr="00447994">
              <w:rPr>
                <w:i/>
                <w:iCs/>
                <w:sz w:val="18"/>
                <w:szCs w:val="18"/>
                <w:lang w:val="es-ES_tradnl"/>
              </w:rPr>
              <w:t>Mandato</w:t>
            </w:r>
          </w:p>
        </w:tc>
        <w:tc>
          <w:tcPr>
            <w:tcW w:w="1077" w:type="dxa"/>
            <w:tcBorders>
              <w:top w:val="single" w:sz="4" w:space="0" w:color="auto"/>
              <w:bottom w:val="single" w:sz="12" w:space="0" w:color="auto"/>
            </w:tcBorders>
            <w:vAlign w:val="bottom"/>
          </w:tcPr>
          <w:p w14:paraId="1E80476D" w14:textId="77777777" w:rsidR="00806D82" w:rsidRPr="00447994" w:rsidRDefault="00806D82" w:rsidP="00A2639E">
            <w:pPr>
              <w:pStyle w:val="Normal-pool"/>
              <w:spacing w:before="40" w:after="40"/>
              <w:ind w:right="57"/>
              <w:rPr>
                <w:i/>
                <w:iCs/>
                <w:sz w:val="18"/>
                <w:szCs w:val="18"/>
                <w:lang w:val="es-ES_tradnl"/>
              </w:rPr>
            </w:pPr>
            <w:r w:rsidRPr="00447994">
              <w:rPr>
                <w:i/>
                <w:iCs/>
                <w:sz w:val="18"/>
                <w:szCs w:val="18"/>
                <w:lang w:val="es-ES_tradnl"/>
              </w:rPr>
              <w:t>Prioridad</w:t>
            </w:r>
          </w:p>
        </w:tc>
      </w:tr>
      <w:tr w:rsidR="00806D82" w:rsidRPr="00447994" w14:paraId="66AF946C" w14:textId="77777777" w:rsidTr="00A2639E">
        <w:trPr>
          <w:trHeight w:val="57"/>
          <w:jc w:val="right"/>
        </w:trPr>
        <w:tc>
          <w:tcPr>
            <w:tcW w:w="8307" w:type="dxa"/>
            <w:gridSpan w:val="4"/>
            <w:tcBorders>
              <w:top w:val="single" w:sz="12" w:space="0" w:color="auto"/>
            </w:tcBorders>
            <w:vAlign w:val="bottom"/>
          </w:tcPr>
          <w:p w14:paraId="65F798D8" w14:textId="77777777" w:rsidR="00806D82" w:rsidRPr="00447994" w:rsidRDefault="00806D82">
            <w:pPr>
              <w:pStyle w:val="Normal-pool"/>
              <w:numPr>
                <w:ilvl w:val="0"/>
                <w:numId w:val="3"/>
              </w:numPr>
              <w:tabs>
                <w:tab w:val="clear" w:pos="1247"/>
              </w:tabs>
              <w:spacing w:before="40" w:after="40"/>
              <w:ind w:left="318" w:hanging="284"/>
              <w:rPr>
                <w:sz w:val="18"/>
                <w:szCs w:val="18"/>
                <w:lang w:val="es-ES_tradnl"/>
              </w:rPr>
            </w:pPr>
            <w:r w:rsidRPr="00447994">
              <w:rPr>
                <w:b/>
                <w:bCs/>
                <w:sz w:val="18"/>
                <w:szCs w:val="18"/>
                <w:lang w:val="es-ES_tradnl"/>
              </w:rPr>
              <w:t>Cuestiones estratégicas</w:t>
            </w:r>
          </w:p>
        </w:tc>
      </w:tr>
      <w:tr w:rsidR="00806D82" w:rsidRPr="00447994" w14:paraId="67C634CE" w14:textId="77777777" w:rsidTr="00A2639E">
        <w:trPr>
          <w:trHeight w:val="890"/>
          <w:jc w:val="right"/>
        </w:trPr>
        <w:tc>
          <w:tcPr>
            <w:tcW w:w="2255" w:type="dxa"/>
            <w:tcBorders>
              <w:bottom w:val="single" w:sz="4" w:space="0" w:color="auto"/>
            </w:tcBorders>
          </w:tcPr>
          <w:p w14:paraId="78DDDA08" w14:textId="77777777" w:rsidR="00806D82" w:rsidRPr="00447994" w:rsidRDefault="00806D82">
            <w:pPr>
              <w:pStyle w:val="Normal-pool"/>
              <w:numPr>
                <w:ilvl w:val="0"/>
                <w:numId w:val="2"/>
              </w:numPr>
              <w:tabs>
                <w:tab w:val="clear" w:pos="1247"/>
                <w:tab w:val="left" w:pos="300"/>
              </w:tabs>
              <w:spacing w:before="40" w:after="40"/>
              <w:ind w:left="318" w:right="57" w:hanging="284"/>
              <w:rPr>
                <w:i/>
                <w:iCs/>
                <w:sz w:val="18"/>
                <w:szCs w:val="18"/>
                <w:lang w:val="es-ES_tradnl"/>
              </w:rPr>
            </w:pPr>
            <w:r w:rsidRPr="00447994">
              <w:rPr>
                <w:sz w:val="18"/>
                <w:szCs w:val="18"/>
                <w:lang w:val="es-ES_tradnl"/>
              </w:rPr>
              <w:t>Marco estratégico</w:t>
            </w:r>
          </w:p>
        </w:tc>
        <w:tc>
          <w:tcPr>
            <w:tcW w:w="3274" w:type="dxa"/>
            <w:tcBorders>
              <w:bottom w:val="single" w:sz="4" w:space="0" w:color="auto"/>
            </w:tcBorders>
          </w:tcPr>
          <w:p w14:paraId="72026D33" w14:textId="77777777" w:rsidR="00806D82" w:rsidRPr="00447994" w:rsidRDefault="00806D82" w:rsidP="00A2639E">
            <w:pPr>
              <w:pStyle w:val="Normal-pool"/>
              <w:spacing w:before="40" w:after="120"/>
              <w:ind w:right="58"/>
              <w:rPr>
                <w:bCs/>
                <w:sz w:val="18"/>
                <w:szCs w:val="18"/>
                <w:lang w:val="es-ES_tradnl"/>
              </w:rPr>
            </w:pPr>
            <w:r w:rsidRPr="00447994">
              <w:rPr>
                <w:sz w:val="18"/>
                <w:szCs w:val="18"/>
                <w:lang w:val="es-ES_tradnl"/>
              </w:rPr>
              <w:t>Examen del proyecto de informe sobre las conclusiones y las recomendaciones para mejorar, según proceda, el marco estratégico para 2012</w:t>
            </w:r>
            <w:r w:rsidRPr="00447994">
              <w:rPr>
                <w:sz w:val="18"/>
                <w:szCs w:val="18"/>
                <w:lang w:val="es-ES_tradnl"/>
              </w:rPr>
              <w:noBreakHyphen/>
              <w:t>2021.</w:t>
            </w:r>
          </w:p>
        </w:tc>
        <w:tc>
          <w:tcPr>
            <w:tcW w:w="1701" w:type="dxa"/>
            <w:tcBorders>
              <w:bottom w:val="single" w:sz="4" w:space="0" w:color="auto"/>
            </w:tcBorders>
          </w:tcPr>
          <w:p w14:paraId="622426F3" w14:textId="77777777" w:rsidR="00806D82" w:rsidRPr="00447994" w:rsidRDefault="00806D82" w:rsidP="00A2639E">
            <w:pPr>
              <w:pStyle w:val="Normal-pool"/>
              <w:spacing w:before="40" w:after="40"/>
              <w:rPr>
                <w:i/>
                <w:iCs/>
                <w:sz w:val="18"/>
                <w:szCs w:val="18"/>
                <w:lang w:val="es-ES_tradnl"/>
              </w:rPr>
            </w:pPr>
            <w:r w:rsidRPr="00447994">
              <w:rPr>
                <w:sz w:val="18"/>
                <w:szCs w:val="18"/>
                <w:lang w:val="es-ES_tradnl"/>
              </w:rPr>
              <w:t>Decisión BC</w:t>
            </w:r>
            <w:r w:rsidRPr="00447994">
              <w:rPr>
                <w:sz w:val="18"/>
                <w:szCs w:val="18"/>
                <w:lang w:val="es-ES_tradnl"/>
              </w:rPr>
              <w:noBreakHyphen/>
              <w:t>15/3</w:t>
            </w:r>
          </w:p>
        </w:tc>
        <w:tc>
          <w:tcPr>
            <w:tcW w:w="1077" w:type="dxa"/>
            <w:tcBorders>
              <w:bottom w:val="single" w:sz="4" w:space="0" w:color="auto"/>
            </w:tcBorders>
          </w:tcPr>
          <w:p w14:paraId="1FF727FF" w14:textId="77777777" w:rsidR="00806D82" w:rsidRPr="00447994" w:rsidRDefault="00806D82" w:rsidP="00A2639E">
            <w:pPr>
              <w:pStyle w:val="Normal-pool"/>
              <w:spacing w:before="40" w:after="40"/>
              <w:rPr>
                <w:i/>
                <w:iCs/>
                <w:sz w:val="18"/>
                <w:szCs w:val="18"/>
                <w:lang w:val="es-ES_tradnl"/>
              </w:rPr>
            </w:pPr>
            <w:r w:rsidRPr="00447994">
              <w:rPr>
                <w:sz w:val="18"/>
                <w:szCs w:val="18"/>
                <w:lang w:val="es-ES_tradnl"/>
              </w:rPr>
              <w:t>Alta</w:t>
            </w:r>
          </w:p>
        </w:tc>
      </w:tr>
      <w:tr w:rsidR="00806D82" w:rsidRPr="00447994" w14:paraId="3EED5A47" w14:textId="77777777" w:rsidTr="00A2639E">
        <w:trPr>
          <w:trHeight w:val="57"/>
          <w:jc w:val="right"/>
        </w:trPr>
        <w:tc>
          <w:tcPr>
            <w:tcW w:w="2255" w:type="dxa"/>
            <w:vMerge w:val="restart"/>
          </w:tcPr>
          <w:p w14:paraId="39E4B481" w14:textId="77777777" w:rsidR="00806D82" w:rsidRPr="00447994" w:rsidRDefault="00806D82">
            <w:pPr>
              <w:pStyle w:val="Normal-pool"/>
              <w:numPr>
                <w:ilvl w:val="0"/>
                <w:numId w:val="2"/>
              </w:numPr>
              <w:tabs>
                <w:tab w:val="clear" w:pos="1247"/>
                <w:tab w:val="left" w:pos="300"/>
              </w:tabs>
              <w:spacing w:before="40" w:after="40"/>
              <w:ind w:left="318" w:right="57" w:hanging="284"/>
              <w:rPr>
                <w:sz w:val="18"/>
                <w:szCs w:val="18"/>
                <w:lang w:val="es-ES_tradnl"/>
              </w:rPr>
            </w:pPr>
            <w:r w:rsidRPr="00447994">
              <w:rPr>
                <w:sz w:val="18"/>
                <w:szCs w:val="18"/>
                <w:lang w:val="es-ES_tradnl"/>
              </w:rPr>
              <w:t>Labor destinada a mejorar el funcionamiento del procedimiento de consentimiento fundamentado previo</w:t>
            </w:r>
          </w:p>
        </w:tc>
        <w:tc>
          <w:tcPr>
            <w:tcW w:w="3274" w:type="dxa"/>
          </w:tcPr>
          <w:p w14:paraId="15ED8166" w14:textId="77777777" w:rsidR="00806D82" w:rsidRPr="00447994" w:rsidRDefault="00806D82">
            <w:pPr>
              <w:pStyle w:val="Normal-pool"/>
              <w:numPr>
                <w:ilvl w:val="0"/>
                <w:numId w:val="1"/>
              </w:numPr>
              <w:tabs>
                <w:tab w:val="clear" w:pos="1247"/>
                <w:tab w:val="left" w:pos="211"/>
              </w:tabs>
              <w:spacing w:before="40" w:after="40"/>
              <w:ind w:left="204" w:right="57" w:hanging="215"/>
              <w:rPr>
                <w:bCs/>
                <w:sz w:val="18"/>
                <w:szCs w:val="18"/>
                <w:lang w:val="es-ES_tradnl"/>
              </w:rPr>
            </w:pPr>
            <w:r w:rsidRPr="00447994">
              <w:rPr>
                <w:sz w:val="18"/>
                <w:szCs w:val="18"/>
                <w:lang w:val="es-ES_tradnl"/>
              </w:rPr>
              <w:t>Examen de la recopilación y síntesis de información sobre las dificultades experimentadas en la aplicación del procedimiento de consentimiento fundamentado previo y sobre las mejores prácticas, métodos, iniciativas y opiniones que podrían mejorar el funcionamiento del procedimiento.</w:t>
            </w:r>
          </w:p>
        </w:tc>
        <w:tc>
          <w:tcPr>
            <w:tcW w:w="1701" w:type="dxa"/>
          </w:tcPr>
          <w:p w14:paraId="5389D2F0" w14:textId="77777777" w:rsidR="00806D82" w:rsidRPr="00447994" w:rsidRDefault="00806D82" w:rsidP="00A2639E">
            <w:pPr>
              <w:pStyle w:val="Normal-pool"/>
              <w:spacing w:before="40" w:after="40"/>
              <w:rPr>
                <w:sz w:val="18"/>
                <w:szCs w:val="18"/>
                <w:lang w:val="es-ES_tradnl"/>
              </w:rPr>
            </w:pPr>
            <w:r w:rsidRPr="00447994">
              <w:rPr>
                <w:sz w:val="18"/>
                <w:szCs w:val="18"/>
                <w:lang w:val="es-ES_tradnl"/>
              </w:rPr>
              <w:t>Decisión BC</w:t>
            </w:r>
            <w:r w:rsidRPr="00447994">
              <w:rPr>
                <w:sz w:val="18"/>
                <w:szCs w:val="18"/>
                <w:lang w:val="es-ES_tradnl"/>
              </w:rPr>
              <w:noBreakHyphen/>
              <w:t>15/3</w:t>
            </w:r>
          </w:p>
        </w:tc>
        <w:tc>
          <w:tcPr>
            <w:tcW w:w="1077" w:type="dxa"/>
          </w:tcPr>
          <w:p w14:paraId="696E1375" w14:textId="77777777" w:rsidR="00806D82" w:rsidRPr="00447994" w:rsidRDefault="00806D82" w:rsidP="00A2639E">
            <w:pPr>
              <w:pStyle w:val="Normal-pool"/>
              <w:spacing w:before="40" w:after="40"/>
              <w:rPr>
                <w:sz w:val="18"/>
                <w:szCs w:val="18"/>
                <w:lang w:val="es-ES_tradnl"/>
              </w:rPr>
            </w:pPr>
            <w:r w:rsidRPr="00447994">
              <w:rPr>
                <w:sz w:val="18"/>
                <w:szCs w:val="18"/>
                <w:lang w:val="es-ES_tradnl"/>
              </w:rPr>
              <w:t>Alta</w:t>
            </w:r>
          </w:p>
        </w:tc>
      </w:tr>
      <w:tr w:rsidR="00806D82" w:rsidRPr="00447994" w14:paraId="7CFC8C67" w14:textId="77777777" w:rsidTr="00A2639E">
        <w:trPr>
          <w:trHeight w:val="57"/>
          <w:jc w:val="right"/>
        </w:trPr>
        <w:tc>
          <w:tcPr>
            <w:tcW w:w="2255" w:type="dxa"/>
            <w:vMerge/>
            <w:tcBorders>
              <w:bottom w:val="single" w:sz="4" w:space="0" w:color="auto"/>
            </w:tcBorders>
          </w:tcPr>
          <w:p w14:paraId="32AD296A" w14:textId="77777777" w:rsidR="00806D82" w:rsidRPr="00447994" w:rsidRDefault="00806D82" w:rsidP="00A2639E">
            <w:pPr>
              <w:pStyle w:val="Normal-pool"/>
              <w:tabs>
                <w:tab w:val="clear" w:pos="1247"/>
                <w:tab w:val="left" w:pos="300"/>
              </w:tabs>
              <w:spacing w:before="40" w:after="40"/>
              <w:ind w:right="57"/>
              <w:rPr>
                <w:sz w:val="18"/>
                <w:szCs w:val="18"/>
                <w:lang w:val="es-ES_tradnl"/>
              </w:rPr>
            </w:pPr>
          </w:p>
        </w:tc>
        <w:tc>
          <w:tcPr>
            <w:tcW w:w="3274" w:type="dxa"/>
            <w:tcBorders>
              <w:bottom w:val="single" w:sz="4" w:space="0" w:color="auto"/>
            </w:tcBorders>
          </w:tcPr>
          <w:p w14:paraId="381A9642" w14:textId="77777777" w:rsidR="00806D82" w:rsidRPr="00447994" w:rsidRDefault="00806D82">
            <w:pPr>
              <w:pStyle w:val="Normal-pool"/>
              <w:numPr>
                <w:ilvl w:val="0"/>
                <w:numId w:val="1"/>
              </w:numPr>
              <w:tabs>
                <w:tab w:val="clear" w:pos="1247"/>
                <w:tab w:val="left" w:pos="211"/>
              </w:tabs>
              <w:spacing w:before="40" w:after="40"/>
              <w:ind w:left="208" w:right="57" w:hanging="218"/>
              <w:rPr>
                <w:bCs/>
                <w:sz w:val="18"/>
                <w:szCs w:val="18"/>
                <w:lang w:val="es-ES_tradnl"/>
              </w:rPr>
            </w:pPr>
            <w:r w:rsidRPr="00447994">
              <w:rPr>
                <w:sz w:val="18"/>
                <w:szCs w:val="18"/>
                <w:lang w:val="es-ES_tradnl"/>
              </w:rPr>
              <w:t>A partir del examen de la recopilación y síntesis de información mencionado en el párrafo 1, elaboración de proyectos de recomendaciones para que la Conferencia de las Partes los examine en su 16ª reunión.</w:t>
            </w:r>
          </w:p>
        </w:tc>
        <w:tc>
          <w:tcPr>
            <w:tcW w:w="1701" w:type="dxa"/>
            <w:tcBorders>
              <w:bottom w:val="single" w:sz="4" w:space="0" w:color="auto"/>
            </w:tcBorders>
          </w:tcPr>
          <w:p w14:paraId="6F033824" w14:textId="77777777" w:rsidR="00806D82" w:rsidRPr="00447994" w:rsidRDefault="00806D82" w:rsidP="00A2639E">
            <w:pPr>
              <w:pStyle w:val="Normal-pool"/>
              <w:spacing w:before="40" w:after="40"/>
              <w:rPr>
                <w:sz w:val="18"/>
                <w:szCs w:val="18"/>
                <w:lang w:val="es-ES_tradnl"/>
              </w:rPr>
            </w:pPr>
            <w:r w:rsidRPr="00447994">
              <w:rPr>
                <w:sz w:val="18"/>
                <w:szCs w:val="18"/>
                <w:lang w:val="es-ES_tradnl"/>
              </w:rPr>
              <w:t>Decisión BC</w:t>
            </w:r>
            <w:r w:rsidRPr="00447994">
              <w:rPr>
                <w:sz w:val="18"/>
                <w:szCs w:val="18"/>
                <w:lang w:val="es-ES_tradnl"/>
              </w:rPr>
              <w:noBreakHyphen/>
              <w:t>15/3</w:t>
            </w:r>
          </w:p>
        </w:tc>
        <w:tc>
          <w:tcPr>
            <w:tcW w:w="1077" w:type="dxa"/>
            <w:tcBorders>
              <w:bottom w:val="single" w:sz="4" w:space="0" w:color="auto"/>
            </w:tcBorders>
          </w:tcPr>
          <w:p w14:paraId="698DB8EF" w14:textId="77777777" w:rsidR="00806D82" w:rsidRPr="00447994" w:rsidRDefault="00806D82" w:rsidP="00A2639E">
            <w:pPr>
              <w:pStyle w:val="Normal-pool"/>
              <w:spacing w:before="40" w:after="40"/>
              <w:rPr>
                <w:sz w:val="18"/>
                <w:szCs w:val="18"/>
                <w:lang w:val="es-ES_tradnl"/>
              </w:rPr>
            </w:pPr>
            <w:r w:rsidRPr="00447994">
              <w:rPr>
                <w:sz w:val="18"/>
                <w:szCs w:val="18"/>
                <w:lang w:val="es-ES_tradnl"/>
              </w:rPr>
              <w:t>Alta</w:t>
            </w:r>
          </w:p>
        </w:tc>
      </w:tr>
      <w:tr w:rsidR="00806D82" w:rsidRPr="00447994" w14:paraId="33266C23" w14:textId="77777777" w:rsidTr="00A2639E">
        <w:trPr>
          <w:trHeight w:val="57"/>
          <w:jc w:val="right"/>
        </w:trPr>
        <w:tc>
          <w:tcPr>
            <w:tcW w:w="8307" w:type="dxa"/>
            <w:gridSpan w:val="4"/>
          </w:tcPr>
          <w:p w14:paraId="7FA3349D" w14:textId="77777777" w:rsidR="00806D82" w:rsidRPr="00447994" w:rsidRDefault="00806D82">
            <w:pPr>
              <w:pStyle w:val="Normal-pool"/>
              <w:numPr>
                <w:ilvl w:val="0"/>
                <w:numId w:val="3"/>
              </w:numPr>
              <w:tabs>
                <w:tab w:val="clear" w:pos="1247"/>
              </w:tabs>
              <w:spacing w:before="40" w:after="40"/>
              <w:ind w:left="318" w:hanging="284"/>
              <w:rPr>
                <w:sz w:val="18"/>
                <w:szCs w:val="18"/>
                <w:lang w:val="es-ES_tradnl"/>
              </w:rPr>
            </w:pPr>
            <w:r w:rsidRPr="00447994">
              <w:rPr>
                <w:b/>
                <w:bCs/>
                <w:sz w:val="18"/>
                <w:szCs w:val="18"/>
                <w:lang w:val="es-ES_tradnl"/>
              </w:rPr>
              <w:t>Asuntos científicos y técnicos</w:t>
            </w:r>
          </w:p>
        </w:tc>
      </w:tr>
      <w:tr w:rsidR="00806D82" w:rsidRPr="00447994" w14:paraId="3A9002B9" w14:textId="77777777" w:rsidTr="00A2639E">
        <w:trPr>
          <w:trHeight w:val="57"/>
          <w:jc w:val="right"/>
        </w:trPr>
        <w:tc>
          <w:tcPr>
            <w:tcW w:w="2255" w:type="dxa"/>
            <w:vMerge w:val="restart"/>
          </w:tcPr>
          <w:p w14:paraId="640F535A" w14:textId="77777777" w:rsidR="00806D82" w:rsidRPr="00447994" w:rsidRDefault="00806D82">
            <w:pPr>
              <w:pStyle w:val="Normal-pool"/>
              <w:numPr>
                <w:ilvl w:val="0"/>
                <w:numId w:val="8"/>
              </w:numPr>
              <w:tabs>
                <w:tab w:val="clear" w:pos="1247"/>
                <w:tab w:val="left" w:pos="300"/>
              </w:tabs>
              <w:spacing w:before="40" w:after="40"/>
              <w:ind w:left="318" w:right="57" w:hanging="284"/>
              <w:rPr>
                <w:sz w:val="18"/>
                <w:szCs w:val="18"/>
                <w:lang w:val="es-ES_tradnl"/>
              </w:rPr>
            </w:pPr>
            <w:r w:rsidRPr="00447994">
              <w:rPr>
                <w:sz w:val="18"/>
                <w:szCs w:val="18"/>
                <w:lang w:val="es-ES_tradnl"/>
              </w:rPr>
              <w:t>Directrices técnicas</w:t>
            </w:r>
          </w:p>
        </w:tc>
        <w:tc>
          <w:tcPr>
            <w:tcW w:w="3274" w:type="dxa"/>
          </w:tcPr>
          <w:p w14:paraId="3AFD9F54" w14:textId="77777777" w:rsidR="00806D82" w:rsidRPr="00447994" w:rsidRDefault="00806D82">
            <w:pPr>
              <w:pStyle w:val="Normal-pool"/>
              <w:numPr>
                <w:ilvl w:val="0"/>
                <w:numId w:val="7"/>
              </w:numPr>
              <w:tabs>
                <w:tab w:val="clear" w:pos="1247"/>
                <w:tab w:val="left" w:pos="211"/>
              </w:tabs>
              <w:spacing w:before="40" w:after="40"/>
              <w:ind w:left="208" w:right="57" w:hanging="218"/>
              <w:rPr>
                <w:sz w:val="18"/>
                <w:szCs w:val="18"/>
                <w:lang w:val="es-ES_tradnl"/>
              </w:rPr>
            </w:pPr>
            <w:r w:rsidRPr="00447994">
              <w:rPr>
                <w:sz w:val="18"/>
                <w:szCs w:val="18"/>
                <w:lang w:val="es-ES_tradnl"/>
              </w:rPr>
              <w:t>Examen de las observaciones y las informaciones relacionadas con el examen de los valores provisionales de bajo contenido de contaminantes orgánicos persistentes que figuran en las directrices técnicas generales mencionadas en la decisión BC</w:t>
            </w:r>
            <w:r w:rsidRPr="00447994">
              <w:rPr>
                <w:sz w:val="18"/>
                <w:szCs w:val="18"/>
                <w:lang w:val="es-ES_tradnl"/>
              </w:rPr>
              <w:noBreakHyphen/>
              <w:t>15/6 y en otras directrices técnicas, si procede.</w:t>
            </w:r>
          </w:p>
        </w:tc>
        <w:tc>
          <w:tcPr>
            <w:tcW w:w="1701" w:type="dxa"/>
          </w:tcPr>
          <w:p w14:paraId="2ED6281E" w14:textId="77777777" w:rsidR="00806D82" w:rsidRPr="00447994" w:rsidRDefault="00806D82" w:rsidP="00A2639E">
            <w:pPr>
              <w:pStyle w:val="Normal-pool"/>
              <w:spacing w:before="40" w:after="40"/>
              <w:rPr>
                <w:sz w:val="18"/>
                <w:szCs w:val="18"/>
                <w:lang w:val="es-ES_tradnl"/>
              </w:rPr>
            </w:pPr>
            <w:r w:rsidRPr="00447994">
              <w:rPr>
                <w:sz w:val="18"/>
                <w:szCs w:val="18"/>
                <w:lang w:val="es-ES_tradnl"/>
              </w:rPr>
              <w:t>Decisión BC</w:t>
            </w:r>
            <w:r w:rsidRPr="00447994">
              <w:rPr>
                <w:sz w:val="18"/>
                <w:szCs w:val="18"/>
                <w:lang w:val="es-ES_tradnl"/>
              </w:rPr>
              <w:noBreakHyphen/>
              <w:t>15/6</w:t>
            </w:r>
          </w:p>
        </w:tc>
        <w:tc>
          <w:tcPr>
            <w:tcW w:w="1077" w:type="dxa"/>
          </w:tcPr>
          <w:p w14:paraId="68CDCF21" w14:textId="77777777" w:rsidR="00806D82" w:rsidRPr="00447994" w:rsidRDefault="00806D82" w:rsidP="00A2639E">
            <w:pPr>
              <w:pStyle w:val="Normal-pool"/>
              <w:spacing w:before="40" w:after="40"/>
              <w:rPr>
                <w:sz w:val="18"/>
                <w:szCs w:val="18"/>
                <w:lang w:val="es-ES_tradnl"/>
              </w:rPr>
            </w:pPr>
            <w:r w:rsidRPr="00447994">
              <w:rPr>
                <w:sz w:val="18"/>
                <w:szCs w:val="18"/>
                <w:lang w:val="es-ES_tradnl"/>
              </w:rPr>
              <w:t>Alta</w:t>
            </w:r>
          </w:p>
        </w:tc>
      </w:tr>
      <w:tr w:rsidR="00806D82" w:rsidRPr="00447994" w14:paraId="782F953D" w14:textId="77777777" w:rsidTr="00A2639E">
        <w:trPr>
          <w:trHeight w:val="57"/>
          <w:jc w:val="right"/>
        </w:trPr>
        <w:tc>
          <w:tcPr>
            <w:tcW w:w="2255" w:type="dxa"/>
            <w:vMerge/>
          </w:tcPr>
          <w:p w14:paraId="41C555F6" w14:textId="77777777" w:rsidR="00806D82" w:rsidRPr="00447994" w:rsidRDefault="00806D82" w:rsidP="00A2639E">
            <w:pPr>
              <w:pStyle w:val="Normal-pool"/>
              <w:tabs>
                <w:tab w:val="left" w:pos="300"/>
              </w:tabs>
              <w:spacing w:before="40" w:after="40"/>
              <w:ind w:left="57" w:right="57"/>
              <w:rPr>
                <w:sz w:val="18"/>
                <w:szCs w:val="18"/>
                <w:lang w:val="es-ES_tradnl"/>
              </w:rPr>
            </w:pPr>
          </w:p>
        </w:tc>
        <w:tc>
          <w:tcPr>
            <w:tcW w:w="3274" w:type="dxa"/>
          </w:tcPr>
          <w:p w14:paraId="4A7FA7A4" w14:textId="77777777" w:rsidR="00806D82" w:rsidRPr="00447994" w:rsidRDefault="00806D82">
            <w:pPr>
              <w:pStyle w:val="Normal-pool"/>
              <w:numPr>
                <w:ilvl w:val="0"/>
                <w:numId w:val="7"/>
              </w:numPr>
              <w:tabs>
                <w:tab w:val="clear" w:pos="1247"/>
                <w:tab w:val="left" w:pos="211"/>
              </w:tabs>
              <w:spacing w:before="40" w:after="40"/>
              <w:ind w:left="208" w:right="57" w:hanging="218"/>
              <w:rPr>
                <w:sz w:val="18"/>
                <w:szCs w:val="18"/>
                <w:lang w:val="es-ES_tradnl"/>
              </w:rPr>
            </w:pPr>
            <w:r w:rsidRPr="00447994">
              <w:rPr>
                <w:sz w:val="18"/>
                <w:szCs w:val="18"/>
                <w:lang w:val="es-ES_tradnl"/>
              </w:rPr>
              <w:t xml:space="preserve">Actualización de las directrices técnicas generales sobre el manejo ambientalmente racional de los desechos consistentes en contaminantes orgánicos persistentes, que los contengan o estén contaminados con ellos, y las directrices técnicas sobre el ácido </w:t>
            </w:r>
            <w:proofErr w:type="spellStart"/>
            <w:r w:rsidRPr="00447994">
              <w:rPr>
                <w:sz w:val="18"/>
                <w:szCs w:val="18"/>
                <w:lang w:val="es-ES_tradnl"/>
              </w:rPr>
              <w:t>perfluorooctano</w:t>
            </w:r>
            <w:proofErr w:type="spellEnd"/>
            <w:r w:rsidRPr="00447994">
              <w:rPr>
                <w:sz w:val="18"/>
                <w:szCs w:val="18"/>
                <w:lang w:val="es-ES_tradnl"/>
              </w:rPr>
              <w:t xml:space="preserve"> sulfónico, sus sales y el fluoruro de </w:t>
            </w:r>
            <w:proofErr w:type="spellStart"/>
            <w:r w:rsidRPr="00447994">
              <w:rPr>
                <w:sz w:val="18"/>
                <w:szCs w:val="18"/>
                <w:lang w:val="es-ES_tradnl"/>
              </w:rPr>
              <w:t>perfluorooctano</w:t>
            </w:r>
            <w:proofErr w:type="spellEnd"/>
            <w:r w:rsidRPr="00447994">
              <w:rPr>
                <w:sz w:val="18"/>
                <w:szCs w:val="18"/>
                <w:lang w:val="es-ES_tradnl"/>
              </w:rPr>
              <w:t xml:space="preserve"> sulfonilo y el ácido </w:t>
            </w:r>
            <w:proofErr w:type="spellStart"/>
            <w:r w:rsidRPr="00447994">
              <w:rPr>
                <w:sz w:val="18"/>
                <w:szCs w:val="18"/>
                <w:lang w:val="es-ES_tradnl"/>
              </w:rPr>
              <w:t>perfluorooctanoico</w:t>
            </w:r>
            <w:proofErr w:type="spellEnd"/>
            <w:r w:rsidRPr="00447994">
              <w:rPr>
                <w:sz w:val="18"/>
                <w:szCs w:val="18"/>
                <w:lang w:val="es-ES_tradnl"/>
              </w:rPr>
              <w:t xml:space="preserve"> (PFOA), sus sales y los compuestos conexos del PFOA, </w:t>
            </w:r>
            <w:r w:rsidRPr="00447994">
              <w:rPr>
                <w:sz w:val="18"/>
                <w:szCs w:val="18"/>
                <w:lang w:val="es-ES_tradnl"/>
              </w:rPr>
              <w:lastRenderedPageBreak/>
              <w:t xml:space="preserve">para incluir el ácido </w:t>
            </w:r>
            <w:proofErr w:type="spellStart"/>
            <w:r w:rsidRPr="00447994">
              <w:rPr>
                <w:sz w:val="18"/>
                <w:szCs w:val="18"/>
                <w:lang w:val="es-ES_tradnl"/>
              </w:rPr>
              <w:t>perfluorohexano</w:t>
            </w:r>
            <w:proofErr w:type="spellEnd"/>
            <w:r w:rsidRPr="00447994">
              <w:rPr>
                <w:sz w:val="18"/>
                <w:szCs w:val="18"/>
                <w:lang w:val="es-ES_tradnl"/>
              </w:rPr>
              <w:t xml:space="preserve"> sulfónico (</w:t>
            </w:r>
            <w:proofErr w:type="spellStart"/>
            <w:r w:rsidRPr="00447994">
              <w:rPr>
                <w:sz w:val="18"/>
                <w:szCs w:val="18"/>
                <w:lang w:val="es-ES_tradnl"/>
              </w:rPr>
              <w:t>PFHxS</w:t>
            </w:r>
            <w:proofErr w:type="spellEnd"/>
            <w:r w:rsidRPr="00447994">
              <w:rPr>
                <w:sz w:val="18"/>
                <w:szCs w:val="18"/>
                <w:lang w:val="es-ES_tradnl"/>
              </w:rPr>
              <w:t xml:space="preserve">), sus sales y los compuestos conexos del </w:t>
            </w:r>
            <w:proofErr w:type="spellStart"/>
            <w:r w:rsidRPr="00447994">
              <w:rPr>
                <w:sz w:val="18"/>
                <w:szCs w:val="18"/>
                <w:lang w:val="es-ES_tradnl"/>
              </w:rPr>
              <w:t>PFHxS</w:t>
            </w:r>
            <w:proofErr w:type="spellEnd"/>
            <w:r w:rsidRPr="00447994">
              <w:rPr>
                <w:sz w:val="18"/>
                <w:szCs w:val="18"/>
                <w:lang w:val="es-ES_tradnl"/>
              </w:rPr>
              <w:t>, teniendo en cuenta la decisión SC</w:t>
            </w:r>
            <w:r w:rsidRPr="00447994">
              <w:rPr>
                <w:sz w:val="18"/>
                <w:szCs w:val="18"/>
                <w:lang w:val="es-ES_tradnl"/>
              </w:rPr>
              <w:noBreakHyphen/>
              <w:t>10/9 de la Conferencia de las Partes en el Convenio de Estocolmo, especialmente en relación con lo siguiente:</w:t>
            </w:r>
          </w:p>
          <w:p w14:paraId="1E4F2049" w14:textId="77777777" w:rsidR="00806D82" w:rsidRPr="00447994" w:rsidRDefault="00806D82">
            <w:pPr>
              <w:pStyle w:val="Normal-pool"/>
              <w:keepNext/>
              <w:keepLines/>
              <w:numPr>
                <w:ilvl w:val="0"/>
                <w:numId w:val="4"/>
              </w:numPr>
              <w:tabs>
                <w:tab w:val="clear" w:pos="1247"/>
                <w:tab w:val="clear" w:pos="1814"/>
                <w:tab w:val="left" w:pos="481"/>
              </w:tabs>
              <w:spacing w:before="40" w:after="40"/>
              <w:ind w:left="465" w:right="57" w:hanging="284"/>
              <w:rPr>
                <w:rFonts w:eastAsia="Batang"/>
                <w:sz w:val="18"/>
                <w:szCs w:val="18"/>
                <w:lang w:val="es-ES_tradnl"/>
              </w:rPr>
            </w:pPr>
            <w:r w:rsidRPr="00447994">
              <w:rPr>
                <w:sz w:val="18"/>
                <w:szCs w:val="18"/>
                <w:lang w:val="es-ES_tradnl"/>
              </w:rPr>
              <w:t xml:space="preserve">Establecimiento de los niveles de destrucción y transformación irreversible necesarios para que los productos químicos, al eliminarse, no presenten las características de contaminantes orgánicos persistentes especificadas en el párrafo 1 del anexo D del Convenio de Estocolmo; </w:t>
            </w:r>
          </w:p>
          <w:p w14:paraId="5C9664F6" w14:textId="77777777" w:rsidR="00806D82" w:rsidRPr="00447994" w:rsidRDefault="00806D82">
            <w:pPr>
              <w:pStyle w:val="Normal-pool"/>
              <w:numPr>
                <w:ilvl w:val="0"/>
                <w:numId w:val="4"/>
              </w:numPr>
              <w:tabs>
                <w:tab w:val="clear" w:pos="1247"/>
                <w:tab w:val="left" w:pos="481"/>
              </w:tabs>
              <w:spacing w:before="40" w:after="40"/>
              <w:ind w:left="465" w:right="57" w:hanging="284"/>
              <w:rPr>
                <w:sz w:val="18"/>
                <w:szCs w:val="18"/>
                <w:lang w:val="es-ES_tradnl"/>
              </w:rPr>
            </w:pPr>
            <w:r w:rsidRPr="00447994">
              <w:rPr>
                <w:sz w:val="18"/>
                <w:szCs w:val="18"/>
                <w:lang w:val="es-ES_tradnl"/>
              </w:rPr>
              <w:t xml:space="preserve">Determinación de los métodos de eliminación que constituyen la eliminación ambientalmente racional a que se hace referencia en el párrafo 1 d) </w:t>
            </w:r>
            <w:proofErr w:type="spellStart"/>
            <w:r w:rsidRPr="00447994">
              <w:rPr>
                <w:sz w:val="18"/>
                <w:szCs w:val="18"/>
                <w:lang w:val="es-ES_tradnl"/>
              </w:rPr>
              <w:t>ii</w:t>
            </w:r>
            <w:proofErr w:type="spellEnd"/>
            <w:r w:rsidRPr="00447994">
              <w:rPr>
                <w:sz w:val="18"/>
                <w:szCs w:val="18"/>
                <w:lang w:val="es-ES_tradnl"/>
              </w:rPr>
              <w:t xml:space="preserve">) del artículo 6 del Convenio de Estocolmo; </w:t>
            </w:r>
          </w:p>
          <w:p w14:paraId="10AC2669" w14:textId="77777777" w:rsidR="00806D82" w:rsidRPr="00447994" w:rsidRDefault="00806D82">
            <w:pPr>
              <w:pStyle w:val="Normal-pool"/>
              <w:numPr>
                <w:ilvl w:val="0"/>
                <w:numId w:val="4"/>
              </w:numPr>
              <w:tabs>
                <w:tab w:val="clear" w:pos="1247"/>
                <w:tab w:val="left" w:pos="481"/>
              </w:tabs>
              <w:spacing w:before="40" w:after="40"/>
              <w:ind w:left="475" w:right="58" w:hanging="288"/>
              <w:rPr>
                <w:sz w:val="18"/>
                <w:szCs w:val="18"/>
                <w:lang w:val="es-ES_tradnl"/>
              </w:rPr>
            </w:pPr>
            <w:r w:rsidRPr="00447994">
              <w:rPr>
                <w:sz w:val="18"/>
                <w:szCs w:val="18"/>
                <w:lang w:val="es-ES_tradnl"/>
              </w:rPr>
              <w:t xml:space="preserve">Establecimiento, cuando proceda, de los niveles de concentración de productos químicos necesarios para definir los correspondientes valores de bajo contenido de contaminantes orgánicos persistentes a que se hace referencia en el párrafo 1 d) </w:t>
            </w:r>
            <w:proofErr w:type="spellStart"/>
            <w:r w:rsidRPr="00447994">
              <w:rPr>
                <w:sz w:val="18"/>
                <w:szCs w:val="18"/>
                <w:lang w:val="es-ES_tradnl"/>
              </w:rPr>
              <w:t>ii</w:t>
            </w:r>
            <w:proofErr w:type="spellEnd"/>
            <w:r w:rsidRPr="00447994">
              <w:rPr>
                <w:sz w:val="18"/>
                <w:szCs w:val="18"/>
                <w:lang w:val="es-ES_tradnl"/>
              </w:rPr>
              <w:t>) del artículo 6 del Convenio de Estocolmo;</w:t>
            </w:r>
          </w:p>
        </w:tc>
        <w:tc>
          <w:tcPr>
            <w:tcW w:w="1701" w:type="dxa"/>
          </w:tcPr>
          <w:p w14:paraId="374A32FB" w14:textId="77777777" w:rsidR="00806D82" w:rsidRPr="00447994" w:rsidRDefault="00806D82" w:rsidP="00A2639E">
            <w:pPr>
              <w:pStyle w:val="Normal-pool"/>
              <w:spacing w:before="40" w:after="40"/>
              <w:rPr>
                <w:sz w:val="18"/>
                <w:szCs w:val="18"/>
                <w:lang w:val="es-ES_tradnl"/>
              </w:rPr>
            </w:pPr>
            <w:r w:rsidRPr="00447994">
              <w:rPr>
                <w:sz w:val="18"/>
                <w:szCs w:val="18"/>
                <w:lang w:val="es-ES_tradnl"/>
              </w:rPr>
              <w:lastRenderedPageBreak/>
              <w:t>Decisión BC</w:t>
            </w:r>
            <w:r w:rsidRPr="00447994">
              <w:rPr>
                <w:sz w:val="18"/>
                <w:szCs w:val="18"/>
                <w:lang w:val="es-ES_tradnl"/>
              </w:rPr>
              <w:noBreakHyphen/>
              <w:t>15/6</w:t>
            </w:r>
          </w:p>
        </w:tc>
        <w:tc>
          <w:tcPr>
            <w:tcW w:w="1077" w:type="dxa"/>
          </w:tcPr>
          <w:p w14:paraId="3492A0CD" w14:textId="77777777" w:rsidR="00806D82" w:rsidRPr="00447994" w:rsidRDefault="00806D82" w:rsidP="00A2639E">
            <w:pPr>
              <w:pStyle w:val="Normal-pool"/>
              <w:spacing w:before="40" w:after="40"/>
              <w:rPr>
                <w:sz w:val="18"/>
                <w:szCs w:val="18"/>
                <w:lang w:val="es-ES_tradnl"/>
              </w:rPr>
            </w:pPr>
            <w:r w:rsidRPr="00447994">
              <w:rPr>
                <w:sz w:val="18"/>
                <w:szCs w:val="18"/>
                <w:lang w:val="es-ES_tradnl"/>
              </w:rPr>
              <w:t>Alta</w:t>
            </w:r>
          </w:p>
        </w:tc>
      </w:tr>
      <w:tr w:rsidR="00806D82" w:rsidRPr="00447994" w14:paraId="767201C5" w14:textId="77777777" w:rsidTr="00A2639E">
        <w:trPr>
          <w:trHeight w:val="57"/>
          <w:jc w:val="right"/>
        </w:trPr>
        <w:tc>
          <w:tcPr>
            <w:tcW w:w="2255" w:type="dxa"/>
            <w:vMerge/>
          </w:tcPr>
          <w:p w14:paraId="547D2AE9" w14:textId="77777777" w:rsidR="00806D82" w:rsidRPr="00447994" w:rsidRDefault="00806D82" w:rsidP="00A2639E">
            <w:pPr>
              <w:pStyle w:val="Normal-pool"/>
              <w:tabs>
                <w:tab w:val="left" w:pos="300"/>
              </w:tabs>
              <w:spacing w:before="40" w:after="40"/>
              <w:ind w:left="57" w:right="57"/>
              <w:rPr>
                <w:sz w:val="18"/>
                <w:szCs w:val="18"/>
                <w:lang w:val="es-ES_tradnl"/>
              </w:rPr>
            </w:pPr>
          </w:p>
        </w:tc>
        <w:tc>
          <w:tcPr>
            <w:tcW w:w="3274" w:type="dxa"/>
          </w:tcPr>
          <w:p w14:paraId="60E42042" w14:textId="77777777" w:rsidR="00806D82" w:rsidRPr="00447994" w:rsidRDefault="00806D82">
            <w:pPr>
              <w:pStyle w:val="Normal-pool"/>
              <w:numPr>
                <w:ilvl w:val="0"/>
                <w:numId w:val="7"/>
              </w:numPr>
              <w:tabs>
                <w:tab w:val="clear" w:pos="1247"/>
                <w:tab w:val="left" w:pos="211"/>
              </w:tabs>
              <w:spacing w:before="40" w:after="40"/>
              <w:ind w:left="202" w:right="58" w:hanging="216"/>
              <w:rPr>
                <w:sz w:val="18"/>
                <w:szCs w:val="18"/>
                <w:lang w:val="es-ES_tradnl"/>
              </w:rPr>
            </w:pPr>
            <w:r w:rsidRPr="00447994">
              <w:rPr>
                <w:sz w:val="18"/>
                <w:szCs w:val="18"/>
                <w:lang w:val="es-ES_tradnl"/>
              </w:rPr>
              <w:t>Examen del informe sobre los progresos realizados en aplicación de la decisión BC</w:t>
            </w:r>
            <w:r w:rsidRPr="00447994">
              <w:rPr>
                <w:sz w:val="18"/>
                <w:szCs w:val="18"/>
                <w:lang w:val="es-ES_tradnl"/>
              </w:rPr>
              <w:noBreakHyphen/>
              <w:t>15/7, relativa a las directrices técnicas sobre los movimientos transfronterizos de desechos eléctricos y electrónicos y equipo eléctrico y electrónico usado, en particular respecto de la distinción entre desechos y materiales que no son desechos en el marco del Convenio de Basilea.</w:t>
            </w:r>
          </w:p>
        </w:tc>
        <w:tc>
          <w:tcPr>
            <w:tcW w:w="1701" w:type="dxa"/>
          </w:tcPr>
          <w:p w14:paraId="2AB6683B" w14:textId="77777777" w:rsidR="00806D82" w:rsidRPr="00447994" w:rsidRDefault="00806D82" w:rsidP="00A2639E">
            <w:pPr>
              <w:pStyle w:val="Normal-pool"/>
              <w:spacing w:before="40" w:after="40"/>
              <w:rPr>
                <w:sz w:val="18"/>
                <w:szCs w:val="18"/>
                <w:lang w:val="es-ES_tradnl"/>
              </w:rPr>
            </w:pPr>
            <w:r w:rsidRPr="00447994">
              <w:rPr>
                <w:sz w:val="18"/>
                <w:szCs w:val="18"/>
                <w:lang w:val="es-ES_tradnl"/>
              </w:rPr>
              <w:t>Decisión BC</w:t>
            </w:r>
            <w:r w:rsidRPr="00447994">
              <w:rPr>
                <w:sz w:val="18"/>
                <w:szCs w:val="18"/>
                <w:lang w:val="es-ES_tradnl"/>
              </w:rPr>
              <w:noBreakHyphen/>
              <w:t>15/7</w:t>
            </w:r>
          </w:p>
        </w:tc>
        <w:tc>
          <w:tcPr>
            <w:tcW w:w="1077" w:type="dxa"/>
          </w:tcPr>
          <w:p w14:paraId="32C97A9F" w14:textId="77777777" w:rsidR="00806D82" w:rsidRPr="00447994" w:rsidRDefault="00806D82" w:rsidP="00A2639E">
            <w:pPr>
              <w:pStyle w:val="Normal-pool"/>
              <w:spacing w:before="40" w:after="40"/>
              <w:rPr>
                <w:sz w:val="18"/>
                <w:szCs w:val="18"/>
                <w:lang w:val="es-ES_tradnl"/>
              </w:rPr>
            </w:pPr>
            <w:r w:rsidRPr="00447994">
              <w:rPr>
                <w:sz w:val="18"/>
                <w:szCs w:val="18"/>
                <w:lang w:val="es-ES_tradnl"/>
              </w:rPr>
              <w:t>Media</w:t>
            </w:r>
          </w:p>
        </w:tc>
      </w:tr>
      <w:tr w:rsidR="00806D82" w:rsidRPr="00447994" w14:paraId="48289324" w14:textId="77777777" w:rsidTr="00A2639E">
        <w:trPr>
          <w:trHeight w:val="57"/>
          <w:jc w:val="right"/>
        </w:trPr>
        <w:tc>
          <w:tcPr>
            <w:tcW w:w="2255" w:type="dxa"/>
            <w:vMerge/>
          </w:tcPr>
          <w:p w14:paraId="0EBAE4DF" w14:textId="77777777" w:rsidR="00806D82" w:rsidRPr="00447994" w:rsidRDefault="00806D82" w:rsidP="00A2639E">
            <w:pPr>
              <w:pStyle w:val="Normal-pool"/>
              <w:tabs>
                <w:tab w:val="left" w:pos="300"/>
              </w:tabs>
              <w:spacing w:before="40" w:after="40"/>
              <w:ind w:left="57" w:right="57"/>
              <w:rPr>
                <w:sz w:val="18"/>
                <w:szCs w:val="18"/>
                <w:lang w:val="es-ES_tradnl"/>
              </w:rPr>
            </w:pPr>
          </w:p>
        </w:tc>
        <w:tc>
          <w:tcPr>
            <w:tcW w:w="3274" w:type="dxa"/>
          </w:tcPr>
          <w:p w14:paraId="32EAEDB1" w14:textId="77777777" w:rsidR="00806D82" w:rsidRPr="00447994" w:rsidRDefault="00806D82">
            <w:pPr>
              <w:pStyle w:val="Normal-pool"/>
              <w:numPr>
                <w:ilvl w:val="0"/>
                <w:numId w:val="7"/>
              </w:numPr>
              <w:tabs>
                <w:tab w:val="clear" w:pos="1247"/>
                <w:tab w:val="left" w:pos="211"/>
              </w:tabs>
              <w:spacing w:before="40" w:after="40"/>
              <w:ind w:left="202" w:right="58" w:hanging="216"/>
              <w:rPr>
                <w:sz w:val="18"/>
                <w:szCs w:val="18"/>
                <w:lang w:val="es-ES_tradnl"/>
              </w:rPr>
            </w:pPr>
            <w:r w:rsidRPr="00447994">
              <w:rPr>
                <w:sz w:val="18"/>
                <w:szCs w:val="18"/>
                <w:lang w:val="es-ES_tradnl"/>
              </w:rPr>
              <w:t>Examen del proyecto de directrices técnicas actualizadas para la gestión ambientalmente racional de los desechos plásticos.</w:t>
            </w:r>
          </w:p>
        </w:tc>
        <w:tc>
          <w:tcPr>
            <w:tcW w:w="1701" w:type="dxa"/>
          </w:tcPr>
          <w:p w14:paraId="79AD7F5B" w14:textId="77777777" w:rsidR="00806D82" w:rsidRPr="00447994" w:rsidRDefault="00806D82" w:rsidP="00A2639E">
            <w:pPr>
              <w:pStyle w:val="Normal-pool"/>
              <w:spacing w:before="40" w:after="40"/>
              <w:rPr>
                <w:sz w:val="18"/>
                <w:szCs w:val="18"/>
                <w:lang w:val="es-ES_tradnl"/>
              </w:rPr>
            </w:pPr>
            <w:r w:rsidRPr="00447994">
              <w:rPr>
                <w:sz w:val="18"/>
                <w:szCs w:val="18"/>
                <w:lang w:val="es-ES_tradnl"/>
              </w:rPr>
              <w:t>Decisión BC</w:t>
            </w:r>
            <w:r w:rsidRPr="00447994">
              <w:rPr>
                <w:sz w:val="18"/>
                <w:szCs w:val="18"/>
                <w:lang w:val="es-ES_tradnl"/>
              </w:rPr>
              <w:noBreakHyphen/>
              <w:t>15/10</w:t>
            </w:r>
          </w:p>
        </w:tc>
        <w:tc>
          <w:tcPr>
            <w:tcW w:w="1077" w:type="dxa"/>
          </w:tcPr>
          <w:p w14:paraId="0FFBC105" w14:textId="77777777" w:rsidR="00806D82" w:rsidRPr="00447994" w:rsidRDefault="00806D82" w:rsidP="00A2639E">
            <w:pPr>
              <w:pStyle w:val="Normal-pool"/>
              <w:spacing w:before="40" w:after="40"/>
              <w:rPr>
                <w:sz w:val="18"/>
                <w:szCs w:val="18"/>
                <w:lang w:val="es-ES_tradnl"/>
              </w:rPr>
            </w:pPr>
            <w:r w:rsidRPr="00447994">
              <w:rPr>
                <w:sz w:val="18"/>
                <w:szCs w:val="18"/>
                <w:lang w:val="es-ES_tradnl"/>
              </w:rPr>
              <w:t>Alta</w:t>
            </w:r>
          </w:p>
        </w:tc>
      </w:tr>
      <w:tr w:rsidR="00806D82" w:rsidRPr="00447994" w14:paraId="520E4CA0" w14:textId="77777777" w:rsidTr="00A2639E">
        <w:trPr>
          <w:trHeight w:val="963"/>
          <w:jc w:val="right"/>
        </w:trPr>
        <w:tc>
          <w:tcPr>
            <w:tcW w:w="2255" w:type="dxa"/>
            <w:vMerge/>
          </w:tcPr>
          <w:p w14:paraId="57A19A01" w14:textId="77777777" w:rsidR="00806D82" w:rsidRPr="00447994" w:rsidRDefault="00806D82" w:rsidP="00A2639E">
            <w:pPr>
              <w:pStyle w:val="Normal-pool"/>
              <w:tabs>
                <w:tab w:val="left" w:pos="300"/>
              </w:tabs>
              <w:spacing w:before="40" w:after="40"/>
              <w:ind w:left="57" w:right="57"/>
              <w:rPr>
                <w:sz w:val="18"/>
                <w:szCs w:val="18"/>
                <w:lang w:val="es-ES_tradnl"/>
              </w:rPr>
            </w:pPr>
          </w:p>
        </w:tc>
        <w:tc>
          <w:tcPr>
            <w:tcW w:w="3274" w:type="dxa"/>
          </w:tcPr>
          <w:p w14:paraId="6D9DEE9A" w14:textId="77777777" w:rsidR="00806D82" w:rsidRPr="00447994" w:rsidRDefault="00806D82">
            <w:pPr>
              <w:pStyle w:val="Normal-pool"/>
              <w:numPr>
                <w:ilvl w:val="0"/>
                <w:numId w:val="7"/>
              </w:numPr>
              <w:tabs>
                <w:tab w:val="clear" w:pos="1247"/>
                <w:tab w:val="left" w:pos="211"/>
              </w:tabs>
              <w:spacing w:before="40" w:after="40"/>
              <w:ind w:left="202" w:right="58" w:hanging="216"/>
              <w:rPr>
                <w:sz w:val="18"/>
                <w:szCs w:val="18"/>
                <w:lang w:val="es-ES_tradnl"/>
              </w:rPr>
            </w:pPr>
            <w:r w:rsidRPr="00447994">
              <w:rPr>
                <w:sz w:val="18"/>
                <w:szCs w:val="18"/>
                <w:lang w:val="es-ES_tradnl"/>
              </w:rPr>
              <w:t>Examen del proyecto de directrices técnicas actualizadas para la gestión ambientalmente racional de las baterías de plomo</w:t>
            </w:r>
            <w:r w:rsidRPr="00447994">
              <w:rPr>
                <w:sz w:val="18"/>
                <w:szCs w:val="18"/>
                <w:lang w:val="es-ES_tradnl"/>
              </w:rPr>
              <w:noBreakHyphen/>
              <w:t xml:space="preserve">ácido usadas. </w:t>
            </w:r>
          </w:p>
        </w:tc>
        <w:tc>
          <w:tcPr>
            <w:tcW w:w="1701" w:type="dxa"/>
          </w:tcPr>
          <w:p w14:paraId="5ED78CC5" w14:textId="77777777" w:rsidR="00806D82" w:rsidRPr="00447994" w:rsidRDefault="00806D82" w:rsidP="00A2639E">
            <w:pPr>
              <w:pStyle w:val="Normal-pool"/>
              <w:spacing w:before="40" w:after="40"/>
              <w:rPr>
                <w:sz w:val="18"/>
                <w:szCs w:val="18"/>
                <w:lang w:val="es-ES_tradnl"/>
              </w:rPr>
            </w:pPr>
            <w:r w:rsidRPr="00447994">
              <w:rPr>
                <w:sz w:val="18"/>
                <w:szCs w:val="18"/>
                <w:lang w:val="es-ES_tradnl"/>
              </w:rPr>
              <w:t>Decisión BC</w:t>
            </w:r>
            <w:r w:rsidRPr="00447994">
              <w:rPr>
                <w:sz w:val="18"/>
                <w:szCs w:val="18"/>
                <w:lang w:val="es-ES_tradnl"/>
              </w:rPr>
              <w:noBreakHyphen/>
              <w:t>15/11</w:t>
            </w:r>
          </w:p>
        </w:tc>
        <w:tc>
          <w:tcPr>
            <w:tcW w:w="1077" w:type="dxa"/>
          </w:tcPr>
          <w:p w14:paraId="0E40411A" w14:textId="77777777" w:rsidR="00806D82" w:rsidRPr="00447994" w:rsidDel="00D46555" w:rsidRDefault="00806D82" w:rsidP="00A2639E">
            <w:pPr>
              <w:pStyle w:val="Normal-pool"/>
              <w:spacing w:before="40" w:after="40"/>
              <w:rPr>
                <w:sz w:val="18"/>
                <w:szCs w:val="18"/>
                <w:lang w:val="es-ES_tradnl"/>
              </w:rPr>
            </w:pPr>
            <w:r w:rsidRPr="00447994">
              <w:rPr>
                <w:sz w:val="18"/>
                <w:szCs w:val="18"/>
                <w:lang w:val="es-ES_tradnl"/>
              </w:rPr>
              <w:t>Alta</w:t>
            </w:r>
          </w:p>
        </w:tc>
      </w:tr>
      <w:tr w:rsidR="00806D82" w:rsidRPr="00447994" w14:paraId="078E614B" w14:textId="77777777" w:rsidTr="00A2639E">
        <w:trPr>
          <w:trHeight w:val="57"/>
          <w:jc w:val="right"/>
        </w:trPr>
        <w:tc>
          <w:tcPr>
            <w:tcW w:w="2255" w:type="dxa"/>
            <w:vMerge/>
          </w:tcPr>
          <w:p w14:paraId="099E6939" w14:textId="77777777" w:rsidR="00806D82" w:rsidRPr="00447994" w:rsidRDefault="00806D82" w:rsidP="00A2639E">
            <w:pPr>
              <w:pStyle w:val="Normal-pool"/>
              <w:tabs>
                <w:tab w:val="left" w:pos="300"/>
              </w:tabs>
              <w:spacing w:before="40" w:after="40"/>
              <w:ind w:left="57" w:right="57"/>
              <w:rPr>
                <w:sz w:val="18"/>
                <w:szCs w:val="18"/>
                <w:lang w:val="es-ES_tradnl"/>
              </w:rPr>
            </w:pPr>
          </w:p>
        </w:tc>
        <w:tc>
          <w:tcPr>
            <w:tcW w:w="3274" w:type="dxa"/>
          </w:tcPr>
          <w:p w14:paraId="1D37740B" w14:textId="77777777" w:rsidR="00806D82" w:rsidRPr="00447994" w:rsidRDefault="00806D82">
            <w:pPr>
              <w:pStyle w:val="Normal-pool"/>
              <w:numPr>
                <w:ilvl w:val="0"/>
                <w:numId w:val="7"/>
              </w:numPr>
              <w:tabs>
                <w:tab w:val="clear" w:pos="1247"/>
                <w:tab w:val="left" w:pos="211"/>
              </w:tabs>
              <w:spacing w:before="40" w:after="40"/>
              <w:ind w:left="204" w:right="57" w:hanging="215"/>
              <w:rPr>
                <w:sz w:val="18"/>
                <w:szCs w:val="18"/>
                <w:lang w:val="es-ES_tradnl"/>
              </w:rPr>
            </w:pPr>
            <w:r w:rsidRPr="00447994">
              <w:rPr>
                <w:sz w:val="18"/>
                <w:szCs w:val="18"/>
                <w:lang w:val="es-ES_tradnl"/>
              </w:rPr>
              <w:t>Examen del proyecto de directrices técnicas actualizadas para el manejo ambientalmente racional de neumáticos usados y de desecho.</w:t>
            </w:r>
          </w:p>
        </w:tc>
        <w:tc>
          <w:tcPr>
            <w:tcW w:w="1701" w:type="dxa"/>
          </w:tcPr>
          <w:p w14:paraId="736B96A5" w14:textId="77777777" w:rsidR="00806D82" w:rsidRPr="00447994" w:rsidRDefault="00806D82" w:rsidP="00A2639E">
            <w:pPr>
              <w:pStyle w:val="Normal-pool"/>
              <w:spacing w:before="40" w:after="40"/>
              <w:rPr>
                <w:sz w:val="18"/>
                <w:szCs w:val="18"/>
                <w:lang w:val="es-ES_tradnl"/>
              </w:rPr>
            </w:pPr>
            <w:r w:rsidRPr="00447994">
              <w:rPr>
                <w:sz w:val="18"/>
                <w:szCs w:val="18"/>
                <w:lang w:val="es-ES_tradnl"/>
              </w:rPr>
              <w:t>Decisión BC</w:t>
            </w:r>
            <w:r w:rsidRPr="00447994">
              <w:rPr>
                <w:sz w:val="18"/>
                <w:szCs w:val="18"/>
                <w:lang w:val="es-ES_tradnl"/>
              </w:rPr>
              <w:noBreakHyphen/>
              <w:t>15/15</w:t>
            </w:r>
          </w:p>
        </w:tc>
        <w:tc>
          <w:tcPr>
            <w:tcW w:w="1077" w:type="dxa"/>
          </w:tcPr>
          <w:p w14:paraId="017F312E" w14:textId="77777777" w:rsidR="00806D82" w:rsidRPr="00447994" w:rsidRDefault="00806D82" w:rsidP="00A2639E">
            <w:pPr>
              <w:pStyle w:val="Normal-pool"/>
              <w:spacing w:before="40" w:after="40"/>
              <w:rPr>
                <w:sz w:val="18"/>
                <w:szCs w:val="18"/>
                <w:lang w:val="es-ES_tradnl"/>
              </w:rPr>
            </w:pPr>
            <w:r w:rsidRPr="00447994">
              <w:rPr>
                <w:sz w:val="18"/>
                <w:szCs w:val="18"/>
                <w:lang w:val="es-ES_tradnl"/>
              </w:rPr>
              <w:t>Media</w:t>
            </w:r>
          </w:p>
        </w:tc>
      </w:tr>
      <w:tr w:rsidR="00806D82" w:rsidRPr="00447994" w14:paraId="1007E124" w14:textId="77777777" w:rsidTr="00A2639E">
        <w:trPr>
          <w:trHeight w:val="57"/>
          <w:jc w:val="right"/>
        </w:trPr>
        <w:tc>
          <w:tcPr>
            <w:tcW w:w="2255" w:type="dxa"/>
            <w:vMerge/>
            <w:tcBorders>
              <w:bottom w:val="single" w:sz="4" w:space="0" w:color="auto"/>
            </w:tcBorders>
          </w:tcPr>
          <w:p w14:paraId="7C373AD5" w14:textId="77777777" w:rsidR="00806D82" w:rsidRPr="00447994" w:rsidRDefault="00806D82" w:rsidP="00A2639E">
            <w:pPr>
              <w:pStyle w:val="Normal-pool"/>
              <w:tabs>
                <w:tab w:val="left" w:pos="300"/>
              </w:tabs>
              <w:spacing w:before="40" w:after="40"/>
              <w:ind w:left="57" w:right="57"/>
              <w:rPr>
                <w:sz w:val="18"/>
                <w:szCs w:val="18"/>
                <w:lang w:val="es-ES_tradnl"/>
              </w:rPr>
            </w:pPr>
          </w:p>
        </w:tc>
        <w:tc>
          <w:tcPr>
            <w:tcW w:w="3274" w:type="dxa"/>
            <w:tcBorders>
              <w:bottom w:val="single" w:sz="4" w:space="0" w:color="auto"/>
            </w:tcBorders>
          </w:tcPr>
          <w:p w14:paraId="6DD8F8BF" w14:textId="77777777" w:rsidR="00806D82" w:rsidRPr="00447994" w:rsidRDefault="00806D82">
            <w:pPr>
              <w:pStyle w:val="Normal-pool"/>
              <w:numPr>
                <w:ilvl w:val="0"/>
                <w:numId w:val="7"/>
              </w:numPr>
              <w:tabs>
                <w:tab w:val="clear" w:pos="1247"/>
                <w:tab w:val="left" w:pos="211"/>
              </w:tabs>
              <w:spacing w:before="40" w:after="40"/>
              <w:ind w:left="202" w:right="58" w:hanging="216"/>
              <w:rPr>
                <w:sz w:val="18"/>
                <w:szCs w:val="18"/>
                <w:lang w:val="es-ES_tradnl"/>
              </w:rPr>
            </w:pPr>
            <w:r w:rsidRPr="00447994">
              <w:rPr>
                <w:sz w:val="18"/>
                <w:szCs w:val="18"/>
                <w:lang w:val="es-ES_tradnl"/>
              </w:rPr>
              <w:t xml:space="preserve">Examen de la conveniencia de elaborar directrices técnicas para la </w:t>
            </w:r>
            <w:r w:rsidRPr="00447994">
              <w:rPr>
                <w:sz w:val="18"/>
                <w:szCs w:val="18"/>
                <w:lang w:val="es-ES_tradnl"/>
              </w:rPr>
              <w:lastRenderedPageBreak/>
              <w:t>gestión ambientalmente racional de los desechos de caucho (entrada B3040) y los desechos y recortes de caucho (entrada B3080).</w:t>
            </w:r>
          </w:p>
        </w:tc>
        <w:tc>
          <w:tcPr>
            <w:tcW w:w="1701" w:type="dxa"/>
            <w:tcBorders>
              <w:bottom w:val="single" w:sz="4" w:space="0" w:color="auto"/>
            </w:tcBorders>
          </w:tcPr>
          <w:p w14:paraId="37CBA741" w14:textId="77777777" w:rsidR="00806D82" w:rsidRPr="00447994" w:rsidRDefault="00806D82" w:rsidP="00A2639E">
            <w:pPr>
              <w:pStyle w:val="Normal-pool"/>
              <w:spacing w:before="40" w:after="40"/>
              <w:rPr>
                <w:sz w:val="18"/>
                <w:szCs w:val="18"/>
                <w:lang w:val="es-ES_tradnl"/>
              </w:rPr>
            </w:pPr>
            <w:r w:rsidRPr="00447994">
              <w:rPr>
                <w:sz w:val="18"/>
                <w:szCs w:val="18"/>
                <w:lang w:val="es-ES_tradnl"/>
              </w:rPr>
              <w:lastRenderedPageBreak/>
              <w:t>Decisión BC</w:t>
            </w:r>
            <w:r w:rsidRPr="00447994">
              <w:rPr>
                <w:sz w:val="18"/>
                <w:szCs w:val="18"/>
                <w:lang w:val="es-ES_tradnl"/>
              </w:rPr>
              <w:noBreakHyphen/>
              <w:t>15/15</w:t>
            </w:r>
          </w:p>
        </w:tc>
        <w:tc>
          <w:tcPr>
            <w:tcW w:w="1077" w:type="dxa"/>
            <w:tcBorders>
              <w:bottom w:val="single" w:sz="4" w:space="0" w:color="auto"/>
            </w:tcBorders>
          </w:tcPr>
          <w:p w14:paraId="1ADC49CC" w14:textId="77777777" w:rsidR="00806D82" w:rsidRPr="00447994" w:rsidRDefault="00806D82" w:rsidP="00A2639E">
            <w:pPr>
              <w:pStyle w:val="Normal-pool"/>
              <w:spacing w:before="40" w:after="40"/>
              <w:rPr>
                <w:sz w:val="18"/>
                <w:szCs w:val="18"/>
                <w:lang w:val="es-ES_tradnl"/>
              </w:rPr>
            </w:pPr>
            <w:r w:rsidRPr="00447994">
              <w:rPr>
                <w:sz w:val="18"/>
                <w:szCs w:val="18"/>
                <w:lang w:val="es-ES_tradnl"/>
              </w:rPr>
              <w:t>Media</w:t>
            </w:r>
          </w:p>
        </w:tc>
      </w:tr>
      <w:tr w:rsidR="00806D82" w:rsidRPr="00447994" w14:paraId="558954B6" w14:textId="77777777" w:rsidTr="00A2639E">
        <w:trPr>
          <w:trHeight w:val="57"/>
          <w:jc w:val="right"/>
        </w:trPr>
        <w:tc>
          <w:tcPr>
            <w:tcW w:w="2255" w:type="dxa"/>
            <w:tcBorders>
              <w:top w:val="single" w:sz="4" w:space="0" w:color="auto"/>
              <w:bottom w:val="single" w:sz="4" w:space="0" w:color="auto"/>
            </w:tcBorders>
            <w:hideMark/>
          </w:tcPr>
          <w:p w14:paraId="1954E73D" w14:textId="77777777" w:rsidR="00806D82" w:rsidRPr="00447994" w:rsidRDefault="00806D82">
            <w:pPr>
              <w:pStyle w:val="Normal-pool"/>
              <w:numPr>
                <w:ilvl w:val="0"/>
                <w:numId w:val="8"/>
              </w:numPr>
              <w:tabs>
                <w:tab w:val="clear" w:pos="1247"/>
                <w:tab w:val="left" w:pos="300"/>
              </w:tabs>
              <w:spacing w:before="40" w:after="40"/>
              <w:ind w:left="318" w:right="57" w:hanging="284"/>
              <w:rPr>
                <w:sz w:val="18"/>
                <w:szCs w:val="18"/>
                <w:lang w:val="es-ES_tradnl"/>
              </w:rPr>
            </w:pPr>
            <w:r w:rsidRPr="00447994">
              <w:rPr>
                <w:sz w:val="18"/>
                <w:szCs w:val="18"/>
                <w:lang w:val="es-ES_tradnl"/>
              </w:rPr>
              <w:t>Métodos electrónicos respecto de los documentos relativos a las notificaciones y los movimientos</w:t>
            </w:r>
          </w:p>
        </w:tc>
        <w:tc>
          <w:tcPr>
            <w:tcW w:w="3274" w:type="dxa"/>
            <w:tcBorders>
              <w:top w:val="single" w:sz="4" w:space="0" w:color="auto"/>
              <w:bottom w:val="single" w:sz="4" w:space="0" w:color="auto"/>
            </w:tcBorders>
            <w:hideMark/>
          </w:tcPr>
          <w:p w14:paraId="6937DBBC" w14:textId="77777777" w:rsidR="00806D82" w:rsidRPr="00447994" w:rsidRDefault="00806D82" w:rsidP="00A2639E">
            <w:pPr>
              <w:pStyle w:val="Normal-pool"/>
              <w:spacing w:before="40" w:after="40"/>
              <w:ind w:left="57" w:right="57"/>
              <w:rPr>
                <w:sz w:val="18"/>
                <w:szCs w:val="18"/>
                <w:lang w:val="es-ES_tradnl"/>
              </w:rPr>
            </w:pPr>
            <w:r w:rsidRPr="00447994">
              <w:rPr>
                <w:sz w:val="18"/>
                <w:szCs w:val="18"/>
                <w:lang w:val="es-ES_tradnl"/>
              </w:rPr>
              <w:t>Examen del informe que contiene las recomendaciones sobre la forma de proceder en relación con la labor correspondiente a los métodos electrónicos de transmisión de documentos relativos a las notificaciones y los movimientos.</w:t>
            </w:r>
          </w:p>
        </w:tc>
        <w:tc>
          <w:tcPr>
            <w:tcW w:w="1701" w:type="dxa"/>
            <w:tcBorders>
              <w:top w:val="single" w:sz="4" w:space="0" w:color="auto"/>
              <w:bottom w:val="single" w:sz="4" w:space="0" w:color="auto"/>
            </w:tcBorders>
            <w:hideMark/>
          </w:tcPr>
          <w:p w14:paraId="1EF5AD91" w14:textId="77777777" w:rsidR="00806D82" w:rsidRPr="00447994" w:rsidRDefault="00806D82" w:rsidP="00A2639E">
            <w:pPr>
              <w:pStyle w:val="Normal-pool"/>
              <w:spacing w:before="40" w:after="40"/>
              <w:rPr>
                <w:sz w:val="18"/>
                <w:szCs w:val="18"/>
                <w:lang w:val="es-ES_tradnl"/>
              </w:rPr>
            </w:pPr>
            <w:r w:rsidRPr="00447994">
              <w:rPr>
                <w:sz w:val="18"/>
                <w:szCs w:val="18"/>
                <w:lang w:val="es-ES_tradnl"/>
              </w:rPr>
              <w:t>Decisión BC</w:t>
            </w:r>
            <w:r w:rsidRPr="00447994">
              <w:rPr>
                <w:sz w:val="18"/>
                <w:szCs w:val="18"/>
                <w:lang w:val="es-ES_tradnl"/>
              </w:rPr>
              <w:noBreakHyphen/>
              <w:t>15/14</w:t>
            </w:r>
          </w:p>
        </w:tc>
        <w:tc>
          <w:tcPr>
            <w:tcW w:w="1077" w:type="dxa"/>
            <w:tcBorders>
              <w:top w:val="single" w:sz="4" w:space="0" w:color="auto"/>
              <w:bottom w:val="single" w:sz="4" w:space="0" w:color="auto"/>
            </w:tcBorders>
            <w:hideMark/>
          </w:tcPr>
          <w:p w14:paraId="5210473A" w14:textId="77777777" w:rsidR="00806D82" w:rsidRPr="00447994" w:rsidRDefault="00806D82" w:rsidP="00A2639E">
            <w:pPr>
              <w:pStyle w:val="Normal-pool"/>
              <w:spacing w:before="40" w:after="40"/>
              <w:rPr>
                <w:sz w:val="18"/>
                <w:szCs w:val="18"/>
                <w:lang w:val="es-ES_tradnl"/>
              </w:rPr>
            </w:pPr>
            <w:r w:rsidRPr="00447994">
              <w:rPr>
                <w:sz w:val="18"/>
                <w:szCs w:val="18"/>
                <w:lang w:val="es-ES_tradnl"/>
              </w:rPr>
              <w:t>Media</w:t>
            </w:r>
          </w:p>
        </w:tc>
      </w:tr>
      <w:tr w:rsidR="00806D82" w:rsidRPr="00447994" w14:paraId="6F916B35" w14:textId="77777777" w:rsidTr="00A2639E">
        <w:trPr>
          <w:trHeight w:val="57"/>
          <w:jc w:val="right"/>
        </w:trPr>
        <w:tc>
          <w:tcPr>
            <w:tcW w:w="2255" w:type="dxa"/>
            <w:tcBorders>
              <w:top w:val="single" w:sz="4" w:space="0" w:color="auto"/>
              <w:bottom w:val="single" w:sz="4" w:space="0" w:color="auto"/>
            </w:tcBorders>
            <w:hideMark/>
          </w:tcPr>
          <w:p w14:paraId="10839F64" w14:textId="77777777" w:rsidR="00806D82" w:rsidRPr="00447994" w:rsidRDefault="00806D82">
            <w:pPr>
              <w:pStyle w:val="Normal-pool"/>
              <w:numPr>
                <w:ilvl w:val="0"/>
                <w:numId w:val="8"/>
              </w:numPr>
              <w:tabs>
                <w:tab w:val="clear" w:pos="1247"/>
                <w:tab w:val="left" w:pos="300"/>
              </w:tabs>
              <w:spacing w:before="40" w:after="40"/>
              <w:ind w:left="318" w:right="57" w:hanging="284"/>
              <w:rPr>
                <w:sz w:val="18"/>
                <w:szCs w:val="18"/>
                <w:lang w:val="es-ES_tradnl"/>
              </w:rPr>
            </w:pPr>
            <w:r w:rsidRPr="00447994">
              <w:rPr>
                <w:sz w:val="18"/>
                <w:szCs w:val="18"/>
                <w:lang w:val="es-ES_tradnl"/>
              </w:rPr>
              <w:t>Continuación del examen de los desechos plásticos</w:t>
            </w:r>
          </w:p>
        </w:tc>
        <w:tc>
          <w:tcPr>
            <w:tcW w:w="3274" w:type="dxa"/>
            <w:tcBorders>
              <w:top w:val="single" w:sz="4" w:space="0" w:color="auto"/>
              <w:bottom w:val="single" w:sz="4" w:space="0" w:color="auto"/>
            </w:tcBorders>
            <w:hideMark/>
          </w:tcPr>
          <w:p w14:paraId="24866791" w14:textId="77777777" w:rsidR="00806D82" w:rsidRPr="00447994" w:rsidRDefault="00806D82" w:rsidP="00A2639E">
            <w:pPr>
              <w:pStyle w:val="Normal-pool"/>
              <w:spacing w:before="40" w:after="40"/>
              <w:ind w:left="57" w:right="57"/>
              <w:rPr>
                <w:rFonts w:eastAsia="Batang"/>
                <w:color w:val="000000"/>
                <w:sz w:val="18"/>
                <w:szCs w:val="18"/>
                <w:lang w:val="es-ES_tradnl"/>
              </w:rPr>
            </w:pPr>
            <w:r w:rsidRPr="00447994">
              <w:rPr>
                <w:sz w:val="18"/>
                <w:szCs w:val="18"/>
                <w:lang w:val="es-ES_tradnl"/>
              </w:rPr>
              <w:t xml:space="preserve">Examen de otras actividades que podrían emprenderse en el marco del Convenio de Basilea en respuesta a las novedades en materia de informaciones científicas y ambientales y los efectos en la salud relacionados con los desechos plásticos, en cuanto fuente de contaminación del suelo y de basura plástica y </w:t>
            </w:r>
            <w:proofErr w:type="spellStart"/>
            <w:r w:rsidRPr="00447994">
              <w:rPr>
                <w:sz w:val="18"/>
                <w:szCs w:val="18"/>
                <w:lang w:val="es-ES_tradnl"/>
              </w:rPr>
              <w:t>microplásticos</w:t>
            </w:r>
            <w:proofErr w:type="spellEnd"/>
            <w:r w:rsidRPr="00447994">
              <w:rPr>
                <w:sz w:val="18"/>
                <w:szCs w:val="18"/>
                <w:lang w:val="es-ES_tradnl"/>
              </w:rPr>
              <w:t xml:space="preserve"> marinos.</w:t>
            </w:r>
          </w:p>
        </w:tc>
        <w:tc>
          <w:tcPr>
            <w:tcW w:w="1701" w:type="dxa"/>
            <w:tcBorders>
              <w:top w:val="single" w:sz="4" w:space="0" w:color="auto"/>
              <w:bottom w:val="single" w:sz="4" w:space="0" w:color="auto"/>
            </w:tcBorders>
            <w:hideMark/>
          </w:tcPr>
          <w:p w14:paraId="533FEDE8" w14:textId="77777777" w:rsidR="00806D82" w:rsidRPr="00447994" w:rsidRDefault="00806D82" w:rsidP="00A2639E">
            <w:pPr>
              <w:pStyle w:val="Normal-pool"/>
              <w:spacing w:before="40" w:after="40"/>
              <w:rPr>
                <w:sz w:val="18"/>
                <w:szCs w:val="18"/>
                <w:lang w:val="es-ES_tradnl"/>
              </w:rPr>
            </w:pPr>
            <w:r w:rsidRPr="00447994">
              <w:rPr>
                <w:sz w:val="18"/>
                <w:szCs w:val="18"/>
                <w:lang w:val="es-ES_tradnl"/>
              </w:rPr>
              <w:t>Decisión BC</w:t>
            </w:r>
            <w:r w:rsidRPr="00447994">
              <w:rPr>
                <w:sz w:val="18"/>
                <w:szCs w:val="18"/>
                <w:lang w:val="es-ES_tradnl"/>
              </w:rPr>
              <w:noBreakHyphen/>
              <w:t>15/15</w:t>
            </w:r>
          </w:p>
        </w:tc>
        <w:tc>
          <w:tcPr>
            <w:tcW w:w="1077" w:type="dxa"/>
            <w:tcBorders>
              <w:top w:val="single" w:sz="4" w:space="0" w:color="auto"/>
              <w:bottom w:val="single" w:sz="4" w:space="0" w:color="auto"/>
            </w:tcBorders>
            <w:hideMark/>
          </w:tcPr>
          <w:p w14:paraId="5696BB04" w14:textId="77777777" w:rsidR="00806D82" w:rsidRPr="00447994" w:rsidRDefault="00806D82" w:rsidP="00A2639E">
            <w:pPr>
              <w:pStyle w:val="Normal-pool"/>
              <w:spacing w:before="40" w:after="40"/>
              <w:rPr>
                <w:sz w:val="18"/>
                <w:szCs w:val="18"/>
                <w:lang w:val="es-ES_tradnl"/>
              </w:rPr>
            </w:pPr>
            <w:r w:rsidRPr="00447994">
              <w:rPr>
                <w:sz w:val="18"/>
                <w:szCs w:val="18"/>
                <w:lang w:val="es-ES_tradnl"/>
              </w:rPr>
              <w:t>Media</w:t>
            </w:r>
          </w:p>
        </w:tc>
      </w:tr>
      <w:tr w:rsidR="00806D82" w:rsidRPr="00447994" w14:paraId="6FF27281" w14:textId="77777777" w:rsidTr="00A2639E">
        <w:trPr>
          <w:trHeight w:val="57"/>
          <w:jc w:val="right"/>
        </w:trPr>
        <w:tc>
          <w:tcPr>
            <w:tcW w:w="2255" w:type="dxa"/>
            <w:tcBorders>
              <w:top w:val="single" w:sz="4" w:space="0" w:color="auto"/>
              <w:bottom w:val="single" w:sz="4" w:space="0" w:color="auto"/>
            </w:tcBorders>
            <w:hideMark/>
          </w:tcPr>
          <w:p w14:paraId="38CAB987" w14:textId="77777777" w:rsidR="00806D82" w:rsidRPr="00447994" w:rsidRDefault="00806D82">
            <w:pPr>
              <w:pStyle w:val="Normal-pool"/>
              <w:keepNext/>
              <w:keepLines/>
              <w:numPr>
                <w:ilvl w:val="0"/>
                <w:numId w:val="8"/>
              </w:numPr>
              <w:tabs>
                <w:tab w:val="clear" w:pos="1247"/>
                <w:tab w:val="left" w:pos="300"/>
              </w:tabs>
              <w:spacing w:before="40" w:after="40"/>
              <w:ind w:left="318" w:right="57" w:hanging="284"/>
              <w:rPr>
                <w:sz w:val="18"/>
                <w:szCs w:val="18"/>
                <w:lang w:val="es-ES_tradnl"/>
              </w:rPr>
            </w:pPr>
            <w:r w:rsidRPr="00447994">
              <w:rPr>
                <w:sz w:val="18"/>
                <w:szCs w:val="18"/>
                <w:lang w:val="es-ES_tradnl"/>
              </w:rPr>
              <w:t>Desechos que contienen nanomateriales</w:t>
            </w:r>
          </w:p>
        </w:tc>
        <w:tc>
          <w:tcPr>
            <w:tcW w:w="3274" w:type="dxa"/>
            <w:tcBorders>
              <w:top w:val="single" w:sz="4" w:space="0" w:color="auto"/>
              <w:bottom w:val="single" w:sz="4" w:space="0" w:color="auto"/>
            </w:tcBorders>
            <w:hideMark/>
          </w:tcPr>
          <w:p w14:paraId="543C51D3" w14:textId="77777777" w:rsidR="00806D82" w:rsidRPr="00447994" w:rsidRDefault="00806D82" w:rsidP="00A2639E">
            <w:pPr>
              <w:pStyle w:val="Normal-pool"/>
              <w:keepNext/>
              <w:keepLines/>
              <w:spacing w:before="40" w:after="40"/>
              <w:ind w:left="57" w:right="57"/>
              <w:rPr>
                <w:sz w:val="18"/>
                <w:szCs w:val="18"/>
                <w:lang w:val="es-ES_tradnl"/>
              </w:rPr>
            </w:pPr>
            <w:r w:rsidRPr="00447994">
              <w:rPr>
                <w:sz w:val="18"/>
                <w:szCs w:val="18"/>
                <w:lang w:val="es-ES_tradnl"/>
              </w:rPr>
              <w:t>Examen de la información relacionada con las actividades dirigidas a solucionar los problemas asociados a los desechos que contienen nanomateriales.</w:t>
            </w:r>
          </w:p>
        </w:tc>
        <w:tc>
          <w:tcPr>
            <w:tcW w:w="1701" w:type="dxa"/>
            <w:tcBorders>
              <w:top w:val="single" w:sz="4" w:space="0" w:color="auto"/>
              <w:bottom w:val="single" w:sz="4" w:space="0" w:color="auto"/>
            </w:tcBorders>
            <w:hideMark/>
          </w:tcPr>
          <w:p w14:paraId="291BE711" w14:textId="77777777" w:rsidR="00806D82" w:rsidRPr="00447994" w:rsidRDefault="00806D82" w:rsidP="00A2639E">
            <w:pPr>
              <w:pStyle w:val="Normal-pool"/>
              <w:keepNext/>
              <w:keepLines/>
              <w:spacing w:before="40" w:after="40"/>
              <w:rPr>
                <w:sz w:val="18"/>
                <w:szCs w:val="18"/>
                <w:lang w:val="es-ES_tradnl"/>
              </w:rPr>
            </w:pPr>
            <w:r w:rsidRPr="00447994">
              <w:rPr>
                <w:sz w:val="18"/>
                <w:szCs w:val="18"/>
                <w:lang w:val="es-ES_tradnl"/>
              </w:rPr>
              <w:t>Decisión BC</w:t>
            </w:r>
            <w:r w:rsidRPr="00447994">
              <w:rPr>
                <w:sz w:val="18"/>
                <w:szCs w:val="18"/>
                <w:lang w:val="es-ES_tradnl"/>
              </w:rPr>
              <w:noBreakHyphen/>
              <w:t>15/16</w:t>
            </w:r>
          </w:p>
        </w:tc>
        <w:tc>
          <w:tcPr>
            <w:tcW w:w="1077" w:type="dxa"/>
            <w:tcBorders>
              <w:top w:val="single" w:sz="4" w:space="0" w:color="auto"/>
              <w:bottom w:val="single" w:sz="4" w:space="0" w:color="auto"/>
            </w:tcBorders>
            <w:hideMark/>
          </w:tcPr>
          <w:p w14:paraId="2E7C41BB" w14:textId="77777777" w:rsidR="00806D82" w:rsidRPr="00447994" w:rsidRDefault="00806D82" w:rsidP="00A2639E">
            <w:pPr>
              <w:pStyle w:val="Normal-pool"/>
              <w:keepNext/>
              <w:keepLines/>
              <w:spacing w:before="40" w:after="40"/>
              <w:rPr>
                <w:rFonts w:eastAsia="Batang"/>
                <w:sz w:val="18"/>
                <w:szCs w:val="18"/>
                <w:lang w:val="es-ES_tradnl"/>
              </w:rPr>
            </w:pPr>
            <w:r w:rsidRPr="00447994">
              <w:rPr>
                <w:sz w:val="18"/>
                <w:szCs w:val="18"/>
                <w:lang w:val="es-ES_tradnl"/>
              </w:rPr>
              <w:t>Media</w:t>
            </w:r>
          </w:p>
        </w:tc>
      </w:tr>
      <w:tr w:rsidR="00806D82" w:rsidRPr="00447994" w14:paraId="6DA16254" w14:textId="77777777" w:rsidTr="00A2639E">
        <w:trPr>
          <w:trHeight w:val="57"/>
          <w:jc w:val="right"/>
        </w:trPr>
        <w:tc>
          <w:tcPr>
            <w:tcW w:w="2255" w:type="dxa"/>
            <w:tcBorders>
              <w:top w:val="single" w:sz="4" w:space="0" w:color="auto"/>
              <w:bottom w:val="single" w:sz="4" w:space="0" w:color="auto"/>
            </w:tcBorders>
          </w:tcPr>
          <w:p w14:paraId="431FBB52" w14:textId="77777777" w:rsidR="00806D82" w:rsidRPr="00447994" w:rsidRDefault="00806D82">
            <w:pPr>
              <w:pStyle w:val="Normal-pool"/>
              <w:numPr>
                <w:ilvl w:val="0"/>
                <w:numId w:val="8"/>
              </w:numPr>
              <w:tabs>
                <w:tab w:val="clear" w:pos="1247"/>
                <w:tab w:val="left" w:pos="300"/>
              </w:tabs>
              <w:spacing w:before="40" w:after="40"/>
              <w:ind w:left="318" w:right="57" w:hanging="284"/>
              <w:rPr>
                <w:sz w:val="18"/>
                <w:szCs w:val="18"/>
                <w:lang w:val="es-ES_tradnl"/>
              </w:rPr>
            </w:pPr>
            <w:r w:rsidRPr="00447994">
              <w:rPr>
                <w:sz w:val="18"/>
                <w:szCs w:val="18"/>
                <w:lang w:val="es-ES_tradnl"/>
              </w:rPr>
              <w:t>Enmiendas de los anexos II, VIII y IX sobre desechos de equipo eléctricos y electrónicos</w:t>
            </w:r>
          </w:p>
        </w:tc>
        <w:tc>
          <w:tcPr>
            <w:tcW w:w="3274" w:type="dxa"/>
            <w:tcBorders>
              <w:top w:val="single" w:sz="4" w:space="0" w:color="auto"/>
              <w:bottom w:val="single" w:sz="4" w:space="0" w:color="auto"/>
            </w:tcBorders>
          </w:tcPr>
          <w:p w14:paraId="33620764" w14:textId="77777777" w:rsidR="00806D82" w:rsidRPr="00447994" w:rsidRDefault="00806D82" w:rsidP="00A2639E">
            <w:pPr>
              <w:pStyle w:val="Normal-pool"/>
              <w:spacing w:before="40" w:after="40"/>
              <w:ind w:left="57" w:right="57"/>
              <w:rPr>
                <w:sz w:val="18"/>
                <w:szCs w:val="18"/>
                <w:lang w:val="es-ES_tradnl"/>
              </w:rPr>
            </w:pPr>
            <w:r w:rsidRPr="00447994">
              <w:rPr>
                <w:sz w:val="18"/>
                <w:szCs w:val="18"/>
                <w:lang w:val="es-ES_tradnl"/>
              </w:rPr>
              <w:t>Examen de la necesidad de actualizar la orientación, las directrices técnicas y las hojas informativas ya publicadas para tener en cuenta los ajustes derivados de la aprobación de las enmiendas sobre desechos de equipo eléctricos y electrónicos.</w:t>
            </w:r>
          </w:p>
        </w:tc>
        <w:tc>
          <w:tcPr>
            <w:tcW w:w="1701" w:type="dxa"/>
            <w:tcBorders>
              <w:top w:val="single" w:sz="4" w:space="0" w:color="auto"/>
              <w:bottom w:val="single" w:sz="4" w:space="0" w:color="auto"/>
            </w:tcBorders>
          </w:tcPr>
          <w:p w14:paraId="52C24F8F" w14:textId="77777777" w:rsidR="00806D82" w:rsidRPr="00447994" w:rsidRDefault="00806D82" w:rsidP="00A2639E">
            <w:pPr>
              <w:pStyle w:val="Normal-pool"/>
              <w:spacing w:before="40" w:after="40"/>
              <w:jc w:val="center"/>
              <w:rPr>
                <w:sz w:val="18"/>
                <w:szCs w:val="18"/>
                <w:lang w:val="es-ES_tradnl"/>
              </w:rPr>
            </w:pPr>
            <w:r w:rsidRPr="00447994">
              <w:rPr>
                <w:sz w:val="18"/>
                <w:szCs w:val="18"/>
                <w:lang w:val="es-ES_tradnl"/>
              </w:rPr>
              <w:t>Decisión BC</w:t>
            </w:r>
            <w:r w:rsidRPr="00447994">
              <w:rPr>
                <w:sz w:val="18"/>
                <w:szCs w:val="18"/>
                <w:lang w:val="es-ES_tradnl"/>
              </w:rPr>
              <w:noBreakHyphen/>
              <w:t>15/18</w:t>
            </w:r>
          </w:p>
        </w:tc>
        <w:tc>
          <w:tcPr>
            <w:tcW w:w="1077" w:type="dxa"/>
            <w:tcBorders>
              <w:top w:val="single" w:sz="4" w:space="0" w:color="auto"/>
              <w:bottom w:val="single" w:sz="4" w:space="0" w:color="auto"/>
            </w:tcBorders>
          </w:tcPr>
          <w:p w14:paraId="0372FEB0" w14:textId="77777777" w:rsidR="00806D82" w:rsidRPr="00447994" w:rsidRDefault="00806D82" w:rsidP="00A2639E">
            <w:pPr>
              <w:pStyle w:val="Normal-pool"/>
              <w:spacing w:before="40" w:after="40"/>
              <w:rPr>
                <w:sz w:val="18"/>
                <w:szCs w:val="18"/>
                <w:lang w:val="es-ES_tradnl"/>
              </w:rPr>
            </w:pPr>
            <w:r w:rsidRPr="00447994">
              <w:rPr>
                <w:sz w:val="18"/>
                <w:szCs w:val="18"/>
                <w:lang w:val="es-ES_tradnl"/>
              </w:rPr>
              <w:t>Alta</w:t>
            </w:r>
          </w:p>
        </w:tc>
      </w:tr>
      <w:tr w:rsidR="00806D82" w:rsidRPr="00447994" w14:paraId="3446FE35" w14:textId="77777777" w:rsidTr="00A2639E">
        <w:trPr>
          <w:trHeight w:val="57"/>
          <w:jc w:val="right"/>
        </w:trPr>
        <w:tc>
          <w:tcPr>
            <w:tcW w:w="2255" w:type="dxa"/>
            <w:tcBorders>
              <w:top w:val="single" w:sz="4" w:space="0" w:color="auto"/>
              <w:bottom w:val="single" w:sz="4" w:space="0" w:color="auto"/>
            </w:tcBorders>
          </w:tcPr>
          <w:p w14:paraId="634619CA" w14:textId="77777777" w:rsidR="00806D82" w:rsidRPr="00447994" w:rsidRDefault="00806D82">
            <w:pPr>
              <w:pStyle w:val="Normal-pool"/>
              <w:numPr>
                <w:ilvl w:val="0"/>
                <w:numId w:val="8"/>
              </w:numPr>
              <w:tabs>
                <w:tab w:val="clear" w:pos="1247"/>
                <w:tab w:val="left" w:pos="300"/>
              </w:tabs>
              <w:spacing w:before="40" w:after="40"/>
              <w:ind w:left="318" w:right="57" w:hanging="284"/>
              <w:rPr>
                <w:sz w:val="18"/>
                <w:szCs w:val="18"/>
                <w:lang w:val="es-ES_tradnl"/>
              </w:rPr>
            </w:pPr>
            <w:r w:rsidRPr="00447994">
              <w:rPr>
                <w:sz w:val="18"/>
                <w:szCs w:val="18"/>
                <w:lang w:val="es-ES_tradnl"/>
              </w:rPr>
              <w:t>Enmiendas de los anexos del Convenio de Basilea</w:t>
            </w:r>
          </w:p>
        </w:tc>
        <w:tc>
          <w:tcPr>
            <w:tcW w:w="3274" w:type="dxa"/>
            <w:tcBorders>
              <w:top w:val="single" w:sz="4" w:space="0" w:color="auto"/>
              <w:bottom w:val="single" w:sz="4" w:space="0" w:color="auto"/>
            </w:tcBorders>
          </w:tcPr>
          <w:p w14:paraId="13583C2B" w14:textId="77777777" w:rsidR="00806D82" w:rsidRPr="00447994" w:rsidRDefault="00806D82" w:rsidP="00A2639E">
            <w:pPr>
              <w:pStyle w:val="Normal-pool"/>
              <w:spacing w:before="40" w:after="40"/>
              <w:ind w:left="57" w:right="57"/>
              <w:rPr>
                <w:sz w:val="18"/>
                <w:szCs w:val="18"/>
                <w:lang w:val="es-ES_tradnl"/>
              </w:rPr>
            </w:pPr>
            <w:r w:rsidRPr="00447994">
              <w:rPr>
                <w:sz w:val="18"/>
                <w:szCs w:val="18"/>
                <w:lang w:val="es-ES_tradnl"/>
              </w:rPr>
              <w:t>Revisión y examen de toda solicitud de cambio y toda corrección de la lista de desechos que figura en los anexos VIII y IX del Convenio de Basilea.</w:t>
            </w:r>
          </w:p>
        </w:tc>
        <w:tc>
          <w:tcPr>
            <w:tcW w:w="1701" w:type="dxa"/>
            <w:tcBorders>
              <w:top w:val="single" w:sz="4" w:space="0" w:color="auto"/>
              <w:bottom w:val="single" w:sz="4" w:space="0" w:color="auto"/>
            </w:tcBorders>
          </w:tcPr>
          <w:p w14:paraId="3B08F2AC" w14:textId="77777777" w:rsidR="00806D82" w:rsidRPr="00447994" w:rsidRDefault="00806D82" w:rsidP="00A2639E">
            <w:pPr>
              <w:pStyle w:val="Normal-pool"/>
              <w:spacing w:before="40" w:after="40"/>
              <w:jc w:val="center"/>
              <w:rPr>
                <w:sz w:val="18"/>
                <w:szCs w:val="18"/>
                <w:lang w:val="es-ES_tradnl"/>
              </w:rPr>
            </w:pPr>
            <w:r w:rsidRPr="00447994">
              <w:rPr>
                <w:sz w:val="18"/>
                <w:szCs w:val="18"/>
                <w:lang w:val="es-ES_tradnl"/>
              </w:rPr>
              <w:t>Decisión VIII/15</w:t>
            </w:r>
          </w:p>
        </w:tc>
        <w:tc>
          <w:tcPr>
            <w:tcW w:w="1077" w:type="dxa"/>
            <w:tcBorders>
              <w:top w:val="single" w:sz="4" w:space="0" w:color="auto"/>
              <w:bottom w:val="single" w:sz="4" w:space="0" w:color="auto"/>
            </w:tcBorders>
          </w:tcPr>
          <w:p w14:paraId="61527B09" w14:textId="77777777" w:rsidR="00806D82" w:rsidRPr="00447994" w:rsidRDefault="00806D82" w:rsidP="00A2639E">
            <w:pPr>
              <w:pStyle w:val="Normal-pool"/>
              <w:spacing w:before="40" w:after="40"/>
              <w:rPr>
                <w:sz w:val="18"/>
                <w:szCs w:val="18"/>
                <w:lang w:val="es-ES_tradnl"/>
              </w:rPr>
            </w:pPr>
            <w:r w:rsidRPr="00447994">
              <w:rPr>
                <w:sz w:val="18"/>
                <w:szCs w:val="18"/>
                <w:lang w:val="es-ES_tradnl"/>
              </w:rPr>
              <w:t>Alta</w:t>
            </w:r>
          </w:p>
        </w:tc>
      </w:tr>
      <w:tr w:rsidR="00806D82" w:rsidRPr="00675E92" w14:paraId="7E73DDDA" w14:textId="77777777" w:rsidTr="00A2639E">
        <w:trPr>
          <w:trHeight w:val="57"/>
          <w:jc w:val="right"/>
        </w:trPr>
        <w:tc>
          <w:tcPr>
            <w:tcW w:w="8307" w:type="dxa"/>
            <w:gridSpan w:val="4"/>
            <w:tcBorders>
              <w:top w:val="single" w:sz="4" w:space="0" w:color="auto"/>
            </w:tcBorders>
            <w:hideMark/>
          </w:tcPr>
          <w:p w14:paraId="22930D59" w14:textId="77777777" w:rsidR="00806D82" w:rsidRPr="00447994" w:rsidRDefault="00806D82">
            <w:pPr>
              <w:pStyle w:val="Normal-pool"/>
              <w:numPr>
                <w:ilvl w:val="0"/>
                <w:numId w:val="3"/>
              </w:numPr>
              <w:tabs>
                <w:tab w:val="clear" w:pos="1247"/>
              </w:tabs>
              <w:spacing w:before="40" w:after="40"/>
              <w:ind w:left="318" w:hanging="284"/>
              <w:rPr>
                <w:b/>
                <w:iCs/>
                <w:sz w:val="18"/>
                <w:szCs w:val="18"/>
                <w:lang w:val="es-ES_tradnl"/>
              </w:rPr>
            </w:pPr>
            <w:r w:rsidRPr="00447994">
              <w:rPr>
                <w:b/>
                <w:bCs/>
                <w:sz w:val="18"/>
                <w:szCs w:val="18"/>
                <w:lang w:val="es-ES_tradnl"/>
              </w:rPr>
              <w:t>Cuestiones jurídicas y relativas a la gobernanza y el cumplimiento</w:t>
            </w:r>
            <w:r w:rsidRPr="00447994">
              <w:rPr>
                <w:sz w:val="18"/>
                <w:szCs w:val="18"/>
                <w:lang w:val="es-ES_tradnl"/>
              </w:rPr>
              <w:t xml:space="preserve"> </w:t>
            </w:r>
          </w:p>
        </w:tc>
      </w:tr>
      <w:tr w:rsidR="00806D82" w:rsidRPr="00447994" w14:paraId="04CFBBD1" w14:textId="77777777" w:rsidTr="00A2639E">
        <w:trPr>
          <w:trHeight w:val="57"/>
          <w:jc w:val="right"/>
        </w:trPr>
        <w:tc>
          <w:tcPr>
            <w:tcW w:w="2255" w:type="dxa"/>
            <w:vMerge w:val="restart"/>
            <w:hideMark/>
          </w:tcPr>
          <w:p w14:paraId="3E13022F" w14:textId="77777777" w:rsidR="00806D82" w:rsidRPr="00447994" w:rsidRDefault="00806D82">
            <w:pPr>
              <w:pStyle w:val="Normal-pool"/>
              <w:numPr>
                <w:ilvl w:val="0"/>
                <w:numId w:val="9"/>
              </w:numPr>
              <w:tabs>
                <w:tab w:val="clear" w:pos="1247"/>
                <w:tab w:val="left" w:pos="300"/>
              </w:tabs>
              <w:spacing w:before="40" w:after="40"/>
              <w:ind w:left="318" w:right="57" w:hanging="284"/>
              <w:rPr>
                <w:sz w:val="18"/>
                <w:szCs w:val="18"/>
                <w:lang w:val="es-ES_tradnl"/>
              </w:rPr>
            </w:pPr>
            <w:r w:rsidRPr="00447994">
              <w:rPr>
                <w:sz w:val="18"/>
                <w:szCs w:val="18"/>
                <w:lang w:val="es-ES_tradnl"/>
              </w:rPr>
              <w:t xml:space="preserve">Provisión de mayor claridad jurídica </w:t>
            </w:r>
          </w:p>
        </w:tc>
        <w:tc>
          <w:tcPr>
            <w:tcW w:w="3274" w:type="dxa"/>
            <w:hideMark/>
          </w:tcPr>
          <w:p w14:paraId="7A47A701" w14:textId="77777777" w:rsidR="00806D82" w:rsidRPr="00447994" w:rsidRDefault="00806D82">
            <w:pPr>
              <w:pStyle w:val="Normal-pool"/>
              <w:numPr>
                <w:ilvl w:val="0"/>
                <w:numId w:val="5"/>
              </w:numPr>
              <w:tabs>
                <w:tab w:val="clear" w:pos="1247"/>
                <w:tab w:val="left" w:pos="211"/>
              </w:tabs>
              <w:spacing w:before="40" w:after="40"/>
              <w:ind w:left="208" w:right="57" w:hanging="218"/>
              <w:rPr>
                <w:color w:val="000000"/>
                <w:sz w:val="18"/>
                <w:szCs w:val="18"/>
                <w:lang w:val="es-ES_tradnl"/>
              </w:rPr>
            </w:pPr>
            <w:r w:rsidRPr="00447994">
              <w:rPr>
                <w:sz w:val="18"/>
                <w:szCs w:val="18"/>
                <w:lang w:val="es-ES_tradnl"/>
              </w:rPr>
              <w:t>Examen de las propuestas de la Unión Europea dirigidas a enmendar el anexo IV y algunas entradas de los anexos II y IX del Convenio de Basilea y de las recomendaciones y conclusiones del grupo de trabajo de expertos, teniendo en cuenta los debates de la 15ª reunión de la Conferencia de las Partes, y formulación de recomendaciones para que las examine la Conferencia de las Partes en su 16ª reunión.</w:t>
            </w:r>
          </w:p>
        </w:tc>
        <w:tc>
          <w:tcPr>
            <w:tcW w:w="1701" w:type="dxa"/>
            <w:hideMark/>
          </w:tcPr>
          <w:p w14:paraId="29DEBAB7" w14:textId="77777777" w:rsidR="00806D82" w:rsidRPr="00447994" w:rsidRDefault="00806D82" w:rsidP="00A2639E">
            <w:pPr>
              <w:pStyle w:val="Normal-pool"/>
              <w:spacing w:before="40" w:after="40"/>
              <w:rPr>
                <w:sz w:val="18"/>
                <w:szCs w:val="18"/>
                <w:lang w:val="es-ES_tradnl"/>
              </w:rPr>
            </w:pPr>
            <w:r w:rsidRPr="00447994">
              <w:rPr>
                <w:sz w:val="18"/>
                <w:szCs w:val="18"/>
                <w:lang w:val="es-ES_tradnl"/>
              </w:rPr>
              <w:t>Decisión BC</w:t>
            </w:r>
            <w:r w:rsidRPr="00447994">
              <w:rPr>
                <w:sz w:val="18"/>
                <w:szCs w:val="18"/>
                <w:lang w:val="es-ES_tradnl"/>
              </w:rPr>
              <w:noBreakHyphen/>
              <w:t>15/19</w:t>
            </w:r>
          </w:p>
        </w:tc>
        <w:tc>
          <w:tcPr>
            <w:tcW w:w="1077" w:type="dxa"/>
            <w:hideMark/>
          </w:tcPr>
          <w:p w14:paraId="60ADC0F1" w14:textId="77777777" w:rsidR="00806D82" w:rsidRPr="00447994" w:rsidRDefault="00806D82" w:rsidP="00A2639E">
            <w:pPr>
              <w:pStyle w:val="Normal-pool"/>
              <w:spacing w:before="40" w:after="40"/>
              <w:rPr>
                <w:sz w:val="18"/>
                <w:szCs w:val="18"/>
                <w:lang w:val="es-ES_tradnl"/>
              </w:rPr>
            </w:pPr>
            <w:r w:rsidRPr="00447994">
              <w:rPr>
                <w:sz w:val="18"/>
                <w:szCs w:val="18"/>
                <w:lang w:val="es-ES_tradnl"/>
              </w:rPr>
              <w:t>Alta</w:t>
            </w:r>
          </w:p>
        </w:tc>
      </w:tr>
      <w:tr w:rsidR="00806D82" w:rsidRPr="00447994" w14:paraId="15DF9811" w14:textId="77777777" w:rsidTr="00A2639E">
        <w:trPr>
          <w:trHeight w:val="57"/>
          <w:jc w:val="right"/>
        </w:trPr>
        <w:tc>
          <w:tcPr>
            <w:tcW w:w="2255" w:type="dxa"/>
            <w:vMerge/>
            <w:tcBorders>
              <w:bottom w:val="single" w:sz="4" w:space="0" w:color="auto"/>
            </w:tcBorders>
          </w:tcPr>
          <w:p w14:paraId="3064E15F" w14:textId="77777777" w:rsidR="00806D82" w:rsidRPr="00447994" w:rsidRDefault="00806D82" w:rsidP="00A2639E">
            <w:pPr>
              <w:pStyle w:val="Normal-pool"/>
              <w:tabs>
                <w:tab w:val="clear" w:pos="1247"/>
                <w:tab w:val="left" w:pos="300"/>
              </w:tabs>
              <w:spacing w:before="40" w:after="40"/>
              <w:ind w:right="57"/>
              <w:rPr>
                <w:sz w:val="18"/>
                <w:szCs w:val="18"/>
                <w:lang w:val="es-ES_tradnl"/>
              </w:rPr>
            </w:pPr>
          </w:p>
        </w:tc>
        <w:tc>
          <w:tcPr>
            <w:tcW w:w="3274" w:type="dxa"/>
            <w:tcBorders>
              <w:bottom w:val="single" w:sz="4" w:space="0" w:color="auto"/>
            </w:tcBorders>
          </w:tcPr>
          <w:p w14:paraId="2926C5F1" w14:textId="77777777" w:rsidR="00806D82" w:rsidRPr="00447994" w:rsidRDefault="00806D82">
            <w:pPr>
              <w:pStyle w:val="Normal-pool"/>
              <w:numPr>
                <w:ilvl w:val="0"/>
                <w:numId w:val="5"/>
              </w:numPr>
              <w:tabs>
                <w:tab w:val="clear" w:pos="1247"/>
                <w:tab w:val="left" w:pos="211"/>
              </w:tabs>
              <w:spacing w:before="40" w:after="40"/>
              <w:ind w:left="208" w:right="57" w:hanging="218"/>
              <w:rPr>
                <w:sz w:val="18"/>
                <w:szCs w:val="18"/>
                <w:lang w:val="es-ES_tradnl"/>
              </w:rPr>
            </w:pPr>
            <w:r w:rsidRPr="00447994">
              <w:rPr>
                <w:sz w:val="18"/>
                <w:szCs w:val="18"/>
                <w:lang w:val="es-ES_tradnl"/>
              </w:rPr>
              <w:t>Examen de los progresos realizados con respecto al examen de los anexos I y III y formulación de recomendaciones para que las examine la Conferencia de las Partes en su 16ª reunión.</w:t>
            </w:r>
          </w:p>
        </w:tc>
        <w:tc>
          <w:tcPr>
            <w:tcW w:w="1701" w:type="dxa"/>
            <w:tcBorders>
              <w:bottom w:val="single" w:sz="4" w:space="0" w:color="auto"/>
            </w:tcBorders>
          </w:tcPr>
          <w:p w14:paraId="4F846C84" w14:textId="77777777" w:rsidR="00806D82" w:rsidRPr="00447994" w:rsidRDefault="00806D82" w:rsidP="00A2639E">
            <w:pPr>
              <w:pStyle w:val="Normal-pool"/>
              <w:spacing w:before="40" w:after="40"/>
              <w:rPr>
                <w:sz w:val="18"/>
                <w:szCs w:val="18"/>
                <w:lang w:val="es-ES_tradnl"/>
              </w:rPr>
            </w:pPr>
            <w:r w:rsidRPr="00447994">
              <w:rPr>
                <w:sz w:val="18"/>
                <w:szCs w:val="18"/>
                <w:lang w:val="es-ES_tradnl"/>
              </w:rPr>
              <w:t>Decisión BC</w:t>
            </w:r>
            <w:r w:rsidRPr="00447994">
              <w:rPr>
                <w:sz w:val="18"/>
                <w:szCs w:val="18"/>
                <w:lang w:val="es-ES_tradnl"/>
              </w:rPr>
              <w:noBreakHyphen/>
              <w:t>15/19</w:t>
            </w:r>
          </w:p>
        </w:tc>
        <w:tc>
          <w:tcPr>
            <w:tcW w:w="1077" w:type="dxa"/>
            <w:tcBorders>
              <w:bottom w:val="single" w:sz="4" w:space="0" w:color="auto"/>
            </w:tcBorders>
          </w:tcPr>
          <w:p w14:paraId="2643E61C" w14:textId="77777777" w:rsidR="00806D82" w:rsidRPr="00447994" w:rsidRDefault="00806D82" w:rsidP="00A2639E">
            <w:pPr>
              <w:pStyle w:val="Normal-pool"/>
              <w:spacing w:before="40" w:after="40"/>
              <w:rPr>
                <w:sz w:val="18"/>
                <w:szCs w:val="18"/>
                <w:lang w:val="es-ES_tradnl"/>
              </w:rPr>
            </w:pPr>
            <w:r w:rsidRPr="00447994">
              <w:rPr>
                <w:sz w:val="18"/>
                <w:szCs w:val="18"/>
                <w:lang w:val="es-ES_tradnl"/>
              </w:rPr>
              <w:t>Alta</w:t>
            </w:r>
          </w:p>
        </w:tc>
      </w:tr>
      <w:tr w:rsidR="00806D82" w:rsidRPr="00447994" w14:paraId="5B2EEF12" w14:textId="77777777" w:rsidTr="00A2639E">
        <w:trPr>
          <w:trHeight w:val="57"/>
          <w:jc w:val="right"/>
        </w:trPr>
        <w:tc>
          <w:tcPr>
            <w:tcW w:w="8307" w:type="dxa"/>
            <w:gridSpan w:val="4"/>
            <w:tcBorders>
              <w:top w:val="single" w:sz="4" w:space="0" w:color="auto"/>
            </w:tcBorders>
            <w:hideMark/>
          </w:tcPr>
          <w:p w14:paraId="3DD97A20" w14:textId="77777777" w:rsidR="00806D82" w:rsidRPr="00447994" w:rsidRDefault="00806D82">
            <w:pPr>
              <w:pStyle w:val="Normal-pool"/>
              <w:numPr>
                <w:ilvl w:val="0"/>
                <w:numId w:val="3"/>
              </w:numPr>
              <w:tabs>
                <w:tab w:val="clear" w:pos="1247"/>
              </w:tabs>
              <w:spacing w:before="40" w:after="40"/>
              <w:ind w:left="318" w:hanging="284"/>
              <w:rPr>
                <w:b/>
                <w:sz w:val="18"/>
                <w:szCs w:val="18"/>
                <w:lang w:val="es-ES_tradnl"/>
              </w:rPr>
            </w:pPr>
            <w:r w:rsidRPr="00447994">
              <w:rPr>
                <w:b/>
                <w:bCs/>
                <w:sz w:val="18"/>
                <w:szCs w:val="18"/>
                <w:lang w:val="es-ES_tradnl"/>
              </w:rPr>
              <w:t>Cooperación y coordinación internacionales</w:t>
            </w:r>
            <w:r w:rsidRPr="00447994">
              <w:rPr>
                <w:sz w:val="18"/>
                <w:szCs w:val="18"/>
                <w:lang w:val="es-ES_tradnl"/>
              </w:rPr>
              <w:t xml:space="preserve"> </w:t>
            </w:r>
          </w:p>
        </w:tc>
      </w:tr>
      <w:tr w:rsidR="00806D82" w:rsidRPr="00447994" w14:paraId="02B72CA8" w14:textId="77777777" w:rsidTr="00A2639E">
        <w:trPr>
          <w:trHeight w:val="57"/>
          <w:jc w:val="right"/>
        </w:trPr>
        <w:tc>
          <w:tcPr>
            <w:tcW w:w="2255" w:type="dxa"/>
            <w:vMerge w:val="restart"/>
            <w:shd w:val="clear" w:color="auto" w:fill="auto"/>
            <w:hideMark/>
          </w:tcPr>
          <w:p w14:paraId="32967063" w14:textId="77777777" w:rsidR="00806D82" w:rsidRPr="00447994" w:rsidRDefault="00806D82">
            <w:pPr>
              <w:pStyle w:val="Normal-pool"/>
              <w:numPr>
                <w:ilvl w:val="0"/>
                <w:numId w:val="10"/>
              </w:numPr>
              <w:tabs>
                <w:tab w:val="clear" w:pos="1247"/>
                <w:tab w:val="left" w:pos="300"/>
              </w:tabs>
              <w:spacing w:before="40" w:after="40"/>
              <w:ind w:left="318" w:right="57" w:hanging="284"/>
              <w:rPr>
                <w:sz w:val="18"/>
                <w:szCs w:val="18"/>
                <w:lang w:val="es-ES_tradnl"/>
              </w:rPr>
            </w:pPr>
            <w:r w:rsidRPr="00447994">
              <w:rPr>
                <w:sz w:val="18"/>
                <w:szCs w:val="18"/>
                <w:lang w:val="es-ES_tradnl"/>
              </w:rPr>
              <w:lastRenderedPageBreak/>
              <w:t>Programa de modalidades de asociación del Convenio de Basilea</w:t>
            </w:r>
          </w:p>
        </w:tc>
        <w:tc>
          <w:tcPr>
            <w:tcW w:w="3274" w:type="dxa"/>
            <w:shd w:val="clear" w:color="auto" w:fill="auto"/>
            <w:hideMark/>
          </w:tcPr>
          <w:p w14:paraId="5062608D" w14:textId="77777777" w:rsidR="00806D82" w:rsidRPr="00447994" w:rsidRDefault="00806D82">
            <w:pPr>
              <w:pStyle w:val="Normal-pool"/>
              <w:numPr>
                <w:ilvl w:val="0"/>
                <w:numId w:val="6"/>
              </w:numPr>
              <w:tabs>
                <w:tab w:val="clear" w:pos="1247"/>
                <w:tab w:val="left" w:pos="211"/>
              </w:tabs>
              <w:spacing w:before="40" w:after="40"/>
              <w:ind w:left="208" w:right="57" w:hanging="218"/>
              <w:rPr>
                <w:spacing w:val="-2"/>
                <w:sz w:val="18"/>
                <w:szCs w:val="18"/>
                <w:lang w:val="es-ES_tradnl"/>
              </w:rPr>
            </w:pPr>
            <w:r w:rsidRPr="00447994">
              <w:rPr>
                <w:spacing w:val="-2"/>
                <w:sz w:val="18"/>
                <w:szCs w:val="18"/>
                <w:lang w:val="es-ES_tradnl"/>
              </w:rPr>
              <w:t>Examen de los progresos realizados en la ejecución del programa de trabajo del grupo de trabajo de la Asociación para la Acción en Materia de Desechos de Equipo Eléctricos y Electrónicos para el bienio 2022</w:t>
            </w:r>
            <w:r w:rsidRPr="00447994">
              <w:rPr>
                <w:spacing w:val="-2"/>
                <w:sz w:val="18"/>
                <w:szCs w:val="18"/>
                <w:lang w:val="es-ES_tradnl"/>
              </w:rPr>
              <w:noBreakHyphen/>
              <w:t xml:space="preserve">2023, y elaboración de orientación al respecto. </w:t>
            </w:r>
          </w:p>
        </w:tc>
        <w:tc>
          <w:tcPr>
            <w:tcW w:w="1701" w:type="dxa"/>
            <w:hideMark/>
          </w:tcPr>
          <w:p w14:paraId="691EF236" w14:textId="77777777" w:rsidR="00806D82" w:rsidRPr="00447994" w:rsidRDefault="00806D82" w:rsidP="00A2639E">
            <w:pPr>
              <w:pStyle w:val="Normal-pool"/>
              <w:spacing w:before="40" w:after="40"/>
              <w:rPr>
                <w:sz w:val="18"/>
                <w:szCs w:val="18"/>
                <w:lang w:val="es-ES_tradnl"/>
              </w:rPr>
            </w:pPr>
            <w:r w:rsidRPr="00447994">
              <w:rPr>
                <w:sz w:val="18"/>
                <w:szCs w:val="18"/>
                <w:lang w:val="es-ES_tradnl"/>
              </w:rPr>
              <w:t>Decisión BC</w:t>
            </w:r>
            <w:r w:rsidRPr="00447994">
              <w:rPr>
                <w:sz w:val="18"/>
                <w:szCs w:val="18"/>
                <w:lang w:val="es-ES_tradnl"/>
              </w:rPr>
              <w:noBreakHyphen/>
              <w:t>15/22</w:t>
            </w:r>
          </w:p>
        </w:tc>
        <w:tc>
          <w:tcPr>
            <w:tcW w:w="1077" w:type="dxa"/>
            <w:hideMark/>
          </w:tcPr>
          <w:p w14:paraId="633EFE85" w14:textId="77777777" w:rsidR="00806D82" w:rsidRPr="00447994" w:rsidRDefault="00806D82" w:rsidP="00A2639E">
            <w:pPr>
              <w:pStyle w:val="Normal-pool"/>
              <w:spacing w:before="40" w:after="40"/>
              <w:rPr>
                <w:sz w:val="18"/>
                <w:szCs w:val="18"/>
                <w:lang w:val="es-ES_tradnl"/>
              </w:rPr>
            </w:pPr>
            <w:r w:rsidRPr="00447994">
              <w:rPr>
                <w:sz w:val="18"/>
                <w:szCs w:val="18"/>
                <w:lang w:val="es-ES_tradnl"/>
              </w:rPr>
              <w:t>Media</w:t>
            </w:r>
          </w:p>
        </w:tc>
      </w:tr>
      <w:tr w:rsidR="00806D82" w:rsidRPr="00447994" w14:paraId="6F6ECB63" w14:textId="77777777" w:rsidTr="00A2639E">
        <w:trPr>
          <w:trHeight w:val="57"/>
          <w:jc w:val="right"/>
        </w:trPr>
        <w:tc>
          <w:tcPr>
            <w:tcW w:w="2255" w:type="dxa"/>
            <w:vMerge/>
            <w:shd w:val="clear" w:color="auto" w:fill="auto"/>
          </w:tcPr>
          <w:p w14:paraId="4838D191" w14:textId="77777777" w:rsidR="00806D82" w:rsidRPr="00447994" w:rsidRDefault="00806D82" w:rsidP="00A2639E">
            <w:pPr>
              <w:pStyle w:val="Normal-pool"/>
              <w:tabs>
                <w:tab w:val="left" w:pos="300"/>
              </w:tabs>
              <w:spacing w:before="40" w:after="40"/>
              <w:ind w:left="316" w:right="57"/>
              <w:rPr>
                <w:sz w:val="18"/>
                <w:szCs w:val="18"/>
                <w:lang w:val="es-ES_tradnl"/>
              </w:rPr>
            </w:pPr>
          </w:p>
        </w:tc>
        <w:tc>
          <w:tcPr>
            <w:tcW w:w="3274" w:type="dxa"/>
            <w:shd w:val="clear" w:color="auto" w:fill="auto"/>
          </w:tcPr>
          <w:p w14:paraId="46CC8BC8" w14:textId="77777777" w:rsidR="00806D82" w:rsidRPr="00447994" w:rsidRDefault="00806D82">
            <w:pPr>
              <w:pStyle w:val="Normal-pool"/>
              <w:numPr>
                <w:ilvl w:val="0"/>
                <w:numId w:val="6"/>
              </w:numPr>
              <w:tabs>
                <w:tab w:val="clear" w:pos="1247"/>
                <w:tab w:val="left" w:pos="211"/>
              </w:tabs>
              <w:spacing w:before="40" w:after="40"/>
              <w:ind w:left="208" w:right="57" w:hanging="218"/>
              <w:rPr>
                <w:sz w:val="18"/>
                <w:szCs w:val="18"/>
                <w:lang w:val="es-ES_tradnl"/>
              </w:rPr>
            </w:pPr>
            <w:r w:rsidRPr="00447994">
              <w:rPr>
                <w:sz w:val="18"/>
                <w:szCs w:val="18"/>
                <w:lang w:val="es-ES_tradnl"/>
              </w:rPr>
              <w:t>Examen de los progresos realizados en la ejecución del programa de trabajo del grupo de trabajo de la Asociación sobre los Desechos Domésticos para el bienio 2022</w:t>
            </w:r>
            <w:r w:rsidRPr="00447994">
              <w:rPr>
                <w:sz w:val="18"/>
                <w:szCs w:val="18"/>
                <w:lang w:val="es-ES_tradnl"/>
              </w:rPr>
              <w:noBreakHyphen/>
              <w:t xml:space="preserve">2023, y elaboración de orientación al respecto. </w:t>
            </w:r>
          </w:p>
        </w:tc>
        <w:tc>
          <w:tcPr>
            <w:tcW w:w="1701" w:type="dxa"/>
          </w:tcPr>
          <w:p w14:paraId="301B5BE9" w14:textId="77777777" w:rsidR="00806D82" w:rsidRPr="00447994" w:rsidRDefault="00806D82" w:rsidP="00A2639E">
            <w:pPr>
              <w:pStyle w:val="Normal-pool"/>
              <w:spacing w:before="40" w:after="40"/>
              <w:rPr>
                <w:sz w:val="18"/>
                <w:szCs w:val="18"/>
                <w:lang w:val="es-ES_tradnl"/>
              </w:rPr>
            </w:pPr>
            <w:r w:rsidRPr="00447994">
              <w:rPr>
                <w:sz w:val="18"/>
                <w:szCs w:val="18"/>
                <w:lang w:val="es-ES_tradnl"/>
              </w:rPr>
              <w:t>Decisión BC</w:t>
            </w:r>
            <w:r w:rsidRPr="00447994">
              <w:rPr>
                <w:sz w:val="18"/>
                <w:szCs w:val="18"/>
                <w:lang w:val="es-ES_tradnl"/>
              </w:rPr>
              <w:noBreakHyphen/>
              <w:t>15/22</w:t>
            </w:r>
          </w:p>
        </w:tc>
        <w:tc>
          <w:tcPr>
            <w:tcW w:w="1077" w:type="dxa"/>
          </w:tcPr>
          <w:p w14:paraId="24A1D4D6" w14:textId="77777777" w:rsidR="00806D82" w:rsidRPr="00447994" w:rsidRDefault="00806D82" w:rsidP="00A2639E">
            <w:pPr>
              <w:pStyle w:val="Normal-pool"/>
              <w:spacing w:before="40" w:after="40"/>
              <w:rPr>
                <w:sz w:val="18"/>
                <w:szCs w:val="18"/>
                <w:lang w:val="es-ES_tradnl"/>
              </w:rPr>
            </w:pPr>
            <w:r w:rsidRPr="00447994">
              <w:rPr>
                <w:sz w:val="18"/>
                <w:szCs w:val="18"/>
                <w:lang w:val="es-ES_tradnl"/>
              </w:rPr>
              <w:t>Media</w:t>
            </w:r>
          </w:p>
        </w:tc>
      </w:tr>
      <w:tr w:rsidR="00806D82" w:rsidRPr="00447994" w14:paraId="15A34257" w14:textId="77777777" w:rsidTr="00A2639E">
        <w:trPr>
          <w:trHeight w:val="57"/>
          <w:jc w:val="right"/>
        </w:trPr>
        <w:tc>
          <w:tcPr>
            <w:tcW w:w="2255" w:type="dxa"/>
            <w:vMerge/>
            <w:tcBorders>
              <w:bottom w:val="single" w:sz="4" w:space="0" w:color="auto"/>
            </w:tcBorders>
            <w:shd w:val="clear" w:color="auto" w:fill="auto"/>
          </w:tcPr>
          <w:p w14:paraId="087D9745" w14:textId="77777777" w:rsidR="00806D82" w:rsidRPr="00447994" w:rsidRDefault="00806D82" w:rsidP="00A2639E">
            <w:pPr>
              <w:pStyle w:val="Normal-pool"/>
              <w:tabs>
                <w:tab w:val="left" w:pos="300"/>
              </w:tabs>
              <w:spacing w:before="40" w:after="40"/>
              <w:ind w:left="316" w:right="57"/>
              <w:rPr>
                <w:sz w:val="18"/>
                <w:szCs w:val="18"/>
                <w:lang w:val="es-ES_tradnl"/>
              </w:rPr>
            </w:pPr>
          </w:p>
        </w:tc>
        <w:tc>
          <w:tcPr>
            <w:tcW w:w="3274" w:type="dxa"/>
            <w:tcBorders>
              <w:bottom w:val="single" w:sz="4" w:space="0" w:color="auto"/>
            </w:tcBorders>
            <w:shd w:val="clear" w:color="auto" w:fill="auto"/>
          </w:tcPr>
          <w:p w14:paraId="5520E0BF" w14:textId="77777777" w:rsidR="00806D82" w:rsidRPr="00447994" w:rsidRDefault="00806D82">
            <w:pPr>
              <w:pStyle w:val="Normal-pool"/>
              <w:numPr>
                <w:ilvl w:val="0"/>
                <w:numId w:val="6"/>
              </w:numPr>
              <w:tabs>
                <w:tab w:val="clear" w:pos="1247"/>
                <w:tab w:val="left" w:pos="211"/>
              </w:tabs>
              <w:spacing w:before="40" w:after="40"/>
              <w:ind w:left="208" w:right="57" w:hanging="218"/>
              <w:rPr>
                <w:sz w:val="18"/>
                <w:szCs w:val="18"/>
                <w:lang w:val="es-ES_tradnl"/>
              </w:rPr>
            </w:pPr>
            <w:r w:rsidRPr="00447994">
              <w:rPr>
                <w:sz w:val="18"/>
                <w:szCs w:val="18"/>
                <w:lang w:val="es-ES_tradnl"/>
              </w:rPr>
              <w:t>Examen de los progresos realizados en la ejecución del programa de trabajo del grupo de trabajo de la Asociación sobre los Desechos Plásticos para el bienio 2022</w:t>
            </w:r>
            <w:r w:rsidRPr="00447994">
              <w:rPr>
                <w:sz w:val="18"/>
                <w:szCs w:val="18"/>
                <w:lang w:val="es-ES_tradnl"/>
              </w:rPr>
              <w:noBreakHyphen/>
              <w:t>2023, y elaboración de orientación al respecto.</w:t>
            </w:r>
          </w:p>
        </w:tc>
        <w:tc>
          <w:tcPr>
            <w:tcW w:w="1701" w:type="dxa"/>
            <w:tcBorders>
              <w:bottom w:val="single" w:sz="4" w:space="0" w:color="auto"/>
            </w:tcBorders>
          </w:tcPr>
          <w:p w14:paraId="695ADF71" w14:textId="77777777" w:rsidR="00806D82" w:rsidRPr="00447994" w:rsidRDefault="00806D82" w:rsidP="00A2639E">
            <w:pPr>
              <w:pStyle w:val="Normal-pool"/>
              <w:spacing w:before="40" w:after="40"/>
              <w:rPr>
                <w:sz w:val="18"/>
                <w:szCs w:val="18"/>
                <w:lang w:val="es-ES_tradnl"/>
              </w:rPr>
            </w:pPr>
            <w:r w:rsidRPr="00447994">
              <w:rPr>
                <w:sz w:val="18"/>
                <w:szCs w:val="18"/>
                <w:lang w:val="es-ES_tradnl"/>
              </w:rPr>
              <w:t>Decisión BC</w:t>
            </w:r>
            <w:r w:rsidRPr="00447994">
              <w:rPr>
                <w:sz w:val="18"/>
                <w:szCs w:val="18"/>
                <w:lang w:val="es-ES_tradnl"/>
              </w:rPr>
              <w:noBreakHyphen/>
              <w:t>15/22</w:t>
            </w:r>
          </w:p>
        </w:tc>
        <w:tc>
          <w:tcPr>
            <w:tcW w:w="1077" w:type="dxa"/>
            <w:tcBorders>
              <w:bottom w:val="single" w:sz="4" w:space="0" w:color="auto"/>
            </w:tcBorders>
          </w:tcPr>
          <w:p w14:paraId="5E3AED02" w14:textId="77777777" w:rsidR="00806D82" w:rsidRPr="00447994" w:rsidRDefault="00806D82" w:rsidP="00A2639E">
            <w:pPr>
              <w:pStyle w:val="Normal-pool"/>
              <w:spacing w:before="40" w:after="40"/>
              <w:rPr>
                <w:sz w:val="18"/>
                <w:szCs w:val="18"/>
                <w:lang w:val="es-ES_tradnl"/>
              </w:rPr>
            </w:pPr>
            <w:r w:rsidRPr="00447994">
              <w:rPr>
                <w:sz w:val="18"/>
                <w:szCs w:val="18"/>
                <w:lang w:val="es-ES_tradnl"/>
              </w:rPr>
              <w:t>Media</w:t>
            </w:r>
          </w:p>
        </w:tc>
      </w:tr>
      <w:tr w:rsidR="00806D82" w:rsidRPr="00447994" w14:paraId="4481F5C8" w14:textId="77777777" w:rsidTr="00A2639E">
        <w:trPr>
          <w:trHeight w:val="57"/>
          <w:jc w:val="right"/>
        </w:trPr>
        <w:tc>
          <w:tcPr>
            <w:tcW w:w="2255" w:type="dxa"/>
            <w:tcBorders>
              <w:top w:val="single" w:sz="4" w:space="0" w:color="auto"/>
              <w:bottom w:val="single" w:sz="12" w:space="0" w:color="auto"/>
            </w:tcBorders>
            <w:shd w:val="clear" w:color="auto" w:fill="auto"/>
            <w:hideMark/>
          </w:tcPr>
          <w:p w14:paraId="3334CA90" w14:textId="77777777" w:rsidR="00806D82" w:rsidRPr="00447994" w:rsidRDefault="00806D82">
            <w:pPr>
              <w:pStyle w:val="Normal-pool"/>
              <w:numPr>
                <w:ilvl w:val="0"/>
                <w:numId w:val="10"/>
              </w:numPr>
              <w:tabs>
                <w:tab w:val="clear" w:pos="1247"/>
                <w:tab w:val="left" w:pos="300"/>
              </w:tabs>
              <w:spacing w:before="40" w:after="40"/>
              <w:ind w:left="318" w:right="57" w:hanging="284"/>
              <w:rPr>
                <w:sz w:val="18"/>
                <w:szCs w:val="18"/>
                <w:lang w:val="es-ES_tradnl"/>
              </w:rPr>
            </w:pPr>
            <w:r w:rsidRPr="00447994">
              <w:rPr>
                <w:sz w:val="18"/>
                <w:szCs w:val="18"/>
                <w:lang w:val="es-ES_tradnl"/>
              </w:rPr>
              <w:t>Cooperación con la Organización Mundial de Aduanas sobre el Sistema Armonizado de Designación y Codificación de Mercancías</w:t>
            </w:r>
          </w:p>
        </w:tc>
        <w:tc>
          <w:tcPr>
            <w:tcW w:w="3274" w:type="dxa"/>
            <w:tcBorders>
              <w:top w:val="single" w:sz="4" w:space="0" w:color="auto"/>
              <w:bottom w:val="single" w:sz="12" w:space="0" w:color="auto"/>
            </w:tcBorders>
            <w:shd w:val="clear" w:color="auto" w:fill="auto"/>
            <w:hideMark/>
          </w:tcPr>
          <w:p w14:paraId="0B4BD0AE" w14:textId="77777777" w:rsidR="00806D82" w:rsidRPr="00447994" w:rsidRDefault="00806D82" w:rsidP="00A2639E">
            <w:pPr>
              <w:pStyle w:val="Normal-pool"/>
              <w:spacing w:before="40" w:after="40"/>
              <w:ind w:left="57" w:right="57"/>
              <w:rPr>
                <w:sz w:val="18"/>
                <w:szCs w:val="18"/>
                <w:lang w:val="es-ES_tradnl"/>
              </w:rPr>
            </w:pPr>
            <w:r w:rsidRPr="00447994">
              <w:rPr>
                <w:sz w:val="18"/>
                <w:szCs w:val="18"/>
                <w:lang w:val="es-ES_tradnl"/>
              </w:rPr>
              <w:t>Examen de los progresos realizados con respecto a la inclusión de los desechos regulados por el Convenio de Basilea en el Sistema Armonizado de Designación y Codificación de Mercancías de la Organización Mundial de Aduanas.</w:t>
            </w:r>
          </w:p>
        </w:tc>
        <w:tc>
          <w:tcPr>
            <w:tcW w:w="1701" w:type="dxa"/>
            <w:tcBorders>
              <w:top w:val="single" w:sz="4" w:space="0" w:color="auto"/>
              <w:bottom w:val="single" w:sz="12" w:space="0" w:color="auto"/>
            </w:tcBorders>
            <w:hideMark/>
          </w:tcPr>
          <w:p w14:paraId="769158EE" w14:textId="77777777" w:rsidR="00806D82" w:rsidRPr="00447994" w:rsidRDefault="00806D82" w:rsidP="00A2639E">
            <w:pPr>
              <w:pStyle w:val="Normal-pool"/>
              <w:spacing w:before="40" w:after="40"/>
              <w:rPr>
                <w:sz w:val="18"/>
                <w:szCs w:val="18"/>
                <w:lang w:val="es-ES_tradnl"/>
              </w:rPr>
            </w:pPr>
            <w:r w:rsidRPr="00447994">
              <w:rPr>
                <w:sz w:val="18"/>
                <w:szCs w:val="18"/>
                <w:lang w:val="es-ES_tradnl"/>
              </w:rPr>
              <w:t>Decisión BC</w:t>
            </w:r>
            <w:r w:rsidRPr="00447994">
              <w:rPr>
                <w:sz w:val="18"/>
                <w:szCs w:val="18"/>
                <w:lang w:val="es-ES_tradnl"/>
              </w:rPr>
              <w:noBreakHyphen/>
              <w:t>15/12</w:t>
            </w:r>
          </w:p>
        </w:tc>
        <w:tc>
          <w:tcPr>
            <w:tcW w:w="1077" w:type="dxa"/>
            <w:tcBorders>
              <w:top w:val="single" w:sz="4" w:space="0" w:color="auto"/>
              <w:bottom w:val="single" w:sz="12" w:space="0" w:color="auto"/>
            </w:tcBorders>
            <w:hideMark/>
          </w:tcPr>
          <w:p w14:paraId="410DABBB" w14:textId="77777777" w:rsidR="00806D82" w:rsidRPr="00447994" w:rsidRDefault="00806D82" w:rsidP="00A2639E">
            <w:pPr>
              <w:pStyle w:val="Normal-pool"/>
              <w:spacing w:before="40" w:after="40"/>
              <w:rPr>
                <w:sz w:val="18"/>
                <w:szCs w:val="18"/>
                <w:lang w:val="es-ES_tradnl"/>
              </w:rPr>
            </w:pPr>
            <w:r w:rsidRPr="00447994">
              <w:rPr>
                <w:sz w:val="18"/>
                <w:szCs w:val="18"/>
                <w:lang w:val="es-ES_tradnl"/>
              </w:rPr>
              <w:t>Baja</w:t>
            </w:r>
          </w:p>
        </w:tc>
      </w:tr>
      <w:bookmarkEnd w:id="0"/>
    </w:tbl>
    <w:p w14:paraId="5E5F9B2A" w14:textId="013A9A1B" w:rsidR="00F935A6" w:rsidRPr="00AD56CA" w:rsidRDefault="00F935A6" w:rsidP="00806D82">
      <w:pPr>
        <w:pStyle w:val="Normal-pool"/>
        <w:rPr>
          <w:lang w:val="es-ES_tradnl"/>
        </w:rPr>
      </w:pPr>
    </w:p>
    <w:sectPr w:rsidR="00F935A6" w:rsidRPr="00AD56C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68D8F7" w14:textId="77777777" w:rsidR="009A5265" w:rsidRDefault="009A5265" w:rsidP="00162093">
      <w:r>
        <w:separator/>
      </w:r>
    </w:p>
  </w:endnote>
  <w:endnote w:type="continuationSeparator" w:id="0">
    <w:p w14:paraId="7286EBD2" w14:textId="77777777" w:rsidR="009A5265" w:rsidRDefault="009A5265" w:rsidP="001620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Batang">
    <w:altName w:val="바탕"/>
    <w:panose1 w:val="02030600000101010101"/>
    <w:charset w:val="81"/>
    <w:family w:val="roman"/>
    <w:pitch w:val="variable"/>
    <w:sig w:usb0="B00002AF" w:usb1="69D77CFB" w:usb2="00000030" w:usb3="00000000" w:csb0="0008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F69306" w14:textId="77777777" w:rsidR="009A5265" w:rsidRDefault="009A5265" w:rsidP="00162093">
      <w:r>
        <w:separator/>
      </w:r>
    </w:p>
  </w:footnote>
  <w:footnote w:type="continuationSeparator" w:id="0">
    <w:p w14:paraId="229286A2" w14:textId="77777777" w:rsidR="009A5265" w:rsidRDefault="009A5265" w:rsidP="001620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E4730"/>
    <w:multiLevelType w:val="hybridMultilevel"/>
    <w:tmpl w:val="EB56E80E"/>
    <w:lvl w:ilvl="0" w:tplc="F702C356">
      <w:start w:val="1"/>
      <w:numFmt w:val="decimal"/>
      <w:lvlText w:val="%1."/>
      <w:lvlJc w:val="left"/>
      <w:pPr>
        <w:ind w:left="777" w:hanging="360"/>
      </w:pPr>
    </w:lvl>
    <w:lvl w:ilvl="1" w:tplc="E9C49AD0" w:tentative="1">
      <w:start w:val="1"/>
      <w:numFmt w:val="lowerLetter"/>
      <w:lvlText w:val="%2."/>
      <w:lvlJc w:val="left"/>
      <w:pPr>
        <w:ind w:left="1497" w:hanging="360"/>
      </w:pPr>
    </w:lvl>
    <w:lvl w:ilvl="2" w:tplc="AD5088EC" w:tentative="1">
      <w:start w:val="1"/>
      <w:numFmt w:val="lowerRoman"/>
      <w:lvlText w:val="%3."/>
      <w:lvlJc w:val="right"/>
      <w:pPr>
        <w:ind w:left="2217" w:hanging="180"/>
      </w:pPr>
    </w:lvl>
    <w:lvl w:ilvl="3" w:tplc="3626999C" w:tentative="1">
      <w:start w:val="1"/>
      <w:numFmt w:val="decimal"/>
      <w:lvlText w:val="%4."/>
      <w:lvlJc w:val="left"/>
      <w:pPr>
        <w:ind w:left="2937" w:hanging="360"/>
      </w:pPr>
    </w:lvl>
    <w:lvl w:ilvl="4" w:tplc="6C406F2A" w:tentative="1">
      <w:start w:val="1"/>
      <w:numFmt w:val="lowerLetter"/>
      <w:lvlText w:val="%5."/>
      <w:lvlJc w:val="left"/>
      <w:pPr>
        <w:ind w:left="3657" w:hanging="360"/>
      </w:pPr>
    </w:lvl>
    <w:lvl w:ilvl="5" w:tplc="1BF27F36" w:tentative="1">
      <w:start w:val="1"/>
      <w:numFmt w:val="lowerRoman"/>
      <w:lvlText w:val="%6."/>
      <w:lvlJc w:val="right"/>
      <w:pPr>
        <w:ind w:left="4377" w:hanging="180"/>
      </w:pPr>
    </w:lvl>
    <w:lvl w:ilvl="6" w:tplc="C4FECFB8" w:tentative="1">
      <w:start w:val="1"/>
      <w:numFmt w:val="decimal"/>
      <w:lvlText w:val="%7."/>
      <w:lvlJc w:val="left"/>
      <w:pPr>
        <w:ind w:left="5097" w:hanging="360"/>
      </w:pPr>
    </w:lvl>
    <w:lvl w:ilvl="7" w:tplc="52BED9F8" w:tentative="1">
      <w:start w:val="1"/>
      <w:numFmt w:val="lowerLetter"/>
      <w:lvlText w:val="%8."/>
      <w:lvlJc w:val="left"/>
      <w:pPr>
        <w:ind w:left="5817" w:hanging="360"/>
      </w:pPr>
    </w:lvl>
    <w:lvl w:ilvl="8" w:tplc="8B98E45C" w:tentative="1">
      <w:start w:val="1"/>
      <w:numFmt w:val="lowerRoman"/>
      <w:lvlText w:val="%9."/>
      <w:lvlJc w:val="right"/>
      <w:pPr>
        <w:ind w:left="6537" w:hanging="180"/>
      </w:pPr>
    </w:lvl>
  </w:abstractNum>
  <w:abstractNum w:abstractNumId="1" w15:restartNumberingAfterBreak="0">
    <w:nsid w:val="0B8051BB"/>
    <w:multiLevelType w:val="hybridMultilevel"/>
    <w:tmpl w:val="EB56E80E"/>
    <w:lvl w:ilvl="0" w:tplc="F702C356">
      <w:start w:val="1"/>
      <w:numFmt w:val="decimal"/>
      <w:lvlText w:val="%1."/>
      <w:lvlJc w:val="left"/>
      <w:pPr>
        <w:ind w:left="777" w:hanging="360"/>
      </w:pPr>
    </w:lvl>
    <w:lvl w:ilvl="1" w:tplc="E9C49AD0" w:tentative="1">
      <w:start w:val="1"/>
      <w:numFmt w:val="lowerLetter"/>
      <w:lvlText w:val="%2."/>
      <w:lvlJc w:val="left"/>
      <w:pPr>
        <w:ind w:left="1497" w:hanging="360"/>
      </w:pPr>
    </w:lvl>
    <w:lvl w:ilvl="2" w:tplc="AD5088EC" w:tentative="1">
      <w:start w:val="1"/>
      <w:numFmt w:val="lowerRoman"/>
      <w:lvlText w:val="%3."/>
      <w:lvlJc w:val="right"/>
      <w:pPr>
        <w:ind w:left="2217" w:hanging="180"/>
      </w:pPr>
    </w:lvl>
    <w:lvl w:ilvl="3" w:tplc="3626999C" w:tentative="1">
      <w:start w:val="1"/>
      <w:numFmt w:val="decimal"/>
      <w:lvlText w:val="%4."/>
      <w:lvlJc w:val="left"/>
      <w:pPr>
        <w:ind w:left="2937" w:hanging="360"/>
      </w:pPr>
    </w:lvl>
    <w:lvl w:ilvl="4" w:tplc="6C406F2A" w:tentative="1">
      <w:start w:val="1"/>
      <w:numFmt w:val="lowerLetter"/>
      <w:lvlText w:val="%5."/>
      <w:lvlJc w:val="left"/>
      <w:pPr>
        <w:ind w:left="3657" w:hanging="360"/>
      </w:pPr>
    </w:lvl>
    <w:lvl w:ilvl="5" w:tplc="1BF27F36" w:tentative="1">
      <w:start w:val="1"/>
      <w:numFmt w:val="lowerRoman"/>
      <w:lvlText w:val="%6."/>
      <w:lvlJc w:val="right"/>
      <w:pPr>
        <w:ind w:left="4377" w:hanging="180"/>
      </w:pPr>
    </w:lvl>
    <w:lvl w:ilvl="6" w:tplc="C4FECFB8" w:tentative="1">
      <w:start w:val="1"/>
      <w:numFmt w:val="decimal"/>
      <w:lvlText w:val="%7."/>
      <w:lvlJc w:val="left"/>
      <w:pPr>
        <w:ind w:left="5097" w:hanging="360"/>
      </w:pPr>
    </w:lvl>
    <w:lvl w:ilvl="7" w:tplc="52BED9F8" w:tentative="1">
      <w:start w:val="1"/>
      <w:numFmt w:val="lowerLetter"/>
      <w:lvlText w:val="%8."/>
      <w:lvlJc w:val="left"/>
      <w:pPr>
        <w:ind w:left="5817" w:hanging="360"/>
      </w:pPr>
    </w:lvl>
    <w:lvl w:ilvl="8" w:tplc="8B98E45C" w:tentative="1">
      <w:start w:val="1"/>
      <w:numFmt w:val="lowerRoman"/>
      <w:lvlText w:val="%9."/>
      <w:lvlJc w:val="right"/>
      <w:pPr>
        <w:ind w:left="6537" w:hanging="180"/>
      </w:pPr>
    </w:lvl>
  </w:abstractNum>
  <w:abstractNum w:abstractNumId="2" w15:restartNumberingAfterBreak="0">
    <w:nsid w:val="0BDD50DC"/>
    <w:multiLevelType w:val="hybridMultilevel"/>
    <w:tmpl w:val="C0145100"/>
    <w:lvl w:ilvl="0" w:tplc="D8D03FBC">
      <w:start w:val="1"/>
      <w:numFmt w:val="upperLetter"/>
      <w:lvlText w:val="%1."/>
      <w:lvlJc w:val="left"/>
      <w:pPr>
        <w:ind w:left="777" w:hanging="360"/>
      </w:pPr>
      <w:rPr>
        <w:rFonts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EA62E7B"/>
    <w:multiLevelType w:val="hybridMultilevel"/>
    <w:tmpl w:val="39EA49D6"/>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1790" w:hanging="360"/>
      </w:p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tentative="1">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abstractNum w:abstractNumId="4" w15:restartNumberingAfterBreak="0">
    <w:nsid w:val="6C6A6D41"/>
    <w:multiLevelType w:val="hybridMultilevel"/>
    <w:tmpl w:val="C0145100"/>
    <w:lvl w:ilvl="0" w:tplc="D8D03FBC">
      <w:start w:val="1"/>
      <w:numFmt w:val="upperLetter"/>
      <w:lvlText w:val="%1."/>
      <w:lvlJc w:val="left"/>
      <w:pPr>
        <w:ind w:left="777" w:hanging="360"/>
      </w:pPr>
      <w:rPr>
        <w:rFonts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DFC2825"/>
    <w:multiLevelType w:val="hybridMultilevel"/>
    <w:tmpl w:val="C0145100"/>
    <w:lvl w:ilvl="0" w:tplc="D8D03FBC">
      <w:start w:val="1"/>
      <w:numFmt w:val="upperLetter"/>
      <w:lvlText w:val="%1."/>
      <w:lvlJc w:val="left"/>
      <w:pPr>
        <w:ind w:left="777" w:hanging="360"/>
      </w:pPr>
      <w:rPr>
        <w:rFonts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76A72F9"/>
    <w:multiLevelType w:val="hybridMultilevel"/>
    <w:tmpl w:val="C0145100"/>
    <w:lvl w:ilvl="0" w:tplc="D8D03FBC">
      <w:start w:val="1"/>
      <w:numFmt w:val="upperLetter"/>
      <w:lvlText w:val="%1."/>
      <w:lvlJc w:val="left"/>
      <w:pPr>
        <w:ind w:left="777" w:hanging="360"/>
      </w:pPr>
      <w:rPr>
        <w:rFonts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9F74258"/>
    <w:multiLevelType w:val="hybridMultilevel"/>
    <w:tmpl w:val="F7D65084"/>
    <w:lvl w:ilvl="0" w:tplc="F702C356">
      <w:start w:val="1"/>
      <w:numFmt w:val="decimal"/>
      <w:lvlText w:val="%1."/>
      <w:lvlJc w:val="left"/>
      <w:pPr>
        <w:ind w:left="777" w:hanging="360"/>
      </w:pPr>
    </w:lvl>
    <w:lvl w:ilvl="1" w:tplc="E9C49AD0" w:tentative="1">
      <w:start w:val="1"/>
      <w:numFmt w:val="lowerLetter"/>
      <w:lvlText w:val="%2."/>
      <w:lvlJc w:val="left"/>
      <w:pPr>
        <w:ind w:left="1497" w:hanging="360"/>
      </w:pPr>
    </w:lvl>
    <w:lvl w:ilvl="2" w:tplc="AD5088EC" w:tentative="1">
      <w:start w:val="1"/>
      <w:numFmt w:val="lowerRoman"/>
      <w:lvlText w:val="%3."/>
      <w:lvlJc w:val="right"/>
      <w:pPr>
        <w:ind w:left="2217" w:hanging="180"/>
      </w:pPr>
    </w:lvl>
    <w:lvl w:ilvl="3" w:tplc="3626999C" w:tentative="1">
      <w:start w:val="1"/>
      <w:numFmt w:val="decimal"/>
      <w:lvlText w:val="%4."/>
      <w:lvlJc w:val="left"/>
      <w:pPr>
        <w:ind w:left="2937" w:hanging="360"/>
      </w:pPr>
    </w:lvl>
    <w:lvl w:ilvl="4" w:tplc="6C406F2A" w:tentative="1">
      <w:start w:val="1"/>
      <w:numFmt w:val="lowerLetter"/>
      <w:lvlText w:val="%5."/>
      <w:lvlJc w:val="left"/>
      <w:pPr>
        <w:ind w:left="3657" w:hanging="360"/>
      </w:pPr>
    </w:lvl>
    <w:lvl w:ilvl="5" w:tplc="1BF27F36" w:tentative="1">
      <w:start w:val="1"/>
      <w:numFmt w:val="lowerRoman"/>
      <w:lvlText w:val="%6."/>
      <w:lvlJc w:val="right"/>
      <w:pPr>
        <w:ind w:left="4377" w:hanging="180"/>
      </w:pPr>
    </w:lvl>
    <w:lvl w:ilvl="6" w:tplc="C4FECFB8" w:tentative="1">
      <w:start w:val="1"/>
      <w:numFmt w:val="decimal"/>
      <w:lvlText w:val="%7."/>
      <w:lvlJc w:val="left"/>
      <w:pPr>
        <w:ind w:left="5097" w:hanging="360"/>
      </w:pPr>
    </w:lvl>
    <w:lvl w:ilvl="7" w:tplc="52BED9F8" w:tentative="1">
      <w:start w:val="1"/>
      <w:numFmt w:val="lowerLetter"/>
      <w:lvlText w:val="%8."/>
      <w:lvlJc w:val="left"/>
      <w:pPr>
        <w:ind w:left="5817" w:hanging="360"/>
      </w:pPr>
    </w:lvl>
    <w:lvl w:ilvl="8" w:tplc="8B98E45C" w:tentative="1">
      <w:start w:val="1"/>
      <w:numFmt w:val="lowerRoman"/>
      <w:lvlText w:val="%9."/>
      <w:lvlJc w:val="right"/>
      <w:pPr>
        <w:ind w:left="6537" w:hanging="180"/>
      </w:pPr>
    </w:lvl>
  </w:abstractNum>
  <w:abstractNum w:abstractNumId="8" w15:restartNumberingAfterBreak="0">
    <w:nsid w:val="7AE73CD2"/>
    <w:multiLevelType w:val="hybridMultilevel"/>
    <w:tmpl w:val="F7D65084"/>
    <w:lvl w:ilvl="0" w:tplc="F702C356">
      <w:start w:val="1"/>
      <w:numFmt w:val="decimal"/>
      <w:lvlText w:val="%1."/>
      <w:lvlJc w:val="left"/>
      <w:pPr>
        <w:ind w:left="777" w:hanging="360"/>
      </w:pPr>
    </w:lvl>
    <w:lvl w:ilvl="1" w:tplc="E9C49AD0" w:tentative="1">
      <w:start w:val="1"/>
      <w:numFmt w:val="lowerLetter"/>
      <w:lvlText w:val="%2."/>
      <w:lvlJc w:val="left"/>
      <w:pPr>
        <w:ind w:left="1497" w:hanging="360"/>
      </w:pPr>
    </w:lvl>
    <w:lvl w:ilvl="2" w:tplc="AD5088EC" w:tentative="1">
      <w:start w:val="1"/>
      <w:numFmt w:val="lowerRoman"/>
      <w:lvlText w:val="%3."/>
      <w:lvlJc w:val="right"/>
      <w:pPr>
        <w:ind w:left="2217" w:hanging="180"/>
      </w:pPr>
    </w:lvl>
    <w:lvl w:ilvl="3" w:tplc="3626999C" w:tentative="1">
      <w:start w:val="1"/>
      <w:numFmt w:val="decimal"/>
      <w:lvlText w:val="%4."/>
      <w:lvlJc w:val="left"/>
      <w:pPr>
        <w:ind w:left="2937" w:hanging="360"/>
      </w:pPr>
    </w:lvl>
    <w:lvl w:ilvl="4" w:tplc="6C406F2A" w:tentative="1">
      <w:start w:val="1"/>
      <w:numFmt w:val="lowerLetter"/>
      <w:lvlText w:val="%5."/>
      <w:lvlJc w:val="left"/>
      <w:pPr>
        <w:ind w:left="3657" w:hanging="360"/>
      </w:pPr>
    </w:lvl>
    <w:lvl w:ilvl="5" w:tplc="1BF27F36" w:tentative="1">
      <w:start w:val="1"/>
      <w:numFmt w:val="lowerRoman"/>
      <w:lvlText w:val="%6."/>
      <w:lvlJc w:val="right"/>
      <w:pPr>
        <w:ind w:left="4377" w:hanging="180"/>
      </w:pPr>
    </w:lvl>
    <w:lvl w:ilvl="6" w:tplc="C4FECFB8" w:tentative="1">
      <w:start w:val="1"/>
      <w:numFmt w:val="decimal"/>
      <w:lvlText w:val="%7."/>
      <w:lvlJc w:val="left"/>
      <w:pPr>
        <w:ind w:left="5097" w:hanging="360"/>
      </w:pPr>
    </w:lvl>
    <w:lvl w:ilvl="7" w:tplc="52BED9F8" w:tentative="1">
      <w:start w:val="1"/>
      <w:numFmt w:val="lowerLetter"/>
      <w:lvlText w:val="%8."/>
      <w:lvlJc w:val="left"/>
      <w:pPr>
        <w:ind w:left="5817" w:hanging="360"/>
      </w:pPr>
    </w:lvl>
    <w:lvl w:ilvl="8" w:tplc="8B98E45C" w:tentative="1">
      <w:start w:val="1"/>
      <w:numFmt w:val="lowerRoman"/>
      <w:lvlText w:val="%9."/>
      <w:lvlJc w:val="right"/>
      <w:pPr>
        <w:ind w:left="6537" w:hanging="180"/>
      </w:pPr>
    </w:lvl>
  </w:abstractNum>
  <w:abstractNum w:abstractNumId="9" w15:restartNumberingAfterBreak="0">
    <w:nsid w:val="7CAC3877"/>
    <w:multiLevelType w:val="hybridMultilevel"/>
    <w:tmpl w:val="BE22AA9E"/>
    <w:lvl w:ilvl="0" w:tplc="0809000F">
      <w:start w:val="1"/>
      <w:numFmt w:val="upperRoman"/>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05873787">
    <w:abstractNumId w:val="8"/>
  </w:num>
  <w:num w:numId="2" w16cid:durableId="671643292">
    <w:abstractNumId w:val="4"/>
  </w:num>
  <w:num w:numId="3" w16cid:durableId="503208096">
    <w:abstractNumId w:val="9"/>
  </w:num>
  <w:num w:numId="4" w16cid:durableId="1112360762">
    <w:abstractNumId w:val="3"/>
  </w:num>
  <w:num w:numId="5" w16cid:durableId="1284120402">
    <w:abstractNumId w:val="1"/>
  </w:num>
  <w:num w:numId="6" w16cid:durableId="1238709616">
    <w:abstractNumId w:val="0"/>
  </w:num>
  <w:num w:numId="7" w16cid:durableId="1090389922">
    <w:abstractNumId w:val="7"/>
  </w:num>
  <w:num w:numId="8" w16cid:durableId="59332801">
    <w:abstractNumId w:val="6"/>
  </w:num>
  <w:num w:numId="9" w16cid:durableId="583958059">
    <w:abstractNumId w:val="5"/>
  </w:num>
  <w:num w:numId="10" w16cid:durableId="271939082">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2093"/>
    <w:rsid w:val="000113D8"/>
    <w:rsid w:val="000728FB"/>
    <w:rsid w:val="00162093"/>
    <w:rsid w:val="002403A2"/>
    <w:rsid w:val="00245BBD"/>
    <w:rsid w:val="002F78B7"/>
    <w:rsid w:val="003C0CF7"/>
    <w:rsid w:val="003E56FA"/>
    <w:rsid w:val="0067579D"/>
    <w:rsid w:val="006F0658"/>
    <w:rsid w:val="007B69C9"/>
    <w:rsid w:val="00806D82"/>
    <w:rsid w:val="00836B73"/>
    <w:rsid w:val="009A5265"/>
    <w:rsid w:val="00A077D7"/>
    <w:rsid w:val="00A20275"/>
    <w:rsid w:val="00A83FA0"/>
    <w:rsid w:val="00AD56CA"/>
    <w:rsid w:val="00B437F7"/>
    <w:rsid w:val="00B909A9"/>
    <w:rsid w:val="00C803C5"/>
    <w:rsid w:val="00C84536"/>
    <w:rsid w:val="00D07464"/>
    <w:rsid w:val="00E066A0"/>
    <w:rsid w:val="00E13BF6"/>
    <w:rsid w:val="00F86494"/>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62A50"/>
  <w15:chartTrackingRefBased/>
  <w15:docId w15:val="{5CFD338D-51B9-427C-BABF-37F7EB912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C0CF7"/>
    <w:pPr>
      <w:spacing w:after="0" w:line="240" w:lineRule="auto"/>
    </w:pPr>
    <w:rPr>
      <w:rFonts w:ascii="Times New Roman" w:eastAsiaTheme="minorHAnsi" w:hAnsi="Times New Roman" w:cs="Times New Roman"/>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next w:val="CH2"/>
    <w:qFormat/>
    <w:rsid w:val="00162093"/>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8"/>
      <w:szCs w:val="28"/>
      <w:lang w:val="en-GB" w:eastAsia="en-US"/>
    </w:rPr>
  </w:style>
  <w:style w:type="paragraph" w:customStyle="1" w:styleId="CH2">
    <w:name w:val="CH2"/>
    <w:next w:val="Normal"/>
    <w:link w:val="CH2Char"/>
    <w:qFormat/>
    <w:rsid w:val="00162093"/>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4"/>
      <w:szCs w:val="24"/>
      <w:lang w:eastAsia="en-US"/>
    </w:rPr>
  </w:style>
  <w:style w:type="character" w:styleId="Hyperlink">
    <w:name w:val="Hyperlink"/>
    <w:uiPriority w:val="99"/>
    <w:unhideWhenUsed/>
    <w:rsid w:val="00162093"/>
    <w:rPr>
      <w:rFonts w:ascii="Times New Roman" w:hAnsi="Times New Roman"/>
      <w:color w:val="auto"/>
      <w:sz w:val="20"/>
      <w:szCs w:val="20"/>
      <w:u w:val="none"/>
      <w:lang w:val="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
    <w:link w:val="BVIfnrCharCharCharChar"/>
    <w:semiHidden/>
    <w:qFormat/>
    <w:rsid w:val="00162093"/>
    <w:rPr>
      <w:szCs w:val="18"/>
      <w:vertAlign w:val="superscript"/>
    </w:rPr>
  </w:style>
  <w:style w:type="paragraph" w:customStyle="1" w:styleId="Normal-pool">
    <w:name w:val="Normal-pool"/>
    <w:link w:val="Normal-poolChar"/>
    <w:qFormat/>
    <w:rsid w:val="00162093"/>
    <w:pPr>
      <w:tabs>
        <w:tab w:val="left" w:pos="624"/>
        <w:tab w:val="left" w:pos="1247"/>
        <w:tab w:val="left" w:pos="1814"/>
      </w:tabs>
      <w:spacing w:after="0" w:line="240" w:lineRule="auto"/>
    </w:pPr>
    <w:rPr>
      <w:rFonts w:ascii="Times New Roman" w:eastAsiaTheme="minorHAnsi" w:hAnsi="Times New Roman" w:cs="Times New Roman"/>
      <w:sz w:val="20"/>
      <w:szCs w:val="20"/>
      <w:lang w:eastAsia="en-US"/>
    </w:rPr>
  </w:style>
  <w:style w:type="character" w:customStyle="1" w:styleId="Normal-poolChar">
    <w:name w:val="Normal-pool Char"/>
    <w:link w:val="Normal-pool"/>
    <w:locked/>
    <w:rsid w:val="00162093"/>
    <w:rPr>
      <w:rFonts w:ascii="Times New Roman" w:eastAsiaTheme="minorHAnsi" w:hAnsi="Times New Roman" w:cs="Times New Roman"/>
      <w:sz w:val="20"/>
      <w:szCs w:val="20"/>
      <w:lang w:eastAsia="en-US"/>
    </w:rPr>
  </w:style>
  <w:style w:type="character" w:customStyle="1" w:styleId="CH2Char">
    <w:name w:val="CH2 Char"/>
    <w:link w:val="CH2"/>
    <w:rsid w:val="00162093"/>
    <w:rPr>
      <w:rFonts w:ascii="Times New Roman" w:eastAsiaTheme="minorHAnsi" w:hAnsi="Times New Roman" w:cs="Times New Roman"/>
      <w:b/>
      <w:sz w:val="24"/>
      <w:szCs w:val="24"/>
      <w:lang w:eastAsia="en-US"/>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162093"/>
    <w:pPr>
      <w:spacing w:before="120" w:line="240" w:lineRule="exact"/>
    </w:pPr>
    <w:rPr>
      <w:szCs w:val="18"/>
      <w:vertAlign w:val="superscript"/>
    </w:rPr>
  </w:style>
  <w:style w:type="paragraph" w:customStyle="1" w:styleId="NormalNonumber">
    <w:name w:val="Normal_No_number"/>
    <w:basedOn w:val="Normal-pool"/>
    <w:qFormat/>
    <w:rsid w:val="00A83FA0"/>
    <w:pPr>
      <w:spacing w:after="120"/>
      <w:ind w:left="1247"/>
    </w:pPr>
  </w:style>
  <w:style w:type="paragraph" w:customStyle="1" w:styleId="CH4">
    <w:name w:val="CH4"/>
    <w:next w:val="Normal"/>
    <w:rsid w:val="00E13BF6"/>
    <w:pPr>
      <w:keepNext/>
      <w:keepLines/>
      <w:tabs>
        <w:tab w:val="right" w:pos="851"/>
        <w:tab w:val="left" w:pos="1247"/>
      </w:tabs>
      <w:suppressAutoHyphens/>
      <w:spacing w:before="120" w:after="120" w:line="240" w:lineRule="auto"/>
      <w:ind w:left="1247" w:right="284" w:hanging="1247"/>
    </w:pPr>
    <w:rPr>
      <w:rFonts w:ascii="Times New Roman" w:eastAsiaTheme="minorHAnsi" w:hAnsi="Times New Roman" w:cs="Times New Roman"/>
      <w:b/>
      <w:sz w:val="20"/>
      <w:szCs w:val="20"/>
      <w:lang w:eastAsia="en-US"/>
    </w:rPr>
  </w:style>
  <w:style w:type="character" w:customStyle="1" w:styleId="footnote">
    <w:name w:val="footnote"/>
    <w:aliases w:val="reference,16,Point,Superscript,61,reference1,68"/>
    <w:semiHidden/>
    <w:rsid w:val="00E13BF6"/>
    <w:rPr>
      <w:rFonts w:ascii="Times New Roman" w:hAnsi="Times New Roman" w:cs="Times New Roman" w:hint="default"/>
      <w:color w:val="auto"/>
      <w:sz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1147</Words>
  <Characters>6543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2023-05-22T13:33:00Z</dcterms:created>
  <dcterms:modified xsi:type="dcterms:W3CDTF">2023-05-22T13:33:00Z</dcterms:modified>
</cp:coreProperties>
</file>