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96777" w14:textId="77777777" w:rsidR="00116D45" w:rsidRPr="00447994" w:rsidRDefault="00116D45" w:rsidP="00116D45">
      <w:pPr>
        <w:pStyle w:val="CH1"/>
        <w:rPr>
          <w:lang w:val="es-ES_tradnl"/>
        </w:rPr>
      </w:pPr>
      <w:r w:rsidRPr="00447994">
        <w:rPr>
          <w:lang w:val="es-ES_tradnl"/>
        </w:rPr>
        <w:tab/>
      </w:r>
      <w:r w:rsidRPr="00447994">
        <w:rPr>
          <w:lang w:val="es-ES_tradnl"/>
        </w:rPr>
        <w:tab/>
      </w:r>
      <w:r w:rsidRPr="00447994">
        <w:rPr>
          <w:bCs/>
          <w:lang w:val="es-ES_tradnl"/>
        </w:rPr>
        <w:t>BC</w:t>
      </w:r>
      <w:r w:rsidRPr="00447994">
        <w:rPr>
          <w:bCs/>
          <w:lang w:val="es-ES_tradnl"/>
        </w:rPr>
        <w:noBreakHyphen/>
        <w:t>15/24: Cooperación y coordinación con el Convenio de Minamata sobre el Mercurio</w:t>
      </w:r>
    </w:p>
    <w:p w14:paraId="74A2FBF2" w14:textId="77777777" w:rsidR="00116D45" w:rsidRPr="00447994" w:rsidRDefault="00116D45" w:rsidP="00116D45">
      <w:pPr>
        <w:pStyle w:val="Normal-pool"/>
        <w:tabs>
          <w:tab w:val="clear" w:pos="1247"/>
          <w:tab w:val="clear" w:pos="1814"/>
        </w:tabs>
        <w:spacing w:after="120"/>
        <w:ind w:left="1247" w:firstLine="624"/>
        <w:rPr>
          <w:rFonts w:eastAsia="Calibri"/>
          <w:i/>
          <w:iCs/>
          <w:lang w:val="es-ES_tradnl"/>
        </w:rPr>
      </w:pPr>
      <w:r w:rsidRPr="00447994">
        <w:rPr>
          <w:i/>
          <w:iCs/>
          <w:lang w:val="es-ES_tradnl"/>
        </w:rPr>
        <w:t>La Conferencia de las Partes,</w:t>
      </w:r>
    </w:p>
    <w:p w14:paraId="2BA86A34" w14:textId="77777777" w:rsidR="00116D45" w:rsidRPr="00447994" w:rsidRDefault="00116D45" w:rsidP="00116D45">
      <w:pPr>
        <w:pStyle w:val="Normal-pool"/>
        <w:spacing w:after="120"/>
        <w:ind w:left="1247" w:firstLine="624"/>
        <w:rPr>
          <w:lang w:val="es-ES_tradnl"/>
        </w:rPr>
      </w:pPr>
      <w:r w:rsidRPr="00447994">
        <w:rPr>
          <w:i/>
          <w:iCs/>
          <w:lang w:val="es-ES_tradnl"/>
        </w:rPr>
        <w:t>Reconociendo</w:t>
      </w:r>
      <w:r w:rsidRPr="00447994">
        <w:rPr>
          <w:lang w:val="es-ES_tradnl"/>
        </w:rPr>
        <w:t xml:space="preserve"> que el intercambio de servicios dentro de un marco estable permitirá mejorar la cooperación y la coordinación sobre la base de la experiencia y la proximidad, y puede favorecer la aplicación eficaz de los Convenios de Basilea, Estocolmo y Rotterdam y el Convenio de Minamata, sin menoscabar la autonomía de las Secretarías ni la rendición de cuentas de su dirección ejecutiva,</w:t>
      </w:r>
    </w:p>
    <w:p w14:paraId="76FF06F5" w14:textId="77777777" w:rsidR="00116D45" w:rsidRPr="00447994" w:rsidRDefault="00116D45" w:rsidP="00116D45">
      <w:pPr>
        <w:pStyle w:val="Normal-pool"/>
        <w:spacing w:after="120"/>
        <w:ind w:left="1247" w:firstLine="624"/>
        <w:rPr>
          <w:i/>
          <w:lang w:val="es-ES_tradnl"/>
        </w:rPr>
      </w:pPr>
      <w:r w:rsidRPr="00447994">
        <w:rPr>
          <w:i/>
          <w:iCs/>
          <w:lang w:val="es-ES_tradnl"/>
        </w:rPr>
        <w:t xml:space="preserve">Expresando gratitud </w:t>
      </w:r>
      <w:r w:rsidRPr="00447994">
        <w:rPr>
          <w:lang w:val="es-ES_tradnl"/>
        </w:rPr>
        <w:t xml:space="preserve">por la propuesta de parte dispositiva de la </w:t>
      </w:r>
      <w:proofErr w:type="gramStart"/>
      <w:r w:rsidRPr="00447994">
        <w:rPr>
          <w:lang w:val="es-ES_tradnl"/>
        </w:rPr>
        <w:t>Directora Ejecutiva</w:t>
      </w:r>
      <w:proofErr w:type="gramEnd"/>
      <w:r w:rsidRPr="00447994">
        <w:rPr>
          <w:lang w:val="es-ES_tradnl"/>
        </w:rPr>
        <w:t xml:space="preserve"> del Programa de las Naciones Unidas para el Medio Ambiente relativa al intercambio de servicios entre la Secretaría del Convenio de Minamata y la Secretaría de los Convenios de Basilea, Estocolmo y Rotterdam</w:t>
      </w:r>
      <w:r w:rsidRPr="00447994">
        <w:rPr>
          <w:vertAlign w:val="superscript"/>
          <w:lang w:val="es-ES_tradnl"/>
        </w:rPr>
        <w:footnoteReference w:id="1"/>
      </w:r>
      <w:r w:rsidRPr="00447994">
        <w:rPr>
          <w:lang w:val="es-ES_tradnl"/>
        </w:rPr>
        <w:t xml:space="preserve">, </w:t>
      </w:r>
    </w:p>
    <w:p w14:paraId="30BADC71" w14:textId="77777777" w:rsidR="00116D45" w:rsidRPr="00447994" w:rsidRDefault="00116D45" w:rsidP="00116D45">
      <w:pPr>
        <w:pStyle w:val="Normal-pool"/>
        <w:spacing w:after="120"/>
        <w:ind w:left="1247" w:firstLine="624"/>
        <w:rPr>
          <w:lang w:val="es-ES_tradnl"/>
        </w:rPr>
      </w:pPr>
      <w:r w:rsidRPr="00447994">
        <w:rPr>
          <w:i/>
          <w:iCs/>
          <w:lang w:val="es-ES_tradnl"/>
        </w:rPr>
        <w:t>Acogiendo con beneplácito</w:t>
      </w:r>
      <w:r w:rsidRPr="00447994">
        <w:rPr>
          <w:lang w:val="es-ES_tradnl"/>
        </w:rPr>
        <w:t xml:space="preserve"> las decisiones MC</w:t>
      </w:r>
      <w:r w:rsidRPr="00447994">
        <w:rPr>
          <w:lang w:val="es-ES_tradnl"/>
        </w:rPr>
        <w:noBreakHyphen/>
        <w:t>3/11 y MC</w:t>
      </w:r>
      <w:r w:rsidRPr="00447994">
        <w:rPr>
          <w:lang w:val="es-ES_tradnl"/>
        </w:rPr>
        <w:noBreakHyphen/>
        <w:t>4/9, adoptadas por la Conferencia de las Partes en el Convenio de Minamata en sus reuniones 3ª y 4ª, sobre el aumento de la cooperación entre la Secretaría del Convenio de Minamata y la Secretaría de los Convenios de Basilea, Estocolmo y Rotterdam,</w:t>
      </w:r>
    </w:p>
    <w:p w14:paraId="0BA7A336" w14:textId="77777777" w:rsidR="00116D45" w:rsidRPr="00447994" w:rsidRDefault="00116D45">
      <w:pPr>
        <w:numPr>
          <w:ilvl w:val="0"/>
          <w:numId w:val="1"/>
        </w:numPr>
        <w:tabs>
          <w:tab w:val="left" w:pos="624"/>
        </w:tabs>
        <w:spacing w:after="120"/>
        <w:ind w:left="1247" w:firstLine="624"/>
        <w:rPr>
          <w:i/>
          <w:lang w:val="es-ES_tradnl"/>
        </w:rPr>
      </w:pPr>
      <w:r w:rsidRPr="00447994">
        <w:rPr>
          <w:i/>
          <w:iCs/>
          <w:lang w:val="es-ES_tradnl"/>
        </w:rPr>
        <w:t>Toma nota</w:t>
      </w:r>
      <w:r w:rsidRPr="00447994">
        <w:rPr>
          <w:lang w:val="es-ES_tradnl"/>
        </w:rPr>
        <w:t xml:space="preserve"> del contenido de la propuesta de parte dispositiva de la </w:t>
      </w:r>
      <w:proofErr w:type="gramStart"/>
      <w:r w:rsidRPr="00447994">
        <w:rPr>
          <w:lang w:val="es-ES_tradnl"/>
        </w:rPr>
        <w:t>Directora Ejecutiva</w:t>
      </w:r>
      <w:proofErr w:type="gramEnd"/>
      <w:r w:rsidRPr="00447994">
        <w:rPr>
          <w:lang w:val="es-ES_tradnl"/>
        </w:rPr>
        <w:t xml:space="preserve"> y de las diversas opciones que en ella se presentan;</w:t>
      </w:r>
    </w:p>
    <w:p w14:paraId="392CFF06" w14:textId="77777777" w:rsidR="00116D45" w:rsidRPr="00447994" w:rsidRDefault="00116D45">
      <w:pPr>
        <w:numPr>
          <w:ilvl w:val="0"/>
          <w:numId w:val="1"/>
        </w:numPr>
        <w:tabs>
          <w:tab w:val="left" w:pos="624"/>
        </w:tabs>
        <w:spacing w:after="120"/>
        <w:ind w:left="1247" w:firstLine="624"/>
        <w:rPr>
          <w:lang w:val="es-ES_tradnl"/>
        </w:rPr>
      </w:pPr>
      <w:r w:rsidRPr="00447994">
        <w:rPr>
          <w:i/>
          <w:iCs/>
          <w:lang w:val="es-ES_tradnl"/>
        </w:rPr>
        <w:t xml:space="preserve">Toma nota </w:t>
      </w:r>
      <w:r w:rsidRPr="00447994">
        <w:rPr>
          <w:lang w:val="es-ES_tradnl"/>
        </w:rPr>
        <w:t>del informe de la Secretaría sobre la cooperación y la coordinación internacionales para el período comprendido entre el 1 de enero de 2019 y el 31 de diciembre de 2020, en el que se ofrece información sobre sus actividades de cooperación con la Secretaría del Convenio de Minamata</w:t>
      </w:r>
      <w:r w:rsidRPr="00447994">
        <w:rPr>
          <w:vertAlign w:val="superscript"/>
          <w:lang w:val="es-ES_tradnl"/>
        </w:rPr>
        <w:footnoteReference w:id="2"/>
      </w:r>
      <w:r w:rsidRPr="00447994">
        <w:rPr>
          <w:lang w:val="es-ES_tradnl"/>
        </w:rPr>
        <w:t>, del informe conjunto sobre la cooperación y la coordinación entre las Secretarías del Convenio de Minamata y los Convenios de Basilea, Estocolmo y Rotterdam</w:t>
      </w:r>
      <w:r w:rsidRPr="00447994">
        <w:rPr>
          <w:vertAlign w:val="superscript"/>
          <w:lang w:val="es-ES_tradnl"/>
        </w:rPr>
        <w:footnoteReference w:id="3"/>
      </w:r>
      <w:r w:rsidRPr="00447994">
        <w:rPr>
          <w:lang w:val="es-ES_tradnl"/>
        </w:rPr>
        <w:t xml:space="preserve"> y del informe del equipo de tareas conjunto de las dos Secretarías y la Subdivisión de Productos Químicos y Salud del Programa de las Naciones Unidas para el Medio Ambiente</w:t>
      </w:r>
      <w:r w:rsidRPr="00447994">
        <w:rPr>
          <w:rStyle w:val="FootnoteReference"/>
          <w:lang w:val="es-ES_tradnl"/>
        </w:rPr>
        <w:footnoteReference w:id="4"/>
      </w:r>
      <w:r w:rsidRPr="00447994">
        <w:rPr>
          <w:lang w:val="es-ES_tradnl"/>
        </w:rPr>
        <w:t xml:space="preserve">; </w:t>
      </w:r>
    </w:p>
    <w:p w14:paraId="0E4049B2" w14:textId="77777777" w:rsidR="00116D45" w:rsidRPr="00447994" w:rsidRDefault="00116D45">
      <w:pPr>
        <w:numPr>
          <w:ilvl w:val="0"/>
          <w:numId w:val="1"/>
        </w:numPr>
        <w:tabs>
          <w:tab w:val="left" w:pos="624"/>
        </w:tabs>
        <w:spacing w:after="120"/>
        <w:ind w:left="1247" w:firstLine="624"/>
        <w:rPr>
          <w:lang w:val="es-ES_tradnl"/>
        </w:rPr>
      </w:pPr>
      <w:r w:rsidRPr="00447994">
        <w:rPr>
          <w:i/>
          <w:iCs/>
          <w:lang w:val="es-ES_tradnl"/>
        </w:rPr>
        <w:t>Afirma</w:t>
      </w:r>
      <w:r w:rsidRPr="00447994">
        <w:rPr>
          <w:lang w:val="es-ES_tradnl"/>
        </w:rPr>
        <w:t xml:space="preserve"> la importancia de la cooperación ininterrumpida en materia de sinergias programáticas, del aprovechamiento del equipo de tareas conjunto de las dos Secretarías y la Subdivisión de Productos Químicos y Salud del Programa de las Naciones Unidas para el Medio Ambiente, y de la posibilidad de que la Secretaría de los Convenios de Basilea, Estocolmo y Rotterdam preste apoyo de secretaría al Convenio de Minamata en régimen de recuperación de gastos, de conformidad con el programa de trabajo y presupuesto de los Convenios para cada bienio; </w:t>
      </w:r>
      <w:bookmarkStart w:id="0" w:name="_Hlk38284587"/>
      <w:bookmarkEnd w:id="0"/>
    </w:p>
    <w:p w14:paraId="5357F433" w14:textId="77777777" w:rsidR="00116D45" w:rsidRPr="00447994" w:rsidRDefault="00116D45">
      <w:pPr>
        <w:numPr>
          <w:ilvl w:val="0"/>
          <w:numId w:val="1"/>
        </w:numPr>
        <w:tabs>
          <w:tab w:val="left" w:pos="1843"/>
        </w:tabs>
        <w:spacing w:after="120"/>
        <w:ind w:left="1247" w:firstLine="624"/>
        <w:rPr>
          <w:bCs/>
          <w:lang w:val="es-ES_tradnl"/>
        </w:rPr>
      </w:pPr>
      <w:r w:rsidRPr="00447994">
        <w:rPr>
          <w:i/>
          <w:iCs/>
          <w:lang w:val="es-ES_tradnl"/>
        </w:rPr>
        <w:t xml:space="preserve">Acoge con beneplácito </w:t>
      </w:r>
      <w:r w:rsidRPr="00447994">
        <w:rPr>
          <w:lang w:val="es-ES_tradnl"/>
        </w:rPr>
        <w:t>la creación de grupos de trabajo intersecretariales para tratar aspectos específicos de los servicios pertinentes, como recomienda el Programa de las Naciones Unidas para el Medio Ambiente;</w:t>
      </w:r>
    </w:p>
    <w:p w14:paraId="70402DC1" w14:textId="77777777" w:rsidR="00116D45" w:rsidRPr="00447994" w:rsidRDefault="00116D45">
      <w:pPr>
        <w:numPr>
          <w:ilvl w:val="0"/>
          <w:numId w:val="1"/>
        </w:numPr>
        <w:tabs>
          <w:tab w:val="left" w:pos="624"/>
        </w:tabs>
        <w:spacing w:after="120"/>
        <w:ind w:left="1247" w:firstLine="624"/>
        <w:rPr>
          <w:lang w:val="es-ES_tradnl"/>
        </w:rPr>
      </w:pPr>
      <w:r w:rsidRPr="00447994">
        <w:rPr>
          <w:i/>
          <w:iCs/>
          <w:lang w:val="es-ES_tradnl"/>
        </w:rPr>
        <w:t>Solicita</w:t>
      </w:r>
      <w:r w:rsidRPr="00447994">
        <w:rPr>
          <w:lang w:val="es-ES_tradnl"/>
        </w:rPr>
        <w:t xml:space="preserve"> a la Directora Ejecutiva del Programa de las Naciones Unidas para el Medio Ambiente que en el desempeño de las funciones de secretaría de los Convenios de Basilea, Estocolmo y Rotterdam, y teniendo presente la autonomía jurídica de las Secretarías respectivas, ayude a la Secretaría de los Convenios de Basilea, Estocolmo y Rotterdam a intensificar la cooperación con la Secretaría del Convenio de Minamata, en especial mediante el uso periódico del equipo de tareas conjunto de las dos Secretarías y la Subdivisión de Productos Químicos y Salud del Programa de las Naciones Unidas para el Medio Ambiente en cuanto marco estable para la cooperación y el intercambio de los servicios de secretaría pertinentes, de conformidad con las </w:t>
      </w:r>
      <w:r w:rsidRPr="00447994">
        <w:rPr>
          <w:lang w:val="es-ES_tradnl"/>
        </w:rPr>
        <w:lastRenderedPageBreak/>
        <w:t>decisiones BC</w:t>
      </w:r>
      <w:r w:rsidRPr="00447994">
        <w:rPr>
          <w:lang w:val="es-ES_tradnl"/>
        </w:rPr>
        <w:noBreakHyphen/>
        <w:t>14/22, SC</w:t>
      </w:r>
      <w:r w:rsidRPr="00447994">
        <w:rPr>
          <w:lang w:val="es-ES_tradnl"/>
        </w:rPr>
        <w:noBreakHyphen/>
        <w:t>9/20 y RC</w:t>
      </w:r>
      <w:r w:rsidRPr="00447994">
        <w:rPr>
          <w:lang w:val="es-ES_tradnl"/>
        </w:rPr>
        <w:noBreakHyphen/>
        <w:t>9/10 de los Convenios de Basilea, Estocolmo y Rotterdam, respectivamente;</w:t>
      </w:r>
    </w:p>
    <w:p w14:paraId="69282E29" w14:textId="77777777" w:rsidR="00116D45" w:rsidRPr="00447994" w:rsidRDefault="00116D45">
      <w:pPr>
        <w:numPr>
          <w:ilvl w:val="0"/>
          <w:numId w:val="1"/>
        </w:numPr>
        <w:tabs>
          <w:tab w:val="left" w:pos="624"/>
        </w:tabs>
        <w:spacing w:after="120"/>
        <w:ind w:left="1247" w:firstLine="624"/>
        <w:rPr>
          <w:lang w:val="es-ES_tradnl"/>
        </w:rPr>
      </w:pPr>
      <w:r w:rsidRPr="00447994">
        <w:rPr>
          <w:i/>
          <w:iCs/>
          <w:lang w:val="es-ES_tradnl"/>
        </w:rPr>
        <w:t>Solicita</w:t>
      </w:r>
      <w:r w:rsidRPr="00447994">
        <w:rPr>
          <w:lang w:val="es-ES_tradnl"/>
        </w:rPr>
        <w:t xml:space="preserve"> a la </w:t>
      </w:r>
      <w:proofErr w:type="gramStart"/>
      <w:r w:rsidRPr="00447994">
        <w:rPr>
          <w:lang w:val="es-ES_tradnl"/>
        </w:rPr>
        <w:t>Secretaria Ejecutiva</w:t>
      </w:r>
      <w:proofErr w:type="gramEnd"/>
      <w:r w:rsidRPr="00447994">
        <w:rPr>
          <w:lang w:val="es-ES_tradnl"/>
        </w:rPr>
        <w:t xml:space="preserve"> que:</w:t>
      </w:r>
    </w:p>
    <w:p w14:paraId="457FCE36" w14:textId="77777777" w:rsidR="00116D45" w:rsidRPr="00447994" w:rsidRDefault="00116D45" w:rsidP="00116D45">
      <w:pPr>
        <w:spacing w:after="120"/>
        <w:ind w:left="1247" w:firstLine="624"/>
        <w:rPr>
          <w:lang w:val="es-ES_tradnl"/>
        </w:rPr>
      </w:pPr>
      <w:r w:rsidRPr="00447994">
        <w:rPr>
          <w:lang w:val="es-ES_tradnl"/>
        </w:rPr>
        <w:t>a)</w:t>
      </w:r>
      <w:r w:rsidRPr="00447994">
        <w:rPr>
          <w:lang w:val="es-ES_tradnl"/>
        </w:rPr>
        <w:tab/>
        <w:t>Siga colaborando con la Secretaría del Convenio de Minamata, bajo la orientación general del equipo de tareas y los grupos de trabajo intersecretariales, según proceda, en lo que respecta a las cuestiones administrativas, programáticas, técnicas y de asistencia técnica pertinentes, de conformidad con el programa de trabajo y presupuesto, y busque la forma de seguir estrechando la colaboración y la cooperación con los Convenios de Basilea, Estocolmo y Rotterdam;</w:t>
      </w:r>
    </w:p>
    <w:p w14:paraId="5316B5FF" w14:textId="77777777" w:rsidR="00116D45" w:rsidRPr="00447994" w:rsidRDefault="00116D45" w:rsidP="00116D45">
      <w:pPr>
        <w:spacing w:after="120"/>
        <w:ind w:left="1247" w:firstLine="624"/>
        <w:rPr>
          <w:lang w:val="es-ES_tradnl"/>
        </w:rPr>
      </w:pPr>
      <w:r w:rsidRPr="00447994">
        <w:rPr>
          <w:lang w:val="es-ES_tradnl"/>
        </w:rPr>
        <w:t>b)</w:t>
      </w:r>
      <w:r w:rsidRPr="00447994">
        <w:rPr>
          <w:lang w:val="es-ES_tradnl"/>
        </w:rPr>
        <w:tab/>
        <w:t>Siga compartiendo servicios y adquiriendo los servicios pertinentes con la Secretaría del Convenio de Minamata en régimen de recuperación de gastos, según proceda y de conformidad con el programa de trabajo y presupuesto de cada bienio;</w:t>
      </w:r>
    </w:p>
    <w:p w14:paraId="2950E34F" w14:textId="77777777" w:rsidR="00116D45" w:rsidRPr="00447994" w:rsidRDefault="00116D45" w:rsidP="00116D45">
      <w:pPr>
        <w:keepNext/>
        <w:keepLines/>
        <w:spacing w:after="120"/>
        <w:ind w:left="1247" w:firstLine="624"/>
        <w:rPr>
          <w:lang w:val="es-ES_tradnl"/>
        </w:rPr>
      </w:pPr>
      <w:r w:rsidRPr="00447994">
        <w:rPr>
          <w:lang w:val="es-ES_tradnl"/>
        </w:rPr>
        <w:t>c)</w:t>
      </w:r>
      <w:r w:rsidRPr="00447994">
        <w:rPr>
          <w:lang w:val="es-ES_tradnl"/>
        </w:rPr>
        <w:tab/>
        <w:t>Rinda informe sobre la aplicación de la presente decisión, en especial sobre un marco estable de cooperación e intercambio de servicios, y presente una reseña de las actividades de cooperación previstas en ese marco para el bienio 2024</w:t>
      </w:r>
      <w:r w:rsidRPr="00447994">
        <w:rPr>
          <w:lang w:val="es-ES_tradnl"/>
        </w:rPr>
        <w:noBreakHyphen/>
        <w:t xml:space="preserve">2025 a fin de que la Conferencia de las Partes lo examine y, si es necesario, imparta más orientación al respecto en su 16ª reunión. </w:t>
      </w:r>
    </w:p>
    <w:p w14:paraId="5E5F9B2A" w14:textId="66B24C68" w:rsidR="00F935A6" w:rsidRPr="00AD56CA" w:rsidRDefault="00F935A6" w:rsidP="00116D45">
      <w:pPr>
        <w:rPr>
          <w:lang w:val="es-ES_tradnl"/>
        </w:rPr>
      </w:pPr>
    </w:p>
    <w:sectPr w:rsidR="00F935A6" w:rsidRPr="00AD56C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3D455E" w14:textId="77777777" w:rsidR="00A06CCB" w:rsidRDefault="00A06CCB" w:rsidP="00162093">
      <w:r>
        <w:separator/>
      </w:r>
    </w:p>
  </w:endnote>
  <w:endnote w:type="continuationSeparator" w:id="0">
    <w:p w14:paraId="747387BC" w14:textId="77777777" w:rsidR="00A06CCB" w:rsidRDefault="00A06CCB" w:rsidP="00162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268AA" w14:textId="77777777" w:rsidR="00A06CCB" w:rsidRDefault="00A06CCB" w:rsidP="00162093">
      <w:r>
        <w:separator/>
      </w:r>
    </w:p>
  </w:footnote>
  <w:footnote w:type="continuationSeparator" w:id="0">
    <w:p w14:paraId="3F1810BA" w14:textId="77777777" w:rsidR="00A06CCB" w:rsidRDefault="00A06CCB" w:rsidP="00162093">
      <w:r>
        <w:continuationSeparator/>
      </w:r>
    </w:p>
  </w:footnote>
  <w:footnote w:id="1">
    <w:p w14:paraId="226C89A5" w14:textId="77777777" w:rsidR="00116D45" w:rsidRPr="00122920" w:rsidRDefault="00116D45" w:rsidP="00116D45">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UNEP/MC/COP.3/16.</w:t>
      </w:r>
    </w:p>
  </w:footnote>
  <w:footnote w:id="2">
    <w:p w14:paraId="38E9333E" w14:textId="77777777" w:rsidR="00116D45" w:rsidRPr="00122920" w:rsidRDefault="00116D45" w:rsidP="00116D45">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UNEP/CHW.15/INF/41-UNEP/FAO/RC/COP.10/INF/24-UNEP/POPS/COP.10/INF/45.</w:t>
      </w:r>
    </w:p>
  </w:footnote>
  <w:footnote w:id="3">
    <w:p w14:paraId="655FA31E" w14:textId="77777777" w:rsidR="00116D45" w:rsidRPr="00122920" w:rsidRDefault="00116D45" w:rsidP="00116D45">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UNEP/CHW.15/INF/40-UNEP/FAO/RC/COP.10/INF/23-UNEP/POPS/COP.10/INF/44.</w:t>
      </w:r>
    </w:p>
  </w:footnote>
  <w:footnote w:id="4">
    <w:p w14:paraId="2101AEAF" w14:textId="77777777" w:rsidR="00116D45" w:rsidRPr="00122920" w:rsidRDefault="00116D45" w:rsidP="00116D45">
      <w:pPr>
        <w:pStyle w:val="Normal-pool"/>
        <w:spacing w:before="20" w:after="40"/>
        <w:ind w:left="1247"/>
        <w:rPr>
          <w:sz w:val="18"/>
          <w:szCs w:val="18"/>
          <w:lang w:val="es-ES_tradnl"/>
        </w:rPr>
      </w:pPr>
      <w:r w:rsidRPr="00122920">
        <w:rPr>
          <w:rStyle w:val="FootnoteReference"/>
          <w:sz w:val="18"/>
          <w:lang w:val="es-ES_tradnl"/>
        </w:rPr>
        <w:footnoteRef/>
      </w:r>
      <w:r w:rsidRPr="00122920">
        <w:rPr>
          <w:sz w:val="18"/>
          <w:szCs w:val="18"/>
          <w:lang w:val="es-ES_tradnl"/>
        </w:rPr>
        <w:t xml:space="preserve"> UNEP/CHW.15/INF/67-UNEP/FAO/RC/COP.10/INF/46-UNEP/POPS/COP.10/INF/43.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FF7BCD"/>
    <w:multiLevelType w:val="hybridMultilevel"/>
    <w:tmpl w:val="25BE336C"/>
    <w:lvl w:ilvl="0" w:tplc="41140BC2">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021743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2093"/>
    <w:rsid w:val="000113D8"/>
    <w:rsid w:val="000728FB"/>
    <w:rsid w:val="00116D45"/>
    <w:rsid w:val="00162093"/>
    <w:rsid w:val="002403A2"/>
    <w:rsid w:val="00245BBD"/>
    <w:rsid w:val="002F78B7"/>
    <w:rsid w:val="003C0CF7"/>
    <w:rsid w:val="003E56FA"/>
    <w:rsid w:val="0067579D"/>
    <w:rsid w:val="006F0658"/>
    <w:rsid w:val="007B69C9"/>
    <w:rsid w:val="00806D82"/>
    <w:rsid w:val="00836B73"/>
    <w:rsid w:val="00A06CCB"/>
    <w:rsid w:val="00A077D7"/>
    <w:rsid w:val="00A20275"/>
    <w:rsid w:val="00A83FA0"/>
    <w:rsid w:val="00AD56CA"/>
    <w:rsid w:val="00B437F7"/>
    <w:rsid w:val="00B909A9"/>
    <w:rsid w:val="00C803C5"/>
    <w:rsid w:val="00C84536"/>
    <w:rsid w:val="00D07464"/>
    <w:rsid w:val="00E066A0"/>
    <w:rsid w:val="00E13BF6"/>
    <w:rsid w:val="00F86494"/>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62A50"/>
  <w15:chartTrackingRefBased/>
  <w15:docId w15:val="{5CFD338D-51B9-427C-BABF-37F7EB912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C0CF7"/>
    <w:pPr>
      <w:spacing w:after="0" w:line="240" w:lineRule="auto"/>
    </w:pPr>
    <w:rPr>
      <w:rFonts w:ascii="Times New Roman" w:eastAsiaTheme="minorHAnsi" w:hAnsi="Times New Roman" w:cs="Times New Roman"/>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next w:val="CH2"/>
    <w:qFormat/>
    <w:rsid w:val="00162093"/>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8"/>
      <w:szCs w:val="28"/>
      <w:lang w:val="en-GB" w:eastAsia="en-US"/>
    </w:rPr>
  </w:style>
  <w:style w:type="paragraph" w:customStyle="1" w:styleId="CH2">
    <w:name w:val="CH2"/>
    <w:next w:val="Normal"/>
    <w:link w:val="CH2Char"/>
    <w:qFormat/>
    <w:rsid w:val="00162093"/>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4"/>
      <w:szCs w:val="24"/>
      <w:lang w:eastAsia="en-US"/>
    </w:rPr>
  </w:style>
  <w:style w:type="character" w:styleId="Hyperlink">
    <w:name w:val="Hyperlink"/>
    <w:uiPriority w:val="99"/>
    <w:unhideWhenUsed/>
    <w:rsid w:val="00162093"/>
    <w:rPr>
      <w:rFonts w:ascii="Times New Roman" w:hAnsi="Times New Roman"/>
      <w:color w:val="auto"/>
      <w:sz w:val="20"/>
      <w:szCs w:val="20"/>
      <w:u w:val="none"/>
      <w:lang w:val="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162093"/>
    <w:rPr>
      <w:szCs w:val="18"/>
      <w:vertAlign w:val="superscript"/>
    </w:rPr>
  </w:style>
  <w:style w:type="paragraph" w:customStyle="1" w:styleId="Normal-pool">
    <w:name w:val="Normal-pool"/>
    <w:link w:val="Normal-poolChar"/>
    <w:qFormat/>
    <w:rsid w:val="00162093"/>
    <w:pPr>
      <w:tabs>
        <w:tab w:val="left" w:pos="624"/>
        <w:tab w:val="left" w:pos="1247"/>
        <w:tab w:val="left" w:pos="1814"/>
      </w:tabs>
      <w:spacing w:after="0" w:line="240" w:lineRule="auto"/>
    </w:pPr>
    <w:rPr>
      <w:rFonts w:ascii="Times New Roman" w:eastAsiaTheme="minorHAnsi" w:hAnsi="Times New Roman" w:cs="Times New Roman"/>
      <w:sz w:val="20"/>
      <w:szCs w:val="20"/>
      <w:lang w:eastAsia="en-US"/>
    </w:rPr>
  </w:style>
  <w:style w:type="character" w:customStyle="1" w:styleId="Normal-poolChar">
    <w:name w:val="Normal-pool Char"/>
    <w:link w:val="Normal-pool"/>
    <w:locked/>
    <w:rsid w:val="00162093"/>
    <w:rPr>
      <w:rFonts w:ascii="Times New Roman" w:eastAsiaTheme="minorHAnsi" w:hAnsi="Times New Roman" w:cs="Times New Roman"/>
      <w:sz w:val="20"/>
      <w:szCs w:val="20"/>
      <w:lang w:eastAsia="en-US"/>
    </w:rPr>
  </w:style>
  <w:style w:type="character" w:customStyle="1" w:styleId="CH2Char">
    <w:name w:val="CH2 Char"/>
    <w:link w:val="CH2"/>
    <w:rsid w:val="00162093"/>
    <w:rPr>
      <w:rFonts w:ascii="Times New Roman" w:eastAsiaTheme="minorHAnsi" w:hAnsi="Times New Roman" w:cs="Times New Roman"/>
      <w:b/>
      <w:sz w:val="24"/>
      <w:szCs w:val="24"/>
      <w:lang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162093"/>
    <w:pPr>
      <w:spacing w:before="120" w:line="240" w:lineRule="exact"/>
    </w:pPr>
    <w:rPr>
      <w:szCs w:val="18"/>
      <w:vertAlign w:val="superscript"/>
    </w:rPr>
  </w:style>
  <w:style w:type="paragraph" w:customStyle="1" w:styleId="NormalNonumber">
    <w:name w:val="Normal_No_number"/>
    <w:basedOn w:val="Normal-pool"/>
    <w:qFormat/>
    <w:rsid w:val="00A83FA0"/>
    <w:pPr>
      <w:spacing w:after="120"/>
      <w:ind w:left="1247"/>
    </w:pPr>
  </w:style>
  <w:style w:type="paragraph" w:customStyle="1" w:styleId="CH4">
    <w:name w:val="CH4"/>
    <w:next w:val="Normal"/>
    <w:rsid w:val="00E13BF6"/>
    <w:pPr>
      <w:keepNext/>
      <w:keepLines/>
      <w:tabs>
        <w:tab w:val="right" w:pos="851"/>
        <w:tab w:val="left" w:pos="1247"/>
      </w:tabs>
      <w:suppressAutoHyphens/>
      <w:spacing w:before="120" w:after="120" w:line="240" w:lineRule="auto"/>
      <w:ind w:left="1247" w:right="284" w:hanging="1247"/>
    </w:pPr>
    <w:rPr>
      <w:rFonts w:ascii="Times New Roman" w:eastAsiaTheme="minorHAnsi" w:hAnsi="Times New Roman" w:cs="Times New Roman"/>
      <w:b/>
      <w:sz w:val="20"/>
      <w:szCs w:val="20"/>
      <w:lang w:eastAsia="en-US"/>
    </w:rPr>
  </w:style>
  <w:style w:type="character" w:customStyle="1" w:styleId="footnote">
    <w:name w:val="footnote"/>
    <w:aliases w:val="reference,16,Point,Superscript,61,reference1,68"/>
    <w:semiHidden/>
    <w:rsid w:val="00E13BF6"/>
    <w:rPr>
      <w:rFonts w:ascii="Times New Roman" w:hAnsi="Times New Roman" w:cs="Times New Roman" w:hint="default"/>
      <w:color w:val="auto"/>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687</Words>
  <Characters>3916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2023-05-22T13:33:00Z</dcterms:created>
  <dcterms:modified xsi:type="dcterms:W3CDTF">2023-05-22T13:33:00Z</dcterms:modified>
</cp:coreProperties>
</file>