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FF7FF3" w14:textId="77777777" w:rsidR="00F37625" w:rsidRPr="00F21D6B" w:rsidRDefault="00F37625" w:rsidP="00F37625">
      <w:pPr>
        <w:spacing w:line="240" w:lineRule="auto"/>
        <w:rPr>
          <w:rFonts w:ascii="SimHei" w:eastAsia="SimHei"/>
          <w:b/>
          <w:sz w:val="24"/>
          <w:szCs w:val="24"/>
        </w:rPr>
      </w:pPr>
      <w:r w:rsidRPr="002A632F">
        <w:rPr>
          <w:rFonts w:eastAsia="SimSun"/>
          <w:sz w:val="24"/>
          <w:szCs w:val="24"/>
          <w:lang w:val="zh-CN"/>
        </w:rPr>
        <w:tab/>
      </w:r>
      <w:r w:rsidRPr="00F21D6B">
        <w:rPr>
          <w:rFonts w:eastAsia="SimSun"/>
          <w:b/>
          <w:sz w:val="24"/>
          <w:szCs w:val="24"/>
          <w:lang w:val="zh-CN"/>
        </w:rPr>
        <w:tab/>
      </w:r>
      <w:r w:rsidRPr="00F21D6B">
        <w:rPr>
          <w:rFonts w:eastAsia="SimSun"/>
          <w:b/>
          <w:sz w:val="32"/>
          <w:szCs w:val="32"/>
          <w:lang w:val="zh-CN"/>
        </w:rPr>
        <w:t>BC-15/25</w:t>
      </w:r>
      <w:r w:rsidRPr="00F21D6B">
        <w:rPr>
          <w:rFonts w:eastAsia="SimSun"/>
          <w:b/>
          <w:sz w:val="32"/>
          <w:szCs w:val="32"/>
          <w:lang w:val="zh-CN"/>
        </w:rPr>
        <w:t>：</w:t>
      </w:r>
      <w:r w:rsidRPr="00F21D6B">
        <w:rPr>
          <w:rFonts w:ascii="SimHei" w:eastAsia="SimHei" w:hint="eastAsia"/>
          <w:b/>
          <w:sz w:val="32"/>
          <w:szCs w:val="32"/>
          <w:lang w:val="zh-CN"/>
        </w:rPr>
        <w:t>与其他组织的国际合作和协调</w:t>
      </w:r>
    </w:p>
    <w:p w14:paraId="6ADC6637" w14:textId="77777777" w:rsidR="00F37625" w:rsidRPr="00B6535B" w:rsidRDefault="00F37625" w:rsidP="00F37625">
      <w:pPr>
        <w:pStyle w:val="Normal-pool"/>
        <w:spacing w:after="120"/>
        <w:ind w:left="1247" w:firstLine="624"/>
        <w:jc w:val="both"/>
        <w:rPr>
          <w:rFonts w:ascii="KaiTi" w:eastAsia="KaiTi" w:hAnsi="KaiTi"/>
          <w:i/>
          <w:sz w:val="24"/>
          <w:szCs w:val="24"/>
        </w:rPr>
      </w:pPr>
      <w:proofErr w:type="spellStart"/>
      <w:r w:rsidRPr="00B6535B">
        <w:rPr>
          <w:rFonts w:ascii="KaiTi" w:eastAsia="KaiTi" w:hAnsi="KaiTi"/>
          <w:sz w:val="24"/>
          <w:szCs w:val="24"/>
          <w:lang w:val="zh-CN"/>
        </w:rPr>
        <w:t>缔约方大会</w:t>
      </w:r>
      <w:proofErr w:type="spellEnd"/>
    </w:p>
    <w:p w14:paraId="244A3D20" w14:textId="77777777" w:rsidR="00F37625" w:rsidRPr="002A632F" w:rsidRDefault="00F37625" w:rsidP="00F37625">
      <w:pPr>
        <w:pStyle w:val="Normal-pool"/>
        <w:numPr>
          <w:ilvl w:val="0"/>
          <w:numId w:val="19"/>
        </w:numPr>
        <w:tabs>
          <w:tab w:val="clear" w:pos="1247"/>
          <w:tab w:val="clear" w:pos="1814"/>
        </w:tabs>
        <w:spacing w:after="120"/>
        <w:ind w:left="1247" w:firstLine="624"/>
        <w:jc w:val="both"/>
        <w:rPr>
          <w:rFonts w:eastAsia="SimSun"/>
          <w:sz w:val="24"/>
          <w:szCs w:val="24"/>
          <w:lang w:eastAsia="zh-CN"/>
        </w:rPr>
      </w:pPr>
      <w:r w:rsidRPr="00B6535B">
        <w:rPr>
          <w:rFonts w:ascii="KaiTi" w:eastAsia="KaiTi" w:hAnsi="KaiTi"/>
          <w:sz w:val="24"/>
          <w:szCs w:val="24"/>
          <w:lang w:val="zh-CN" w:eastAsia="zh-CN"/>
        </w:rPr>
        <w:t>表示注意到</w:t>
      </w:r>
      <w:r w:rsidRPr="002A632F">
        <w:rPr>
          <w:rFonts w:eastAsia="SimSun"/>
          <w:sz w:val="24"/>
          <w:szCs w:val="24"/>
          <w:lang w:val="zh-CN" w:eastAsia="zh-CN"/>
        </w:rPr>
        <w:t>控制危险废物越境转移及其处置巴塞尔公约缔约方大会第十四次会议关于塑料废物、包括海洋塑料垃圾和微塑料的决定，</w:t>
      </w:r>
      <w:r w:rsidRPr="00381AD7">
        <w:rPr>
          <w:rFonts w:eastAsia="SimSun"/>
          <w:sz w:val="24"/>
          <w:szCs w:val="24"/>
          <w:vertAlign w:val="superscript"/>
          <w:lang w:val="zh-CN"/>
        </w:rPr>
        <w:footnoteReference w:id="1"/>
      </w:r>
      <w:r w:rsidRPr="00381AD7">
        <w:rPr>
          <w:rFonts w:eastAsia="SimSun"/>
          <w:sz w:val="24"/>
          <w:szCs w:val="24"/>
          <w:vertAlign w:val="superscript"/>
          <w:lang w:val="zh-CN" w:eastAsia="zh-CN"/>
        </w:rPr>
        <w:t xml:space="preserve">, </w:t>
      </w:r>
      <w:r w:rsidRPr="00381AD7">
        <w:rPr>
          <w:rFonts w:eastAsia="SimSun"/>
          <w:sz w:val="24"/>
          <w:szCs w:val="24"/>
          <w:vertAlign w:val="superscript"/>
          <w:lang w:val="zh-CN"/>
        </w:rPr>
        <w:footnoteReference w:id="2"/>
      </w:r>
      <w:r w:rsidRPr="002A632F">
        <w:rPr>
          <w:rFonts w:eastAsia="SimSun"/>
          <w:sz w:val="24"/>
          <w:szCs w:val="24"/>
          <w:lang w:val="zh-CN" w:eastAsia="zh-CN"/>
        </w:rPr>
        <w:t xml:space="preserve"> </w:t>
      </w:r>
      <w:r w:rsidRPr="002A632F">
        <w:rPr>
          <w:rFonts w:eastAsia="SimSun"/>
          <w:sz w:val="24"/>
          <w:szCs w:val="24"/>
          <w:lang w:val="zh-CN" w:eastAsia="zh-CN"/>
        </w:rPr>
        <w:t>秘书处关于</w:t>
      </w:r>
      <w:r w:rsidRPr="002A632F">
        <w:rPr>
          <w:rFonts w:eastAsia="SimSun"/>
          <w:sz w:val="24"/>
          <w:szCs w:val="24"/>
          <w:lang w:val="zh-CN" w:eastAsia="zh-CN"/>
        </w:rPr>
        <w:t>2019</w:t>
      </w:r>
      <w:r w:rsidRPr="002A632F">
        <w:rPr>
          <w:rFonts w:eastAsia="SimSun"/>
          <w:sz w:val="24"/>
          <w:szCs w:val="24"/>
          <w:lang w:val="zh-CN" w:eastAsia="zh-CN"/>
        </w:rPr>
        <w:t>年</w:t>
      </w:r>
      <w:r w:rsidRPr="002A632F">
        <w:rPr>
          <w:rFonts w:eastAsia="SimSun"/>
          <w:sz w:val="24"/>
          <w:szCs w:val="24"/>
          <w:lang w:val="zh-CN" w:eastAsia="zh-CN"/>
        </w:rPr>
        <w:t>1</w:t>
      </w:r>
      <w:r w:rsidRPr="002A632F">
        <w:rPr>
          <w:rFonts w:eastAsia="SimSun"/>
          <w:sz w:val="24"/>
          <w:szCs w:val="24"/>
          <w:lang w:val="zh-CN" w:eastAsia="zh-CN"/>
        </w:rPr>
        <w:t>月</w:t>
      </w:r>
      <w:r w:rsidRPr="002A632F">
        <w:rPr>
          <w:rFonts w:eastAsia="SimSun"/>
          <w:sz w:val="24"/>
          <w:szCs w:val="24"/>
          <w:lang w:val="zh-CN" w:eastAsia="zh-CN"/>
        </w:rPr>
        <w:t>1</w:t>
      </w:r>
      <w:r w:rsidRPr="002A632F">
        <w:rPr>
          <w:rFonts w:eastAsia="SimSun"/>
          <w:sz w:val="24"/>
          <w:szCs w:val="24"/>
          <w:lang w:val="zh-CN" w:eastAsia="zh-CN"/>
        </w:rPr>
        <w:t>日至</w:t>
      </w:r>
      <w:r w:rsidRPr="002A632F">
        <w:rPr>
          <w:rFonts w:eastAsia="SimSun"/>
          <w:sz w:val="24"/>
          <w:szCs w:val="24"/>
          <w:lang w:val="zh-CN" w:eastAsia="zh-CN"/>
        </w:rPr>
        <w:t>2021</w:t>
      </w:r>
      <w:r w:rsidRPr="002A632F">
        <w:rPr>
          <w:rFonts w:eastAsia="SimSun"/>
          <w:sz w:val="24"/>
          <w:szCs w:val="24"/>
          <w:lang w:val="zh-CN" w:eastAsia="zh-CN"/>
        </w:rPr>
        <w:t>年</w:t>
      </w:r>
      <w:r w:rsidRPr="002A632F">
        <w:rPr>
          <w:rFonts w:eastAsia="SimSun"/>
          <w:sz w:val="24"/>
          <w:szCs w:val="24"/>
          <w:lang w:val="zh-CN" w:eastAsia="zh-CN"/>
        </w:rPr>
        <w:t>12</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日期间的国际合作和协调的报告、</w:t>
      </w:r>
      <w:r w:rsidRPr="002A632F">
        <w:rPr>
          <w:rFonts w:eastAsia="SimSun"/>
          <w:sz w:val="24"/>
          <w:szCs w:val="24"/>
          <w:lang w:val="zh-CN" w:eastAsia="zh-CN"/>
        </w:rPr>
        <w:t xml:space="preserve"> </w:t>
      </w:r>
      <w:r w:rsidRPr="002A632F">
        <w:rPr>
          <w:rFonts w:eastAsia="SimSun"/>
          <w:sz w:val="24"/>
          <w:szCs w:val="24"/>
          <w:vertAlign w:val="superscript"/>
          <w:lang w:val="zh-CN"/>
        </w:rPr>
        <w:footnoteReference w:id="3"/>
      </w:r>
      <w:r w:rsidRPr="002A632F">
        <w:rPr>
          <w:rFonts w:eastAsia="SimSun"/>
          <w:sz w:val="24"/>
          <w:szCs w:val="24"/>
          <w:lang w:val="zh-CN" w:eastAsia="zh-CN"/>
        </w:rPr>
        <w:t xml:space="preserve"> </w:t>
      </w:r>
      <w:r w:rsidRPr="002A632F">
        <w:rPr>
          <w:rFonts w:eastAsia="SimSun"/>
          <w:sz w:val="24"/>
          <w:szCs w:val="24"/>
          <w:lang w:val="zh-CN" w:eastAsia="zh-CN"/>
        </w:rPr>
        <w:t>国际化学品管理战略方针秘书处提供的关于审议战略方针和</w:t>
      </w:r>
      <w:r w:rsidRPr="002A632F">
        <w:rPr>
          <w:rFonts w:eastAsia="SimSun"/>
          <w:sz w:val="24"/>
          <w:szCs w:val="24"/>
          <w:lang w:val="zh-CN" w:eastAsia="zh-CN"/>
        </w:rPr>
        <w:t>2020</w:t>
      </w:r>
      <w:r w:rsidRPr="002A632F">
        <w:rPr>
          <w:rFonts w:eastAsia="SimSun"/>
          <w:sz w:val="24"/>
          <w:szCs w:val="24"/>
          <w:lang w:val="zh-CN" w:eastAsia="zh-CN"/>
        </w:rPr>
        <w:t>年后化学品和废物健全管理问题闭会期间工作的最新情况、</w:t>
      </w:r>
      <w:r w:rsidRPr="002A632F">
        <w:rPr>
          <w:rFonts w:eastAsia="SimSun"/>
          <w:sz w:val="24"/>
          <w:szCs w:val="24"/>
          <w:lang w:val="zh-CN" w:eastAsia="zh-CN"/>
        </w:rPr>
        <w:t xml:space="preserve"> </w:t>
      </w:r>
      <w:r w:rsidRPr="002A632F">
        <w:rPr>
          <w:rFonts w:eastAsia="SimSun"/>
          <w:sz w:val="24"/>
          <w:szCs w:val="24"/>
          <w:vertAlign w:val="superscript"/>
          <w:lang w:val="zh-CN"/>
        </w:rPr>
        <w:footnoteReference w:id="4"/>
      </w:r>
      <w:r w:rsidRPr="002A632F">
        <w:rPr>
          <w:rFonts w:eastAsia="SimSun"/>
          <w:sz w:val="24"/>
          <w:szCs w:val="24"/>
          <w:lang w:val="zh-CN" w:eastAsia="zh-CN"/>
        </w:rPr>
        <w:t xml:space="preserve"> </w:t>
      </w:r>
      <w:r w:rsidRPr="002A632F">
        <w:rPr>
          <w:rFonts w:eastAsia="SimSun"/>
          <w:sz w:val="24"/>
          <w:szCs w:val="24"/>
          <w:lang w:val="zh-CN" w:eastAsia="zh-CN"/>
        </w:rPr>
        <w:t>以及联合国环境规划署就与《巴塞尔公约》、《关于在国际贸易中对某些危险化学品和农药采用事先知情同意程序的鹿特丹公约》和《关于持久性有机污染物的斯德哥尔摩公约》有关的方案事项开展的活动的信息；</w:t>
      </w:r>
      <w:r w:rsidRPr="002A632F">
        <w:rPr>
          <w:rFonts w:eastAsia="SimSun"/>
          <w:sz w:val="24"/>
          <w:szCs w:val="24"/>
          <w:vertAlign w:val="superscript"/>
          <w:lang w:val="zh-CN"/>
        </w:rPr>
        <w:footnoteReference w:id="5"/>
      </w:r>
    </w:p>
    <w:p w14:paraId="4F17B2E4"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欢迎</w:t>
      </w:r>
      <w:r w:rsidRPr="002A632F">
        <w:rPr>
          <w:rFonts w:eastAsia="SimSun"/>
          <w:sz w:val="24"/>
          <w:szCs w:val="24"/>
          <w:lang w:val="zh-CN" w:eastAsia="zh-CN"/>
        </w:rPr>
        <w:t>联合国环境规划署联合国环境大会第五届会议通过的相关决议，</w:t>
      </w:r>
      <w:r w:rsidRPr="00C2603F">
        <w:rPr>
          <w:rFonts w:eastAsia="SimSun"/>
          <w:spacing w:val="-12"/>
          <w:sz w:val="24"/>
          <w:szCs w:val="24"/>
          <w:lang w:val="zh-CN" w:eastAsia="zh-CN"/>
        </w:rPr>
        <w:t>包括题为</w:t>
      </w:r>
      <w:r w:rsidRPr="00C2603F">
        <w:rPr>
          <w:rFonts w:ascii="SimSun" w:eastAsia="SimSun" w:hAnsi="SimSun"/>
          <w:spacing w:val="-12"/>
          <w:sz w:val="24"/>
          <w:szCs w:val="24"/>
          <w:lang w:val="zh-CN" w:eastAsia="zh-CN"/>
        </w:rPr>
        <w:t>“结束塑料污染：制定具有法律约束力的国际文书”的</w:t>
      </w:r>
      <w:r w:rsidRPr="00C2603F">
        <w:rPr>
          <w:rFonts w:eastAsia="SimSun"/>
          <w:sz w:val="24"/>
          <w:szCs w:val="24"/>
          <w:lang w:val="zh-CN" w:eastAsia="zh-CN"/>
        </w:rPr>
        <w:t>第</w:t>
      </w:r>
      <w:r w:rsidRPr="00C2603F">
        <w:rPr>
          <w:rFonts w:eastAsia="SimSun"/>
          <w:sz w:val="24"/>
          <w:szCs w:val="24"/>
          <w:lang w:val="zh-CN" w:eastAsia="zh-CN"/>
        </w:rPr>
        <w:t>5/14</w:t>
      </w:r>
      <w:r w:rsidRPr="00C2603F">
        <w:rPr>
          <w:rFonts w:eastAsia="SimSun"/>
          <w:spacing w:val="-12"/>
          <w:sz w:val="24"/>
          <w:szCs w:val="24"/>
          <w:lang w:val="zh-CN" w:eastAsia="zh-CN"/>
        </w:rPr>
        <w:t>号决议、</w:t>
      </w:r>
      <w:r w:rsidRPr="00C2603F">
        <w:rPr>
          <w:rFonts w:eastAsia="SimSun"/>
          <w:spacing w:val="-12"/>
          <w:sz w:val="24"/>
          <w:szCs w:val="24"/>
          <w:vertAlign w:val="superscript"/>
          <w:lang w:val="zh-CN"/>
        </w:rPr>
        <w:footnoteReference w:id="6"/>
      </w:r>
      <w:r w:rsidRPr="002A632F">
        <w:rPr>
          <w:rFonts w:eastAsia="SimSun"/>
          <w:sz w:val="24"/>
          <w:szCs w:val="24"/>
          <w:lang w:val="zh-CN" w:eastAsia="zh-CN"/>
        </w:rPr>
        <w:t xml:space="preserve"> </w:t>
      </w:r>
      <w:r w:rsidRPr="002A632F">
        <w:rPr>
          <w:rFonts w:eastAsia="SimSun"/>
          <w:sz w:val="24"/>
          <w:szCs w:val="24"/>
          <w:lang w:val="zh-CN" w:eastAsia="zh-CN"/>
        </w:rPr>
        <w:t>关于化学品和废物健全管理的第</w:t>
      </w:r>
      <w:r w:rsidRPr="002A632F">
        <w:rPr>
          <w:rFonts w:eastAsia="SimSun"/>
          <w:sz w:val="24"/>
          <w:szCs w:val="24"/>
          <w:lang w:val="zh-CN" w:eastAsia="zh-CN"/>
        </w:rPr>
        <w:t>5/7</w:t>
      </w:r>
      <w:r w:rsidRPr="002A632F">
        <w:rPr>
          <w:rFonts w:eastAsia="SimSun"/>
          <w:sz w:val="24"/>
          <w:szCs w:val="24"/>
          <w:lang w:val="zh-CN" w:eastAsia="zh-CN"/>
        </w:rPr>
        <w:t>号决议，</w:t>
      </w:r>
      <w:r w:rsidRPr="002A632F">
        <w:rPr>
          <w:rFonts w:eastAsia="SimSun"/>
          <w:sz w:val="24"/>
          <w:szCs w:val="24"/>
          <w:lang w:val="zh-CN" w:eastAsia="zh-CN"/>
        </w:rPr>
        <w:t xml:space="preserve"> </w:t>
      </w:r>
      <w:r w:rsidRPr="002A632F">
        <w:rPr>
          <w:rFonts w:eastAsia="SimSun"/>
          <w:sz w:val="24"/>
          <w:szCs w:val="24"/>
          <w:lang w:val="zh-CN" w:eastAsia="zh-CN"/>
        </w:rPr>
        <w:t>以及关于进一步促进化学品和废物健全管理并防止污染的科学与政策委员会的第</w:t>
      </w:r>
      <w:r w:rsidRPr="002A632F">
        <w:rPr>
          <w:rFonts w:eastAsia="SimSun"/>
          <w:sz w:val="24"/>
          <w:szCs w:val="24"/>
          <w:lang w:val="zh-CN" w:eastAsia="zh-CN"/>
        </w:rPr>
        <w:t>5/8</w:t>
      </w:r>
      <w:r w:rsidRPr="002A632F">
        <w:rPr>
          <w:rFonts w:eastAsia="SimSun"/>
          <w:sz w:val="24"/>
          <w:szCs w:val="24"/>
          <w:lang w:val="zh-CN" w:eastAsia="zh-CN"/>
        </w:rPr>
        <w:t>号决议，</w:t>
      </w:r>
      <w:r w:rsidRPr="002A632F">
        <w:rPr>
          <w:rFonts w:eastAsia="SimSun"/>
          <w:sz w:val="24"/>
          <w:szCs w:val="24"/>
          <w:lang w:val="zh-CN" w:eastAsia="zh-CN"/>
        </w:rPr>
        <w:t xml:space="preserve"> </w:t>
      </w:r>
      <w:r w:rsidRPr="002A632F">
        <w:rPr>
          <w:rFonts w:eastAsia="SimSun"/>
          <w:sz w:val="24"/>
          <w:szCs w:val="24"/>
          <w:vertAlign w:val="superscript"/>
          <w:lang w:val="zh-CN"/>
        </w:rPr>
        <w:footnoteReference w:id="7"/>
      </w:r>
      <w:r w:rsidRPr="002A632F">
        <w:rPr>
          <w:rFonts w:eastAsia="SimSun"/>
          <w:sz w:val="24"/>
          <w:szCs w:val="24"/>
          <w:lang w:val="zh-CN" w:eastAsia="zh-CN"/>
        </w:rPr>
        <w:t xml:space="preserve"> </w:t>
      </w:r>
      <w:r w:rsidRPr="002A632F">
        <w:rPr>
          <w:rFonts w:eastAsia="SimSun"/>
          <w:sz w:val="24"/>
          <w:szCs w:val="24"/>
          <w:lang w:val="zh-CN" w:eastAsia="zh-CN"/>
        </w:rPr>
        <w:t>并注意到秘书处内以及巴塞尔公约、</w:t>
      </w:r>
      <w:r w:rsidRPr="002A632F">
        <w:rPr>
          <w:rFonts w:eastAsia="SimSun"/>
          <w:sz w:val="24"/>
          <w:szCs w:val="24"/>
          <w:lang w:val="zh-CN" w:eastAsia="zh-CN"/>
        </w:rPr>
        <w:t xml:space="preserve"> </w:t>
      </w:r>
      <w:r w:rsidRPr="002A632F">
        <w:rPr>
          <w:rFonts w:eastAsia="SimSun"/>
          <w:sz w:val="24"/>
          <w:szCs w:val="24"/>
          <w:lang w:val="zh-CN" w:eastAsia="zh-CN"/>
        </w:rPr>
        <w:t>鹿特丹公约和斯德哥尔摩公约缔约方的缔约方中具备与这些问题相关的大量专门知识；</w:t>
      </w:r>
      <w:r w:rsidRPr="002A632F">
        <w:rPr>
          <w:rFonts w:eastAsia="SimSun"/>
          <w:sz w:val="24"/>
          <w:szCs w:val="24"/>
          <w:vertAlign w:val="superscript"/>
          <w:lang w:val="zh-CN"/>
        </w:rPr>
        <w:footnoteReference w:id="8"/>
      </w:r>
    </w:p>
    <w:p w14:paraId="5B36AC7E"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又欢迎</w:t>
      </w:r>
      <w:r w:rsidRPr="002A632F">
        <w:rPr>
          <w:rFonts w:eastAsia="SimSun"/>
          <w:sz w:val="24"/>
          <w:szCs w:val="24"/>
          <w:lang w:val="zh-CN" w:eastAsia="zh-CN"/>
        </w:rPr>
        <w:t>联合国环境大会纪念联合国环境规划署成立五十周年特别会议政治宣言；</w:t>
      </w:r>
      <w:r w:rsidRPr="002A632F">
        <w:rPr>
          <w:rFonts w:eastAsia="SimSun"/>
          <w:sz w:val="24"/>
          <w:szCs w:val="24"/>
          <w:vertAlign w:val="superscript"/>
          <w:lang w:val="zh-CN"/>
        </w:rPr>
        <w:footnoteReference w:id="9"/>
      </w:r>
    </w:p>
    <w:p w14:paraId="5B844B8B"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执行秘书参加环境大会第</w:t>
      </w:r>
      <w:r w:rsidRPr="002A632F">
        <w:rPr>
          <w:rFonts w:eastAsia="SimSun"/>
          <w:sz w:val="24"/>
          <w:szCs w:val="24"/>
          <w:lang w:val="zh-CN" w:eastAsia="zh-CN"/>
        </w:rPr>
        <w:t>5/14</w:t>
      </w:r>
      <w:r w:rsidRPr="002A632F">
        <w:rPr>
          <w:rFonts w:eastAsia="SimSun"/>
          <w:sz w:val="24"/>
          <w:szCs w:val="24"/>
          <w:lang w:val="zh-CN" w:eastAsia="zh-CN"/>
        </w:rPr>
        <w:t>号决议第</w:t>
      </w:r>
      <w:r w:rsidRPr="002A632F">
        <w:rPr>
          <w:rFonts w:eastAsia="SimSun"/>
          <w:sz w:val="24"/>
          <w:szCs w:val="24"/>
          <w:lang w:val="zh-CN" w:eastAsia="zh-CN"/>
        </w:rPr>
        <w:t>1</w:t>
      </w:r>
      <w:r w:rsidRPr="002A632F">
        <w:rPr>
          <w:rFonts w:eastAsia="SimSun"/>
          <w:sz w:val="24"/>
          <w:szCs w:val="24"/>
          <w:lang w:val="zh-CN" w:eastAsia="zh-CN"/>
        </w:rPr>
        <w:t>段中提到的政府间谈判委员会本身，并在政府间谈判委员会的任务背景下与联合国环境规划署执行主任密切合作和协调；邀请参加政府间谈判委员会的缔约</w:t>
      </w:r>
      <w:proofErr w:type="gramStart"/>
      <w:r w:rsidRPr="002A632F">
        <w:rPr>
          <w:rFonts w:eastAsia="SimSun"/>
          <w:sz w:val="24"/>
          <w:szCs w:val="24"/>
          <w:lang w:val="zh-CN" w:eastAsia="zh-CN"/>
        </w:rPr>
        <w:t>方确保</w:t>
      </w:r>
      <w:proofErr w:type="gramEnd"/>
      <w:r w:rsidRPr="002A632F">
        <w:rPr>
          <w:rFonts w:eastAsia="SimSun"/>
          <w:sz w:val="24"/>
          <w:szCs w:val="24"/>
          <w:lang w:val="zh-CN" w:eastAsia="zh-CN"/>
        </w:rPr>
        <w:t>具有法律约束力的国际文书与《巴塞尔公约》、《鹿特丹公约》和《斯德哥尔摩公约》完全一致并互为补充，避免与这些公约相关条款中规定的行动发生重复，促进与这些公约的合作与协调，并确保秘书处和缔约方的专门知识以及在执行这些公约过程中积累的经验得到充分分享，以协助政府间谈判委员会的审议工作；</w:t>
      </w:r>
      <w:bookmarkStart w:id="0" w:name="_Hlk98012012"/>
      <w:bookmarkEnd w:id="0"/>
    </w:p>
    <w:p w14:paraId="7D52F14E"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鼓励</w:t>
      </w:r>
      <w:r w:rsidRPr="002A632F">
        <w:rPr>
          <w:rFonts w:eastAsia="SimSun"/>
          <w:sz w:val="24"/>
          <w:szCs w:val="24"/>
          <w:lang w:val="zh-CN" w:eastAsia="zh-CN"/>
        </w:rPr>
        <w:t>巴塞尔公约和斯德哥尔摩公约区域中心参与政府间谈判委员会的工作并分享其专门知识；</w:t>
      </w:r>
    </w:p>
    <w:p w14:paraId="7200270F" w14:textId="77777777" w:rsidR="00F37625" w:rsidRPr="002A632F" w:rsidRDefault="00F37625" w:rsidP="00F37625">
      <w:pPr>
        <w:pStyle w:val="Normal-pool"/>
        <w:numPr>
          <w:ilvl w:val="0"/>
          <w:numId w:val="19"/>
        </w:numPr>
        <w:spacing w:after="120"/>
        <w:ind w:left="1247" w:firstLine="624"/>
        <w:jc w:val="both"/>
        <w:rPr>
          <w:rFonts w:eastAsia="SimSun"/>
          <w:b/>
          <w:strike/>
          <w:sz w:val="24"/>
          <w:szCs w:val="24"/>
          <w:lang w:eastAsia="zh-CN"/>
        </w:rPr>
      </w:pPr>
      <w:r w:rsidRPr="00B6535B">
        <w:rPr>
          <w:rFonts w:ascii="KaiTi" w:eastAsia="KaiTi" w:hAnsi="KaiTi"/>
          <w:sz w:val="24"/>
          <w:szCs w:val="24"/>
          <w:lang w:val="zh-CN" w:eastAsia="zh-CN"/>
        </w:rPr>
        <w:lastRenderedPageBreak/>
        <w:t>请</w:t>
      </w:r>
      <w:r w:rsidRPr="002A632F">
        <w:rPr>
          <w:rFonts w:eastAsia="SimSun"/>
          <w:sz w:val="24"/>
          <w:szCs w:val="24"/>
          <w:lang w:val="zh-CN" w:eastAsia="zh-CN"/>
        </w:rPr>
        <w:t>执行秘书参加环境大会第</w:t>
      </w:r>
      <w:r w:rsidRPr="002A632F">
        <w:rPr>
          <w:rFonts w:eastAsia="SimSun"/>
          <w:sz w:val="24"/>
          <w:szCs w:val="24"/>
          <w:lang w:val="zh-CN" w:eastAsia="zh-CN"/>
        </w:rPr>
        <w:t>5/8</w:t>
      </w:r>
      <w:r w:rsidRPr="002A632F">
        <w:rPr>
          <w:rFonts w:eastAsia="SimSun"/>
          <w:sz w:val="24"/>
          <w:szCs w:val="24"/>
          <w:lang w:val="zh-CN" w:eastAsia="zh-CN"/>
        </w:rPr>
        <w:t>号决议第</w:t>
      </w:r>
      <w:r w:rsidRPr="002A632F">
        <w:rPr>
          <w:rFonts w:eastAsia="SimSun"/>
          <w:sz w:val="24"/>
          <w:szCs w:val="24"/>
          <w:lang w:val="zh-CN" w:eastAsia="zh-CN"/>
        </w:rPr>
        <w:t>4</w:t>
      </w:r>
      <w:r w:rsidRPr="002A632F">
        <w:rPr>
          <w:rFonts w:eastAsia="SimSun"/>
          <w:sz w:val="24"/>
          <w:szCs w:val="24"/>
          <w:lang w:val="zh-CN" w:eastAsia="zh-CN"/>
        </w:rPr>
        <w:t>段提及的不限成员名额特设工作组，协助为该决议第</w:t>
      </w:r>
      <w:r w:rsidRPr="002A632F">
        <w:rPr>
          <w:rFonts w:eastAsia="SimSun"/>
          <w:sz w:val="24"/>
          <w:szCs w:val="24"/>
          <w:lang w:val="zh-CN" w:eastAsia="zh-CN"/>
        </w:rPr>
        <w:t>1</w:t>
      </w:r>
      <w:r w:rsidRPr="002A632F">
        <w:rPr>
          <w:rFonts w:eastAsia="SimSun"/>
          <w:sz w:val="24"/>
          <w:szCs w:val="24"/>
          <w:lang w:val="zh-CN" w:eastAsia="zh-CN"/>
        </w:rPr>
        <w:t>段提及的科学与政策委员会编写提案，并在科学与政策委员会的任务背景下与联合国环境规划署执行主任密切合作；邀请参加不限成员名额特设工作组的缔约</w:t>
      </w:r>
      <w:proofErr w:type="gramStart"/>
      <w:r w:rsidRPr="002A632F">
        <w:rPr>
          <w:rFonts w:eastAsia="SimSun"/>
          <w:sz w:val="24"/>
          <w:szCs w:val="24"/>
          <w:lang w:val="zh-CN" w:eastAsia="zh-CN"/>
        </w:rPr>
        <w:t>方促进</w:t>
      </w:r>
      <w:proofErr w:type="gramEnd"/>
      <w:r w:rsidRPr="002A632F">
        <w:rPr>
          <w:rFonts w:eastAsia="SimSun"/>
          <w:sz w:val="24"/>
          <w:szCs w:val="24"/>
          <w:lang w:val="zh-CN" w:eastAsia="zh-CN"/>
        </w:rPr>
        <w:t>协调与合作；推动委员会将开展的工作补充而不是重复三项公约的工作；推动该小组酌情与各公约下的科学政策机构密切合作；</w:t>
      </w:r>
      <w:r w:rsidRPr="002A632F">
        <w:rPr>
          <w:rFonts w:eastAsia="SimSun"/>
          <w:sz w:val="24"/>
          <w:szCs w:val="24"/>
          <w:vertAlign w:val="superscript"/>
          <w:lang w:val="zh-CN"/>
        </w:rPr>
        <w:footnoteReference w:id="10"/>
      </w:r>
      <w:r w:rsidRPr="002A632F">
        <w:rPr>
          <w:rFonts w:eastAsia="SimSun"/>
          <w:sz w:val="24"/>
          <w:szCs w:val="24"/>
          <w:lang w:val="zh-CN" w:eastAsia="zh-CN"/>
        </w:rPr>
        <w:t xml:space="preserve"> </w:t>
      </w:r>
      <w:r w:rsidRPr="002A632F">
        <w:rPr>
          <w:rFonts w:eastAsia="SimSun"/>
          <w:sz w:val="24"/>
          <w:szCs w:val="24"/>
          <w:lang w:val="zh-CN" w:eastAsia="zh-CN"/>
        </w:rPr>
        <w:t>推动向不限成员名额特设工作组提供在科学基础上促进化学品和废物健全管理的广泛经验；</w:t>
      </w:r>
    </w:p>
    <w:p w14:paraId="0AE74FAE"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注意到</w:t>
      </w:r>
      <w:r w:rsidRPr="002A632F">
        <w:rPr>
          <w:rFonts w:eastAsia="SimSun"/>
          <w:sz w:val="24"/>
          <w:szCs w:val="24"/>
          <w:lang w:val="zh-CN" w:eastAsia="zh-CN"/>
        </w:rPr>
        <w:t>联合国环境大会在关于化学品和废物健全管理的第</w:t>
      </w:r>
      <w:r w:rsidRPr="002A632F">
        <w:rPr>
          <w:rFonts w:eastAsia="SimSun"/>
          <w:sz w:val="24"/>
          <w:szCs w:val="24"/>
          <w:lang w:val="zh-CN" w:eastAsia="zh-CN"/>
        </w:rPr>
        <w:t>5/7</w:t>
      </w:r>
      <w:r w:rsidRPr="002A632F">
        <w:rPr>
          <w:rFonts w:eastAsia="SimSun"/>
          <w:sz w:val="24"/>
          <w:szCs w:val="24"/>
          <w:lang w:val="zh-CN" w:eastAsia="zh-CN"/>
        </w:rPr>
        <w:t>号决议第</w:t>
      </w:r>
      <w:r w:rsidRPr="002A632F">
        <w:rPr>
          <w:rFonts w:eastAsia="SimSun"/>
          <w:sz w:val="24"/>
          <w:szCs w:val="24"/>
          <w:lang w:val="zh-CN" w:eastAsia="zh-CN"/>
        </w:rPr>
        <w:t>3</w:t>
      </w:r>
      <w:r w:rsidRPr="002A632F">
        <w:rPr>
          <w:rFonts w:eastAsia="SimSun"/>
          <w:sz w:val="24"/>
          <w:szCs w:val="24"/>
          <w:lang w:val="zh-CN" w:eastAsia="zh-CN"/>
        </w:rPr>
        <w:t>段中邀请巴塞尔公约缔约方大会进一步审议发展中国家报告的危险废物和其他废物的非法越境转移日益增多的问题，并提请注意缔约方大会以往和本次会议通过的相关决定；</w:t>
      </w:r>
      <w:r w:rsidRPr="002A632F">
        <w:rPr>
          <w:rFonts w:eastAsia="SimSun"/>
          <w:sz w:val="24"/>
          <w:szCs w:val="24"/>
          <w:vertAlign w:val="superscript"/>
          <w:lang w:val="zh-CN"/>
        </w:rPr>
        <w:footnoteReference w:id="11"/>
      </w:r>
      <w:r w:rsidRPr="00095F85">
        <w:rPr>
          <w:rFonts w:eastAsia="SimSun"/>
          <w:sz w:val="24"/>
          <w:szCs w:val="24"/>
          <w:vertAlign w:val="superscript"/>
          <w:lang w:val="zh-CN" w:eastAsia="zh-CN"/>
        </w:rPr>
        <w:t>,</w:t>
      </w:r>
      <w:r w:rsidRPr="002A632F">
        <w:rPr>
          <w:rFonts w:eastAsia="SimSun"/>
          <w:sz w:val="24"/>
          <w:szCs w:val="24"/>
          <w:vertAlign w:val="superscript"/>
          <w:lang w:val="zh-CN"/>
        </w:rPr>
        <w:footnoteReference w:id="12"/>
      </w:r>
    </w:p>
    <w:p w14:paraId="66E888F8"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执行秘书与联合国环境规划署执行主任合作，促进执行与《巴塞尔公约》、《鹿特丹公约》和《斯德哥尔摩公约》有关的环境大会决议；</w:t>
      </w:r>
    </w:p>
    <w:p w14:paraId="01DB8C3B"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回顾</w:t>
      </w:r>
      <w:r w:rsidRPr="002A632F">
        <w:rPr>
          <w:rFonts w:eastAsia="SimSun"/>
          <w:sz w:val="24"/>
          <w:szCs w:val="24"/>
          <w:lang w:val="zh-CN" w:eastAsia="zh-CN"/>
        </w:rPr>
        <w:t>2019</w:t>
      </w:r>
      <w:r w:rsidRPr="002A632F">
        <w:rPr>
          <w:rFonts w:eastAsia="SimSun"/>
          <w:sz w:val="24"/>
          <w:szCs w:val="24"/>
          <w:lang w:val="zh-CN" w:eastAsia="zh-CN"/>
        </w:rPr>
        <w:t>年《巴塞尔公约》、《关于在国际贸易中对某些危险化学品和农药采用事先知情同意程序的鹿特丹公约》和《关于持久性有机污染物的斯德哥尔摩公约》的各自缔约方大会与联合国环境规划署执行主任以及（对《鹿特丹公约》而言）与联合国粮食及农业组织总干事之间的谅解备忘录有关方案合作的规定；</w:t>
      </w:r>
    </w:p>
    <w:p w14:paraId="5E9F69C1"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欢迎</w:t>
      </w:r>
      <w:r w:rsidRPr="002A632F">
        <w:rPr>
          <w:rFonts w:eastAsia="SimSun"/>
          <w:sz w:val="24"/>
          <w:szCs w:val="24"/>
          <w:lang w:val="zh-CN" w:eastAsia="zh-CN"/>
        </w:rPr>
        <w:t>秘书处、联合国环境规划署和联合国粮食及农业组织就共同关心的方案事项开展方案合作；</w:t>
      </w:r>
    </w:p>
    <w:p w14:paraId="24A90568"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秘书处在资源允许的情况下继续这一方案合作工作；</w:t>
      </w:r>
    </w:p>
    <w:p w14:paraId="03412DAB"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注意到</w:t>
      </w:r>
      <w:r w:rsidRPr="002A632F">
        <w:rPr>
          <w:rFonts w:eastAsia="SimSun"/>
          <w:sz w:val="24"/>
          <w:szCs w:val="24"/>
          <w:lang w:val="zh-CN" w:eastAsia="zh-CN"/>
        </w:rPr>
        <w:t>在电子废物联盟的成立和运作方面取得的进展；</w:t>
      </w:r>
    </w:p>
    <w:p w14:paraId="7681A626"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关切地注意到</w:t>
      </w:r>
      <w:r w:rsidRPr="002A632F">
        <w:rPr>
          <w:rFonts w:eastAsia="SimSun"/>
          <w:sz w:val="24"/>
          <w:szCs w:val="24"/>
          <w:lang w:val="zh-CN" w:eastAsia="zh-CN"/>
        </w:rPr>
        <w:t>巴塞尔公约、鹿特丹公约和斯德哥尔摩公约尚未成为组织间健全管理化学品方案的参与组织；</w:t>
      </w:r>
    </w:p>
    <w:p w14:paraId="66D00660" w14:textId="77777777" w:rsidR="00F37625" w:rsidRPr="002A632F" w:rsidRDefault="00F37625" w:rsidP="00F37625">
      <w:pPr>
        <w:pStyle w:val="Normal-pool"/>
        <w:numPr>
          <w:ilvl w:val="0"/>
          <w:numId w:val="19"/>
        </w:numPr>
        <w:spacing w:after="120"/>
        <w:ind w:left="1247" w:firstLine="624"/>
        <w:jc w:val="both"/>
        <w:rPr>
          <w:rFonts w:eastAsia="SimSun"/>
          <w:bCs/>
          <w:color w:val="000000"/>
          <w:sz w:val="24"/>
          <w:szCs w:val="24"/>
          <w:lang w:eastAsia="zh-CN"/>
        </w:rPr>
      </w:pPr>
      <w:r w:rsidRPr="00B6535B">
        <w:rPr>
          <w:rFonts w:ascii="KaiTi" w:eastAsia="KaiTi" w:hAnsi="KaiTi"/>
          <w:sz w:val="24"/>
          <w:szCs w:val="24"/>
          <w:lang w:val="zh-CN" w:eastAsia="zh-CN"/>
        </w:rPr>
        <w:t>敦促</w:t>
      </w:r>
      <w:r w:rsidRPr="002A632F">
        <w:rPr>
          <w:rFonts w:eastAsia="SimSun"/>
          <w:sz w:val="24"/>
          <w:szCs w:val="24"/>
          <w:lang w:val="zh-CN" w:eastAsia="zh-CN"/>
        </w:rPr>
        <w:t>联合国粮食及农业组织回应组织间健全管理化学品方案的请求作，以便能够完成审议巴塞尔公约、鹿特丹公约和斯德哥尔摩公约成员资格的进程；</w:t>
      </w:r>
    </w:p>
    <w:p w14:paraId="55918A7C"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欢迎</w:t>
      </w:r>
      <w:r w:rsidRPr="002A632F">
        <w:rPr>
          <w:rFonts w:eastAsia="SimSun"/>
          <w:sz w:val="24"/>
          <w:szCs w:val="24"/>
          <w:lang w:val="zh-CN" w:eastAsia="zh-CN"/>
        </w:rPr>
        <w:t>联合国环境规划</w:t>
      </w:r>
      <w:proofErr w:type="gramStart"/>
      <w:r w:rsidRPr="002A632F">
        <w:rPr>
          <w:rFonts w:eastAsia="SimSun"/>
          <w:sz w:val="24"/>
          <w:szCs w:val="24"/>
          <w:lang w:val="zh-CN" w:eastAsia="zh-CN"/>
        </w:rPr>
        <w:t>署支持</w:t>
      </w:r>
      <w:proofErr w:type="gramEnd"/>
      <w:r w:rsidRPr="002A632F">
        <w:rPr>
          <w:rFonts w:eastAsia="SimSun"/>
          <w:sz w:val="24"/>
          <w:szCs w:val="24"/>
          <w:lang w:val="zh-CN" w:eastAsia="zh-CN"/>
        </w:rPr>
        <w:t>各项公约充分参与组织间健全管理化学品方案；</w:t>
      </w:r>
    </w:p>
    <w:p w14:paraId="4B7A8951"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lastRenderedPageBreak/>
        <w:t>邀请</w:t>
      </w:r>
      <w:r w:rsidRPr="002A632F">
        <w:rPr>
          <w:rFonts w:eastAsia="SimSun"/>
          <w:sz w:val="24"/>
          <w:szCs w:val="24"/>
          <w:lang w:val="zh-CN" w:eastAsia="zh-CN"/>
        </w:rPr>
        <w:t>组织间健全管理化学品方案组织间协调委员会回应关于尽快纳入巴塞尔公约、鹿特丹公约和斯德哥尔摩公约，使其成为参与组织的请求；</w:t>
      </w:r>
    </w:p>
    <w:p w14:paraId="36F2D333"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执行秘书继续采取必要步骤，加入和参与组织间健全管理化学品方案；</w:t>
      </w:r>
    </w:p>
    <w:p w14:paraId="1C9D1F26"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bookmarkStart w:id="1" w:name="_Hlk61529728"/>
      <w:r w:rsidRPr="00B6535B">
        <w:rPr>
          <w:rFonts w:ascii="KaiTi" w:eastAsia="KaiTi" w:hAnsi="KaiTi"/>
          <w:sz w:val="24"/>
          <w:szCs w:val="24"/>
          <w:lang w:val="zh-CN" w:eastAsia="zh-CN"/>
        </w:rPr>
        <w:t>重申</w:t>
      </w:r>
      <w:r w:rsidRPr="002A632F">
        <w:rPr>
          <w:rFonts w:eastAsia="SimSun"/>
          <w:sz w:val="24"/>
          <w:szCs w:val="24"/>
          <w:lang w:val="zh-CN" w:eastAsia="zh-CN"/>
        </w:rPr>
        <w:t>BC-14/21</w:t>
      </w:r>
      <w:r w:rsidRPr="002A632F">
        <w:rPr>
          <w:rFonts w:eastAsia="SimSun"/>
          <w:sz w:val="24"/>
          <w:szCs w:val="24"/>
          <w:lang w:val="zh-CN" w:eastAsia="zh-CN"/>
        </w:rPr>
        <w:t>、</w:t>
      </w:r>
      <w:r w:rsidRPr="002A632F">
        <w:rPr>
          <w:rFonts w:eastAsia="SimSun"/>
          <w:sz w:val="24"/>
          <w:szCs w:val="24"/>
          <w:lang w:val="zh-CN" w:eastAsia="zh-CN"/>
        </w:rPr>
        <w:t>RC-9/9</w:t>
      </w:r>
      <w:r w:rsidRPr="002A632F">
        <w:rPr>
          <w:rFonts w:eastAsia="SimSun"/>
          <w:sz w:val="24"/>
          <w:szCs w:val="24"/>
          <w:lang w:val="zh-CN" w:eastAsia="zh-CN"/>
        </w:rPr>
        <w:t>和</w:t>
      </w:r>
      <w:r w:rsidRPr="002A632F">
        <w:rPr>
          <w:rFonts w:eastAsia="SimSun"/>
          <w:sz w:val="24"/>
          <w:szCs w:val="24"/>
          <w:lang w:val="zh-CN" w:eastAsia="zh-CN"/>
        </w:rPr>
        <w:t>SC-9/19</w:t>
      </w:r>
      <w:r w:rsidRPr="002A632F">
        <w:rPr>
          <w:rFonts w:eastAsia="SimSun"/>
          <w:sz w:val="24"/>
          <w:szCs w:val="24"/>
          <w:lang w:val="zh-CN" w:eastAsia="zh-CN"/>
        </w:rPr>
        <w:t>号决定第</w:t>
      </w:r>
      <w:r w:rsidRPr="002A632F">
        <w:rPr>
          <w:rFonts w:eastAsia="SimSun"/>
          <w:sz w:val="24"/>
          <w:szCs w:val="24"/>
          <w:lang w:val="zh-CN" w:eastAsia="zh-CN"/>
        </w:rPr>
        <w:t>6 (a)–(c)</w:t>
      </w:r>
      <w:r w:rsidRPr="002A632F">
        <w:rPr>
          <w:rFonts w:eastAsia="SimSun"/>
          <w:sz w:val="24"/>
          <w:szCs w:val="24"/>
          <w:lang w:val="zh-CN" w:eastAsia="zh-CN"/>
        </w:rPr>
        <w:t>段对秘书处的要求，即继续与有关组织合作，为涉及各项公约的可持续发展目标指标制定方法；</w:t>
      </w:r>
      <w:bookmarkStart w:id="2" w:name="_Hlk64542984"/>
    </w:p>
    <w:p w14:paraId="52C0C38E"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秘书处并邀请相关监管机构</w:t>
      </w:r>
      <w:r w:rsidRPr="002A632F">
        <w:rPr>
          <w:rFonts w:eastAsia="SimSun"/>
          <w:sz w:val="24"/>
          <w:szCs w:val="24"/>
          <w:vertAlign w:val="superscript"/>
          <w:lang w:val="zh-CN"/>
        </w:rPr>
        <w:footnoteReference w:id="13"/>
      </w:r>
      <w:r w:rsidRPr="002A632F">
        <w:rPr>
          <w:rFonts w:eastAsia="SimSun"/>
          <w:sz w:val="24"/>
          <w:szCs w:val="24"/>
          <w:lang w:val="zh-CN" w:eastAsia="zh-CN"/>
        </w:rPr>
        <w:t>加强合作，确保《巴塞尔公约》的报告制度与可持续发展目标的报告制度之间保有适当联系，包括术语的共性，以便能共享数据；</w:t>
      </w:r>
      <w:bookmarkEnd w:id="2"/>
    </w:p>
    <w:p w14:paraId="481AF4C1"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确认</w:t>
      </w:r>
      <w:r w:rsidRPr="002A632F">
        <w:rPr>
          <w:rFonts w:eastAsia="SimSun"/>
          <w:sz w:val="24"/>
          <w:szCs w:val="24"/>
          <w:lang w:val="zh-CN" w:eastAsia="zh-CN"/>
        </w:rPr>
        <w:t>人类健康与环境之间的内在联系，以及世界卫生组织在健康事项方面的协调作用，并注意到世界卫生组织在其化学品路线图及其健康、环境和气候变化全球战略的背景下继续开展活动的重要性；</w:t>
      </w:r>
    </w:p>
    <w:bookmarkEnd w:id="1"/>
    <w:p w14:paraId="4D2C659B" w14:textId="77777777" w:rsidR="00F37625" w:rsidRPr="002A632F" w:rsidRDefault="00F37625" w:rsidP="00F37625">
      <w:pPr>
        <w:pStyle w:val="Normal-pool"/>
        <w:numPr>
          <w:ilvl w:val="0"/>
          <w:numId w:val="19"/>
        </w:numPr>
        <w:spacing w:after="120"/>
        <w:ind w:left="1247" w:firstLine="624"/>
        <w:jc w:val="both"/>
        <w:rPr>
          <w:rFonts w:eastAsia="SimSun"/>
          <w:i/>
          <w:sz w:val="24"/>
          <w:szCs w:val="24"/>
        </w:rPr>
      </w:pPr>
      <w:proofErr w:type="spellStart"/>
      <w:r w:rsidRPr="00B6535B">
        <w:rPr>
          <w:rFonts w:ascii="KaiTi" w:eastAsia="KaiTi" w:hAnsi="KaiTi"/>
          <w:sz w:val="24"/>
          <w:szCs w:val="24"/>
          <w:lang w:val="zh-CN"/>
        </w:rPr>
        <w:t>请</w:t>
      </w:r>
      <w:r w:rsidRPr="002A632F">
        <w:rPr>
          <w:rFonts w:eastAsia="SimSun"/>
          <w:sz w:val="24"/>
          <w:szCs w:val="24"/>
          <w:lang w:val="zh-CN"/>
        </w:rPr>
        <w:t>秘书处继续</w:t>
      </w:r>
      <w:proofErr w:type="spellEnd"/>
      <w:r w:rsidRPr="002A632F">
        <w:rPr>
          <w:rFonts w:eastAsia="SimSun"/>
          <w:sz w:val="24"/>
          <w:szCs w:val="24"/>
          <w:lang w:val="zh-CN"/>
        </w:rPr>
        <w:t>：</w:t>
      </w:r>
    </w:p>
    <w:p w14:paraId="3B42CED0" w14:textId="77777777" w:rsidR="00F37625" w:rsidRPr="002A632F" w:rsidRDefault="00F37625" w:rsidP="00F37625">
      <w:pPr>
        <w:numPr>
          <w:ilvl w:val="0"/>
          <w:numId w:val="18"/>
        </w:numPr>
        <w:tabs>
          <w:tab w:val="left" w:pos="624"/>
        </w:tabs>
        <w:spacing w:line="240" w:lineRule="auto"/>
        <w:ind w:left="1247" w:firstLine="624"/>
        <w:rPr>
          <w:rFonts w:eastAsia="SimSun"/>
          <w:sz w:val="24"/>
          <w:szCs w:val="24"/>
        </w:rPr>
      </w:pPr>
      <w:r w:rsidRPr="002A632F">
        <w:rPr>
          <w:rFonts w:eastAsia="SimSun"/>
          <w:sz w:val="24"/>
          <w:szCs w:val="24"/>
          <w:lang w:val="zh-CN"/>
        </w:rPr>
        <w:t>与其他国际组织在其任务范围内进行密切合作，开展与海洋塑料垃圾和微塑料有关的活动；</w:t>
      </w:r>
    </w:p>
    <w:p w14:paraId="0D04E3CC" w14:textId="77777777" w:rsidR="00F37625" w:rsidRPr="002A632F" w:rsidRDefault="00F37625" w:rsidP="00F37625">
      <w:pPr>
        <w:numPr>
          <w:ilvl w:val="0"/>
          <w:numId w:val="18"/>
        </w:numPr>
        <w:tabs>
          <w:tab w:val="left" w:pos="624"/>
        </w:tabs>
        <w:spacing w:line="240" w:lineRule="auto"/>
        <w:ind w:left="1247" w:firstLine="624"/>
        <w:rPr>
          <w:rFonts w:eastAsia="SimSun"/>
          <w:sz w:val="24"/>
          <w:szCs w:val="24"/>
        </w:rPr>
      </w:pPr>
      <w:r w:rsidRPr="002A632F">
        <w:rPr>
          <w:rFonts w:eastAsia="SimSun"/>
          <w:sz w:val="24"/>
          <w:szCs w:val="24"/>
          <w:lang w:val="zh-CN"/>
        </w:rPr>
        <w:t>在涉及《巴塞尔公约》、《鹿特丹公约》和《斯德哥尔摩公约》的领域中加强与战略方针秘书处和其他国际机构的合作和协调，包括在秘书处关于</w:t>
      </w:r>
      <w:r w:rsidRPr="002A632F">
        <w:rPr>
          <w:rFonts w:eastAsia="SimSun"/>
          <w:sz w:val="24"/>
          <w:szCs w:val="24"/>
          <w:lang w:val="zh-CN"/>
        </w:rPr>
        <w:t>2019</w:t>
      </w:r>
      <w:r w:rsidRPr="002A632F">
        <w:rPr>
          <w:rFonts w:eastAsia="SimSun"/>
          <w:sz w:val="24"/>
          <w:szCs w:val="24"/>
          <w:lang w:val="zh-CN"/>
        </w:rPr>
        <w:t>年</w:t>
      </w:r>
      <w:r w:rsidRPr="002A632F">
        <w:rPr>
          <w:rFonts w:eastAsia="SimSun"/>
          <w:sz w:val="24"/>
          <w:szCs w:val="24"/>
          <w:lang w:val="zh-CN"/>
        </w:rPr>
        <w:t>1</w:t>
      </w:r>
      <w:r w:rsidRPr="002A632F">
        <w:rPr>
          <w:rFonts w:eastAsia="SimSun"/>
          <w:sz w:val="24"/>
          <w:szCs w:val="24"/>
          <w:lang w:val="zh-CN"/>
        </w:rPr>
        <w:t>月</w:t>
      </w:r>
      <w:r w:rsidRPr="002A632F">
        <w:rPr>
          <w:rFonts w:eastAsia="SimSun"/>
          <w:sz w:val="24"/>
          <w:szCs w:val="24"/>
          <w:lang w:val="zh-CN"/>
        </w:rPr>
        <w:t>1</w:t>
      </w:r>
      <w:r w:rsidRPr="002A632F">
        <w:rPr>
          <w:rFonts w:eastAsia="SimSun"/>
          <w:sz w:val="24"/>
          <w:szCs w:val="24"/>
          <w:lang w:val="zh-CN"/>
        </w:rPr>
        <w:t>日至</w:t>
      </w:r>
      <w:r w:rsidRPr="002A632F">
        <w:rPr>
          <w:rFonts w:eastAsia="SimSun"/>
          <w:sz w:val="24"/>
          <w:szCs w:val="24"/>
          <w:lang w:val="zh-CN"/>
        </w:rPr>
        <w:t>2021</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w:t>
      </w:r>
      <w:r w:rsidRPr="002A632F">
        <w:rPr>
          <w:rFonts w:eastAsia="SimSun"/>
          <w:sz w:val="24"/>
          <w:szCs w:val="24"/>
          <w:lang w:val="zh-CN"/>
        </w:rPr>
        <w:t>31</w:t>
      </w:r>
      <w:r w:rsidRPr="002A632F">
        <w:rPr>
          <w:rFonts w:eastAsia="SimSun"/>
          <w:sz w:val="24"/>
          <w:szCs w:val="24"/>
          <w:lang w:val="zh-CN"/>
        </w:rPr>
        <w:t>日期间的国际合作和协调的报告所列领域中加强与报告所列组织的合作和协调；</w:t>
      </w:r>
    </w:p>
    <w:p w14:paraId="0FA3C19C" w14:textId="77777777" w:rsidR="00F37625" w:rsidRPr="002A632F" w:rsidRDefault="00F37625" w:rsidP="00F37625">
      <w:pPr>
        <w:numPr>
          <w:ilvl w:val="0"/>
          <w:numId w:val="18"/>
        </w:numPr>
        <w:tabs>
          <w:tab w:val="left" w:pos="624"/>
        </w:tabs>
        <w:spacing w:line="240" w:lineRule="auto"/>
        <w:ind w:left="1247" w:firstLine="624"/>
        <w:rPr>
          <w:rFonts w:eastAsia="SimSun"/>
          <w:iCs/>
          <w:color w:val="000000"/>
          <w:sz w:val="24"/>
          <w:szCs w:val="24"/>
        </w:rPr>
      </w:pPr>
      <w:r w:rsidRPr="002A632F">
        <w:rPr>
          <w:rFonts w:eastAsia="SimSun"/>
          <w:sz w:val="24"/>
          <w:szCs w:val="24"/>
          <w:lang w:val="zh-CN"/>
        </w:rPr>
        <w:t>在本决定第</w:t>
      </w:r>
      <w:r w:rsidRPr="002A632F">
        <w:rPr>
          <w:rFonts w:eastAsia="SimSun"/>
          <w:sz w:val="24"/>
          <w:szCs w:val="24"/>
          <w:lang w:val="zh-CN"/>
        </w:rPr>
        <w:t>16</w:t>
      </w:r>
      <w:r w:rsidRPr="002A632F">
        <w:rPr>
          <w:rFonts w:eastAsia="SimSun"/>
          <w:sz w:val="24"/>
          <w:szCs w:val="24"/>
          <w:lang w:val="zh-CN"/>
        </w:rPr>
        <w:t>和</w:t>
      </w:r>
      <w:r w:rsidRPr="002A632F">
        <w:rPr>
          <w:rFonts w:eastAsia="SimSun"/>
          <w:sz w:val="24"/>
          <w:szCs w:val="24"/>
          <w:lang w:val="zh-CN"/>
        </w:rPr>
        <w:t>17</w:t>
      </w:r>
      <w:r w:rsidRPr="002A632F">
        <w:rPr>
          <w:rFonts w:eastAsia="SimSun"/>
          <w:sz w:val="24"/>
          <w:szCs w:val="24"/>
          <w:lang w:val="zh-CN"/>
        </w:rPr>
        <w:t>段所述行动取得成果前，继续应邀以观察员身份列席组织间健全管理化学品方案的相关会议；</w:t>
      </w:r>
    </w:p>
    <w:p w14:paraId="18472F80"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欢迎</w:t>
      </w:r>
      <w:r w:rsidRPr="002A632F">
        <w:rPr>
          <w:rFonts w:eastAsia="SimSun"/>
          <w:sz w:val="24"/>
          <w:szCs w:val="24"/>
          <w:lang w:val="zh-CN" w:eastAsia="zh-CN"/>
        </w:rPr>
        <w:t>联合国大会在其关于落实大会第</w:t>
      </w:r>
      <w:r w:rsidRPr="002A632F">
        <w:rPr>
          <w:rFonts w:eastAsia="SimSun"/>
          <w:sz w:val="24"/>
          <w:szCs w:val="24"/>
          <w:lang w:val="zh-CN" w:eastAsia="zh-CN"/>
        </w:rPr>
        <w:t>72/277</w:t>
      </w:r>
      <w:r w:rsidRPr="002A632F">
        <w:rPr>
          <w:rFonts w:eastAsia="SimSun"/>
          <w:sz w:val="24"/>
          <w:szCs w:val="24"/>
          <w:lang w:val="zh-CN" w:eastAsia="zh-CN"/>
        </w:rPr>
        <w:t>号决议所设不限成员名额特设工作组的报告的第</w:t>
      </w:r>
      <w:r w:rsidRPr="002A632F">
        <w:rPr>
          <w:rFonts w:eastAsia="SimSun"/>
          <w:sz w:val="24"/>
          <w:szCs w:val="24"/>
          <w:lang w:val="zh-CN" w:eastAsia="zh-CN"/>
        </w:rPr>
        <w:t>73/333</w:t>
      </w:r>
      <w:r w:rsidRPr="002A632F">
        <w:rPr>
          <w:rFonts w:eastAsia="SimSun"/>
          <w:sz w:val="24"/>
          <w:szCs w:val="24"/>
          <w:lang w:val="zh-CN" w:eastAsia="zh-CN"/>
        </w:rPr>
        <w:t>号决议附件第</w:t>
      </w:r>
      <w:r w:rsidRPr="002A632F">
        <w:rPr>
          <w:rFonts w:eastAsia="SimSun"/>
          <w:sz w:val="24"/>
          <w:szCs w:val="24"/>
          <w:lang w:val="zh-CN" w:eastAsia="zh-CN"/>
        </w:rPr>
        <w:t>10</w:t>
      </w:r>
      <w:r w:rsidRPr="002A632F">
        <w:rPr>
          <w:rFonts w:eastAsia="SimSun"/>
          <w:sz w:val="24"/>
          <w:szCs w:val="24"/>
          <w:lang w:val="zh-CN" w:eastAsia="zh-CN"/>
        </w:rPr>
        <w:t>、</w:t>
      </w:r>
      <w:r w:rsidRPr="002A632F">
        <w:rPr>
          <w:rFonts w:eastAsia="SimSun"/>
          <w:sz w:val="24"/>
          <w:szCs w:val="24"/>
          <w:lang w:val="zh-CN" w:eastAsia="zh-CN"/>
        </w:rPr>
        <w:t>11</w:t>
      </w:r>
      <w:r w:rsidRPr="002A632F">
        <w:rPr>
          <w:rFonts w:eastAsia="SimSun"/>
          <w:sz w:val="24"/>
          <w:szCs w:val="24"/>
          <w:lang w:val="zh-CN" w:eastAsia="zh-CN"/>
        </w:rPr>
        <w:t>和</w:t>
      </w:r>
      <w:r w:rsidRPr="002A632F">
        <w:rPr>
          <w:rFonts w:eastAsia="SimSun"/>
          <w:sz w:val="24"/>
          <w:szCs w:val="24"/>
          <w:lang w:val="zh-CN" w:eastAsia="zh-CN"/>
        </w:rPr>
        <w:t>12</w:t>
      </w:r>
      <w:r w:rsidRPr="002A632F">
        <w:rPr>
          <w:rFonts w:eastAsia="SimSun"/>
          <w:sz w:val="24"/>
          <w:szCs w:val="24"/>
          <w:lang w:val="zh-CN" w:eastAsia="zh-CN"/>
        </w:rPr>
        <w:t>段提出的建议；</w:t>
      </w:r>
      <w:r w:rsidRPr="002A632F">
        <w:rPr>
          <w:rFonts w:eastAsia="SimSun"/>
          <w:sz w:val="24"/>
          <w:szCs w:val="24"/>
          <w:vertAlign w:val="superscript"/>
          <w:lang w:val="zh-CN"/>
        </w:rPr>
        <w:footnoteReference w:id="14"/>
      </w:r>
    </w:p>
    <w:p w14:paraId="7DF61351"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注意到</w:t>
      </w:r>
      <w:r w:rsidRPr="002A632F">
        <w:rPr>
          <w:rFonts w:eastAsia="SimSun"/>
          <w:sz w:val="24"/>
          <w:szCs w:val="24"/>
          <w:lang w:val="zh-CN" w:eastAsia="zh-CN"/>
        </w:rPr>
        <w:t>缔约方大会多年来通过的决定和本次会议通过的决定令人满意地处理了这些建议；</w:t>
      </w:r>
    </w:p>
    <w:p w14:paraId="6450181D"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欢迎</w:t>
      </w:r>
      <w:r w:rsidRPr="002A632F">
        <w:rPr>
          <w:rFonts w:eastAsia="SimSun"/>
          <w:sz w:val="24"/>
          <w:szCs w:val="24"/>
          <w:lang w:val="zh-CN" w:eastAsia="zh-CN"/>
        </w:rPr>
        <w:t>题为</w:t>
      </w:r>
      <w:r w:rsidRPr="00B6535B">
        <w:rPr>
          <w:rFonts w:ascii="SimSun" w:eastAsia="SimSun" w:hAnsi="SimSun"/>
          <w:sz w:val="24"/>
          <w:szCs w:val="24"/>
          <w:lang w:val="zh-CN" w:eastAsia="zh-CN"/>
        </w:rPr>
        <w:t>“化学品和废物多边环境协定与生物多样性之间的相互联系”的探</w:t>
      </w:r>
      <w:r w:rsidRPr="002A632F">
        <w:rPr>
          <w:rFonts w:eastAsia="SimSun"/>
          <w:sz w:val="24"/>
          <w:szCs w:val="24"/>
          <w:lang w:val="zh-CN" w:eastAsia="zh-CN"/>
        </w:rPr>
        <w:t>索性研究及其结论，</w:t>
      </w:r>
      <w:r w:rsidRPr="002A632F">
        <w:rPr>
          <w:rFonts w:eastAsia="SimSun"/>
          <w:color w:val="000000"/>
          <w:sz w:val="24"/>
          <w:szCs w:val="24"/>
          <w:vertAlign w:val="superscript"/>
          <w:lang w:val="zh-CN"/>
        </w:rPr>
        <w:footnoteReference w:id="15"/>
      </w:r>
      <w:r w:rsidRPr="002A632F">
        <w:rPr>
          <w:rFonts w:eastAsia="SimSun"/>
          <w:sz w:val="24"/>
          <w:szCs w:val="24"/>
          <w:lang w:val="zh-CN" w:eastAsia="zh-CN"/>
        </w:rPr>
        <w:t xml:space="preserve"> </w:t>
      </w:r>
      <w:r w:rsidRPr="00363471">
        <w:rPr>
          <w:rFonts w:ascii="SimSun" w:eastAsia="SimSun" w:hAnsi="SimSun"/>
          <w:sz w:val="24"/>
          <w:szCs w:val="24"/>
          <w:lang w:val="zh-CN" w:eastAsia="zh-CN"/>
        </w:rPr>
        <w:t>以及题为“化学品、废物和气候变化：相互联系和协调行动的潜力”的</w:t>
      </w:r>
      <w:r w:rsidRPr="002A632F">
        <w:rPr>
          <w:rFonts w:eastAsia="SimSun"/>
          <w:sz w:val="24"/>
          <w:szCs w:val="24"/>
          <w:lang w:val="zh-CN" w:eastAsia="zh-CN"/>
        </w:rPr>
        <w:t>报告；</w:t>
      </w:r>
      <w:r w:rsidRPr="002A632F">
        <w:rPr>
          <w:rFonts w:eastAsia="SimSun"/>
          <w:sz w:val="24"/>
          <w:szCs w:val="24"/>
          <w:vertAlign w:val="superscript"/>
          <w:lang w:val="zh-CN"/>
        </w:rPr>
        <w:footnoteReference w:id="16"/>
      </w:r>
    </w:p>
    <w:p w14:paraId="6FB9FCF4" w14:textId="77777777" w:rsidR="00F37625" w:rsidRPr="002A632F"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lastRenderedPageBreak/>
        <w:t>请</w:t>
      </w:r>
      <w:r w:rsidRPr="002A632F">
        <w:rPr>
          <w:rFonts w:eastAsia="SimSun"/>
          <w:sz w:val="24"/>
          <w:szCs w:val="24"/>
          <w:lang w:val="zh-CN" w:eastAsia="zh-CN"/>
        </w:rPr>
        <w:t>秘书处将这些报告分别转交生物多样性公约秘书处和联合国气候变化框架公约秘书处，并邀请其酌情提请这两个公约的各自缔约方大会注意这些报告；</w:t>
      </w:r>
    </w:p>
    <w:p w14:paraId="4D2A1679"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促请</w:t>
      </w:r>
      <w:r w:rsidRPr="002A632F">
        <w:rPr>
          <w:rFonts w:eastAsia="SimSun"/>
          <w:sz w:val="24"/>
          <w:szCs w:val="24"/>
          <w:lang w:val="zh-CN" w:eastAsia="zh-CN"/>
        </w:rPr>
        <w:t>缔约方一俟</w:t>
      </w:r>
      <w:r w:rsidRPr="002A632F">
        <w:rPr>
          <w:rFonts w:eastAsia="SimSun"/>
          <w:sz w:val="24"/>
          <w:szCs w:val="24"/>
          <w:lang w:val="zh-CN" w:eastAsia="zh-CN"/>
        </w:rPr>
        <w:t>2020</w:t>
      </w:r>
      <w:r w:rsidRPr="002A632F">
        <w:rPr>
          <w:rFonts w:eastAsia="SimSun"/>
          <w:sz w:val="24"/>
          <w:szCs w:val="24"/>
          <w:lang w:val="zh-CN" w:eastAsia="zh-CN"/>
        </w:rPr>
        <w:t>年后全球生物多样性框架得到通过，即在执行《巴塞尔公约》、《鹿特丹公约》和《斯德哥尔摩公约》的行动中考虑到该框架的目标；</w:t>
      </w:r>
    </w:p>
    <w:p w14:paraId="62AD0748"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秘书处在资源允许的情况下编写一份列有可能的建议的报告，说明一俟</w:t>
      </w:r>
      <w:r w:rsidRPr="002A632F">
        <w:rPr>
          <w:rFonts w:eastAsia="SimSun"/>
          <w:sz w:val="24"/>
          <w:szCs w:val="24"/>
          <w:lang w:val="zh-CN" w:eastAsia="zh-CN"/>
        </w:rPr>
        <w:t>2020</w:t>
      </w:r>
      <w:r w:rsidRPr="002A632F">
        <w:rPr>
          <w:rFonts w:eastAsia="SimSun"/>
          <w:sz w:val="24"/>
          <w:szCs w:val="24"/>
          <w:lang w:val="zh-CN" w:eastAsia="zh-CN"/>
        </w:rPr>
        <w:t>年后全球生物多样性框架得到通过，各项公约如何为其</w:t>
      </w:r>
      <w:proofErr w:type="gramStart"/>
      <w:r>
        <w:rPr>
          <w:rFonts w:eastAsia="SimSun" w:hint="eastAsia"/>
          <w:sz w:val="24"/>
          <w:szCs w:val="24"/>
          <w:lang w:val="zh-CN" w:eastAsia="zh-CN"/>
        </w:rPr>
        <w:t>作出</w:t>
      </w:r>
      <w:proofErr w:type="gramEnd"/>
      <w:r w:rsidRPr="002A632F">
        <w:rPr>
          <w:rFonts w:eastAsia="SimSun"/>
          <w:sz w:val="24"/>
          <w:szCs w:val="24"/>
          <w:lang w:val="zh-CN" w:eastAsia="zh-CN"/>
        </w:rPr>
        <w:t>贡献，供巴塞尔、鹿特丹和斯德哥尔摩公约缔约方大会下一次会议审议；</w:t>
      </w:r>
    </w:p>
    <w:p w14:paraId="22FD4181" w14:textId="77777777" w:rsidR="00F37625" w:rsidRPr="002A632F" w:rsidRDefault="00F37625" w:rsidP="00F37625">
      <w:pPr>
        <w:pStyle w:val="Normal-pool"/>
        <w:numPr>
          <w:ilvl w:val="0"/>
          <w:numId w:val="19"/>
        </w:numPr>
        <w:spacing w:after="120"/>
        <w:ind w:left="1247" w:firstLine="624"/>
        <w:jc w:val="both"/>
        <w:rPr>
          <w:rFonts w:eastAsia="SimSun"/>
          <w:color w:val="000000"/>
          <w:sz w:val="24"/>
          <w:szCs w:val="24"/>
          <w:lang w:eastAsia="zh-CN"/>
        </w:rPr>
      </w:pPr>
      <w:r w:rsidRPr="00B6535B">
        <w:rPr>
          <w:rFonts w:ascii="KaiTi" w:eastAsia="KaiTi" w:hAnsi="KaiTi"/>
          <w:sz w:val="24"/>
          <w:szCs w:val="24"/>
          <w:lang w:val="zh-CN" w:eastAsia="zh-CN"/>
        </w:rPr>
        <w:t>鼓励</w:t>
      </w:r>
      <w:r w:rsidRPr="002A632F">
        <w:rPr>
          <w:rFonts w:eastAsia="SimSun"/>
          <w:sz w:val="24"/>
          <w:szCs w:val="24"/>
          <w:lang w:val="zh-CN" w:eastAsia="zh-CN"/>
        </w:rPr>
        <w:t>缔约方和其他各方在采取行动处理危险化学品和废物无害环境管理问题和减缓气候变化问题的过程中，考虑题为</w:t>
      </w:r>
      <w:r w:rsidRPr="00B6535B">
        <w:rPr>
          <w:rFonts w:ascii="SimSun" w:eastAsia="SimSun" w:hAnsi="SimSun"/>
          <w:sz w:val="24"/>
          <w:szCs w:val="24"/>
          <w:lang w:val="zh-CN" w:eastAsia="zh-CN"/>
        </w:rPr>
        <w:t>“化</w:t>
      </w:r>
      <w:r w:rsidRPr="002A632F">
        <w:rPr>
          <w:rFonts w:eastAsia="SimSun"/>
          <w:sz w:val="24"/>
          <w:szCs w:val="24"/>
          <w:lang w:val="zh-CN" w:eastAsia="zh-CN"/>
        </w:rPr>
        <w:t>学品、废物和气候变化：相互联系和协调行动的潜力</w:t>
      </w:r>
      <w:r w:rsidRPr="00B6535B">
        <w:rPr>
          <w:rFonts w:ascii="SimSun" w:eastAsia="SimSun" w:hAnsi="SimSun"/>
          <w:sz w:val="24"/>
          <w:szCs w:val="24"/>
          <w:lang w:val="zh-CN" w:eastAsia="zh-CN"/>
        </w:rPr>
        <w:t>”</w:t>
      </w:r>
      <w:r w:rsidRPr="002A632F">
        <w:rPr>
          <w:rFonts w:eastAsia="SimSun"/>
          <w:sz w:val="24"/>
          <w:szCs w:val="24"/>
          <w:lang w:val="zh-CN" w:eastAsia="zh-CN"/>
        </w:rPr>
        <w:t>的报告</w:t>
      </w:r>
      <w:r w:rsidRPr="002A632F">
        <w:rPr>
          <w:rFonts w:eastAsia="SimSun"/>
          <w:color w:val="000000"/>
          <w:sz w:val="24"/>
          <w:szCs w:val="24"/>
          <w:vertAlign w:val="superscript"/>
          <w:lang w:val="zh-CN"/>
        </w:rPr>
        <w:footnoteReference w:id="17"/>
      </w:r>
      <w:r w:rsidRPr="002A632F">
        <w:rPr>
          <w:rFonts w:eastAsia="SimSun"/>
          <w:sz w:val="24"/>
          <w:szCs w:val="24"/>
          <w:lang w:val="zh-CN" w:eastAsia="zh-CN"/>
        </w:rPr>
        <w:t>的结论和技术建议；</w:t>
      </w:r>
    </w:p>
    <w:p w14:paraId="68C6BE5D" w14:textId="77777777" w:rsidR="00F37625" w:rsidRPr="009F1B62" w:rsidRDefault="00F37625" w:rsidP="00F37625">
      <w:pPr>
        <w:pStyle w:val="Normal-pool"/>
        <w:numPr>
          <w:ilvl w:val="0"/>
          <w:numId w:val="19"/>
        </w:numPr>
        <w:spacing w:after="120"/>
        <w:ind w:left="1247" w:firstLine="624"/>
        <w:jc w:val="both"/>
        <w:rPr>
          <w:rFonts w:eastAsia="SimSun"/>
          <w:sz w:val="24"/>
          <w:szCs w:val="24"/>
          <w:lang w:eastAsia="zh-CN"/>
        </w:rPr>
      </w:pPr>
      <w:r w:rsidRPr="00B6535B">
        <w:rPr>
          <w:rFonts w:ascii="KaiTi" w:eastAsia="KaiTi" w:hAnsi="KaiTi"/>
          <w:sz w:val="24"/>
          <w:szCs w:val="24"/>
          <w:lang w:val="zh-CN" w:eastAsia="zh-CN"/>
        </w:rPr>
        <w:t>请</w:t>
      </w:r>
      <w:r w:rsidRPr="002A632F">
        <w:rPr>
          <w:rFonts w:eastAsia="SimSun"/>
          <w:sz w:val="24"/>
          <w:szCs w:val="24"/>
          <w:lang w:val="zh-CN" w:eastAsia="zh-CN"/>
        </w:rPr>
        <w:t>秘书处向各缔约方大会下一次会议报告本决定的执行情况。</w:t>
      </w:r>
    </w:p>
    <w:p w14:paraId="0C07FE6E" w14:textId="40A51651" w:rsidR="00F935A6" w:rsidRPr="00F37625" w:rsidRDefault="00F935A6" w:rsidP="00F37625">
      <w:pPr>
        <w:rPr>
          <w:lang w:val="en-GB"/>
        </w:rPr>
      </w:pPr>
    </w:p>
    <w:sectPr w:rsidR="00F935A6" w:rsidRPr="00F376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6B178" w14:textId="77777777" w:rsidR="00016CF2" w:rsidRDefault="00016CF2" w:rsidP="007B3521">
      <w:pPr>
        <w:spacing w:after="0" w:line="240" w:lineRule="auto"/>
      </w:pPr>
      <w:r>
        <w:separator/>
      </w:r>
    </w:p>
  </w:endnote>
  <w:endnote w:type="continuationSeparator" w:id="0">
    <w:p w14:paraId="20097C27" w14:textId="77777777" w:rsidR="00016CF2" w:rsidRDefault="00016CF2"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7D46D" w14:textId="77777777" w:rsidR="00016CF2" w:rsidRDefault="00016CF2" w:rsidP="007B3521">
      <w:pPr>
        <w:spacing w:after="0" w:line="240" w:lineRule="auto"/>
      </w:pPr>
      <w:r>
        <w:separator/>
      </w:r>
    </w:p>
  </w:footnote>
  <w:footnote w:type="continuationSeparator" w:id="0">
    <w:p w14:paraId="4370542B" w14:textId="77777777" w:rsidR="00016CF2" w:rsidRDefault="00016CF2" w:rsidP="007B3521">
      <w:pPr>
        <w:spacing w:after="0" w:line="240" w:lineRule="auto"/>
      </w:pPr>
      <w:r>
        <w:continuationSeparator/>
      </w:r>
    </w:p>
  </w:footnote>
  <w:footnote w:id="1">
    <w:p w14:paraId="2B81E116" w14:textId="77777777" w:rsidR="00F37625" w:rsidRPr="00811C3A" w:rsidRDefault="00F37625" w:rsidP="00F37625">
      <w:pPr>
        <w:pStyle w:val="Normal-pool"/>
        <w:spacing w:before="20" w:after="40"/>
        <w:ind w:left="1247"/>
        <w:rPr>
          <w:rFonts w:eastAsia="SimSun"/>
          <w:lang w:eastAsia="zh-CN"/>
        </w:rPr>
      </w:pPr>
      <w:r w:rsidRPr="00811C3A">
        <w:rPr>
          <w:rFonts w:eastAsia="SimSun"/>
          <w:vertAlign w:val="superscript"/>
          <w:lang w:val="zh-CN"/>
        </w:rPr>
        <w:footnoteRef/>
      </w:r>
      <w:r w:rsidRPr="00811C3A">
        <w:rPr>
          <w:rFonts w:eastAsia="SimSun"/>
          <w:lang w:val="zh-CN" w:eastAsia="zh-CN"/>
        </w:rPr>
        <w:t xml:space="preserve"> BC-14/12</w:t>
      </w:r>
      <w:r w:rsidRPr="00811C3A">
        <w:rPr>
          <w:rFonts w:eastAsia="SimSun"/>
          <w:lang w:val="zh-CN" w:eastAsia="zh-CN"/>
        </w:rPr>
        <w:t>、</w:t>
      </w:r>
      <w:r w:rsidRPr="00811C3A">
        <w:rPr>
          <w:rFonts w:eastAsia="SimSun"/>
          <w:lang w:val="zh-CN" w:eastAsia="zh-CN"/>
        </w:rPr>
        <w:t>BC-14/13</w:t>
      </w:r>
      <w:r w:rsidRPr="00811C3A">
        <w:rPr>
          <w:rFonts w:eastAsia="SimSun"/>
          <w:lang w:val="zh-CN" w:eastAsia="zh-CN"/>
        </w:rPr>
        <w:t>、</w:t>
      </w:r>
      <w:r w:rsidRPr="00811C3A">
        <w:rPr>
          <w:rFonts w:eastAsia="SimSun"/>
          <w:lang w:val="zh-CN" w:eastAsia="zh-CN"/>
        </w:rPr>
        <w:t>BC-14/18</w:t>
      </w:r>
      <w:r w:rsidRPr="00811C3A">
        <w:rPr>
          <w:rFonts w:eastAsia="SimSun"/>
          <w:lang w:val="zh-CN" w:eastAsia="zh-CN"/>
        </w:rPr>
        <w:t>、</w:t>
      </w:r>
      <w:r w:rsidRPr="00811C3A">
        <w:rPr>
          <w:rFonts w:eastAsia="SimSun"/>
          <w:lang w:val="zh-CN" w:eastAsia="zh-CN"/>
        </w:rPr>
        <w:t>BC-14/21</w:t>
      </w:r>
      <w:r w:rsidRPr="00811C3A">
        <w:rPr>
          <w:rFonts w:eastAsia="SimSun"/>
          <w:lang w:val="zh-CN" w:eastAsia="zh-CN"/>
        </w:rPr>
        <w:t>和</w:t>
      </w:r>
      <w:r w:rsidRPr="00811C3A">
        <w:rPr>
          <w:rFonts w:eastAsia="SimSun"/>
          <w:lang w:val="zh-CN" w:eastAsia="zh-CN"/>
        </w:rPr>
        <w:t xml:space="preserve"> BC-14/23</w:t>
      </w:r>
      <w:r w:rsidRPr="00811C3A">
        <w:rPr>
          <w:rFonts w:eastAsia="SimSun"/>
          <w:lang w:val="zh-CN" w:eastAsia="zh-CN"/>
        </w:rPr>
        <w:t>号决定。</w:t>
      </w:r>
    </w:p>
  </w:footnote>
  <w:footnote w:id="2">
    <w:p w14:paraId="30A4C0AA" w14:textId="77777777" w:rsidR="00F37625" w:rsidRPr="00811C3A" w:rsidRDefault="00F37625" w:rsidP="00F37625">
      <w:pPr>
        <w:pStyle w:val="Normal-pool"/>
        <w:spacing w:before="20" w:after="40"/>
        <w:ind w:left="1247"/>
        <w:rPr>
          <w:rFonts w:eastAsia="SimSun"/>
          <w:lang w:eastAsia="zh-CN"/>
        </w:rPr>
      </w:pPr>
      <w:r w:rsidRPr="00811C3A">
        <w:rPr>
          <w:rFonts w:eastAsia="SimSun"/>
          <w:vertAlign w:val="superscript"/>
          <w:lang w:val="zh-CN"/>
        </w:rPr>
        <w:footnoteRef/>
      </w:r>
      <w:r w:rsidRPr="00811C3A">
        <w:rPr>
          <w:rFonts w:eastAsia="SimSun"/>
          <w:lang w:val="zh-CN" w:eastAsia="zh-CN"/>
        </w:rPr>
        <w:t xml:space="preserve"> </w:t>
      </w:r>
      <w:r w:rsidRPr="00811C3A">
        <w:rPr>
          <w:rFonts w:eastAsia="SimSun"/>
          <w:lang w:val="zh-CN" w:eastAsia="zh-CN"/>
        </w:rPr>
        <w:t>仅适用于斯德哥尔摩公约缔约方大会通过的决定。</w:t>
      </w:r>
    </w:p>
  </w:footnote>
  <w:footnote w:id="3">
    <w:p w14:paraId="3B801206" w14:textId="77777777" w:rsidR="00F37625" w:rsidRPr="00811C3A" w:rsidRDefault="00F37625" w:rsidP="00F37625">
      <w:pPr>
        <w:pStyle w:val="Normal-pool"/>
        <w:spacing w:before="20" w:after="40"/>
        <w:ind w:left="1247"/>
        <w:rPr>
          <w:rFonts w:eastAsia="SimSun"/>
        </w:rPr>
      </w:pPr>
      <w:r w:rsidRPr="00811C3A">
        <w:rPr>
          <w:rFonts w:eastAsia="SimSun"/>
          <w:vertAlign w:val="superscript"/>
          <w:lang w:val="zh-CN"/>
        </w:rPr>
        <w:footnoteRef/>
      </w:r>
      <w:r w:rsidRPr="00811C3A">
        <w:rPr>
          <w:rFonts w:eastAsia="SimSun"/>
        </w:rPr>
        <w:t xml:space="preserve"> UNEP/CHW.15/INF/41–UNEP/FAO/RC/COP.10/INF/24–UNEP/POPS/COP.10/INF/45</w:t>
      </w:r>
      <w:r w:rsidRPr="00811C3A">
        <w:rPr>
          <w:rFonts w:eastAsia="SimSun"/>
          <w:lang w:val="zh-CN"/>
        </w:rPr>
        <w:t>。</w:t>
      </w:r>
    </w:p>
  </w:footnote>
  <w:footnote w:id="4">
    <w:p w14:paraId="3B4048F8" w14:textId="77777777" w:rsidR="00F37625" w:rsidRPr="00811C3A" w:rsidRDefault="00F37625" w:rsidP="00F37625">
      <w:pPr>
        <w:pStyle w:val="Normal-pool"/>
        <w:spacing w:before="20" w:after="40"/>
        <w:ind w:left="1247"/>
        <w:rPr>
          <w:rFonts w:eastAsia="SimSun"/>
        </w:rPr>
      </w:pPr>
      <w:r w:rsidRPr="00811C3A">
        <w:rPr>
          <w:rFonts w:eastAsia="SimSun"/>
          <w:vertAlign w:val="superscript"/>
          <w:lang w:val="zh-CN"/>
        </w:rPr>
        <w:footnoteRef/>
      </w:r>
      <w:r w:rsidRPr="00811C3A">
        <w:rPr>
          <w:rFonts w:eastAsia="SimSun"/>
        </w:rPr>
        <w:t xml:space="preserve"> UNEP/CHW.15/INF/43–UNEP/FAO/RC/COP.10/INF/28–UNEP/POPS/COP.10/INF/47</w:t>
      </w:r>
      <w:r w:rsidRPr="00811C3A">
        <w:rPr>
          <w:rFonts w:eastAsia="SimSun"/>
          <w:lang w:val="zh-CN"/>
        </w:rPr>
        <w:t>。</w:t>
      </w:r>
    </w:p>
  </w:footnote>
  <w:footnote w:id="5">
    <w:p w14:paraId="2C3C354D" w14:textId="77777777" w:rsidR="00F37625" w:rsidRPr="00811C3A" w:rsidRDefault="00F37625" w:rsidP="00F37625">
      <w:pPr>
        <w:pStyle w:val="Normal-pool"/>
        <w:spacing w:before="20" w:after="40"/>
        <w:ind w:left="1247"/>
        <w:rPr>
          <w:rFonts w:eastAsia="SimSun"/>
        </w:rPr>
      </w:pPr>
      <w:r w:rsidRPr="00811C3A">
        <w:rPr>
          <w:rFonts w:eastAsia="SimSun"/>
          <w:vertAlign w:val="superscript"/>
          <w:lang w:val="zh-CN"/>
        </w:rPr>
        <w:footnoteRef/>
      </w:r>
      <w:r w:rsidRPr="00811C3A">
        <w:rPr>
          <w:rFonts w:eastAsia="SimSun"/>
        </w:rPr>
        <w:t xml:space="preserve"> </w:t>
      </w:r>
      <w:r w:rsidRPr="00811C3A">
        <w:rPr>
          <w:rFonts w:eastAsia="SimSun"/>
          <w:lang w:val="zh-CN"/>
        </w:rPr>
        <w:t>见</w:t>
      </w:r>
      <w:r w:rsidRPr="00811C3A">
        <w:rPr>
          <w:rFonts w:eastAsia="SimSun"/>
        </w:rPr>
        <w:t>UNEP/CHW.15/INF/56–UNEP/FAO/RC/COP.10/INF/25–UNEP/POPS/COP.10/INF/46</w:t>
      </w:r>
      <w:r w:rsidRPr="00811C3A">
        <w:rPr>
          <w:rFonts w:eastAsia="SimSun"/>
          <w:lang w:val="zh-CN"/>
        </w:rPr>
        <w:t>。</w:t>
      </w:r>
    </w:p>
  </w:footnote>
  <w:footnote w:id="6">
    <w:p w14:paraId="1CD59155" w14:textId="77777777" w:rsidR="00F37625" w:rsidRPr="00811C3A" w:rsidRDefault="00F37625" w:rsidP="00F37625">
      <w:pPr>
        <w:pStyle w:val="Normal-pool"/>
        <w:spacing w:before="20" w:after="40"/>
        <w:ind w:left="1247"/>
        <w:rPr>
          <w:rFonts w:eastAsia="SimSun"/>
        </w:rPr>
      </w:pPr>
      <w:r w:rsidRPr="00811C3A">
        <w:rPr>
          <w:rFonts w:eastAsia="SimSun"/>
          <w:vertAlign w:val="superscript"/>
          <w:lang w:val="zh-CN"/>
        </w:rPr>
        <w:footnoteRef/>
      </w:r>
      <w:r w:rsidRPr="00811C3A">
        <w:rPr>
          <w:rFonts w:eastAsia="SimSun"/>
        </w:rPr>
        <w:t xml:space="preserve"> UNEP/EA.5/Res.14</w:t>
      </w:r>
      <w:r w:rsidRPr="00811C3A">
        <w:rPr>
          <w:rFonts w:eastAsia="SimSun"/>
          <w:lang w:val="zh-CN"/>
        </w:rPr>
        <w:t>。</w:t>
      </w:r>
    </w:p>
  </w:footnote>
  <w:footnote w:id="7">
    <w:p w14:paraId="483532DC" w14:textId="77777777" w:rsidR="00F37625" w:rsidRPr="00811C3A" w:rsidRDefault="00F37625" w:rsidP="00F37625">
      <w:pPr>
        <w:pStyle w:val="Normal-pool"/>
        <w:spacing w:before="20" w:after="40"/>
        <w:ind w:left="1247"/>
        <w:rPr>
          <w:rFonts w:eastAsia="SimSun"/>
        </w:rPr>
      </w:pPr>
      <w:r w:rsidRPr="00811C3A">
        <w:rPr>
          <w:rFonts w:eastAsia="SimSun"/>
          <w:vertAlign w:val="superscript"/>
          <w:lang w:val="zh-CN"/>
        </w:rPr>
        <w:footnoteRef/>
      </w:r>
      <w:r w:rsidRPr="00811C3A">
        <w:rPr>
          <w:rFonts w:eastAsia="SimSun"/>
        </w:rPr>
        <w:t xml:space="preserve"> UNEP/EA.5/Res.7</w:t>
      </w:r>
      <w:r w:rsidRPr="00811C3A">
        <w:rPr>
          <w:rFonts w:eastAsia="SimSun"/>
          <w:lang w:val="zh-CN"/>
        </w:rPr>
        <w:t>。</w:t>
      </w:r>
    </w:p>
  </w:footnote>
  <w:footnote w:id="8">
    <w:p w14:paraId="3BECF89D" w14:textId="77777777" w:rsidR="00F37625" w:rsidRPr="00811C3A" w:rsidRDefault="00F37625" w:rsidP="00F37625">
      <w:pPr>
        <w:pStyle w:val="Normal-pool"/>
        <w:spacing w:before="20" w:after="40"/>
        <w:ind w:left="1247"/>
        <w:rPr>
          <w:rFonts w:eastAsia="SimSun"/>
        </w:rPr>
      </w:pPr>
      <w:r w:rsidRPr="00811C3A">
        <w:rPr>
          <w:rFonts w:eastAsia="SimSun"/>
          <w:vertAlign w:val="superscript"/>
          <w:lang w:val="zh-CN"/>
        </w:rPr>
        <w:footnoteRef/>
      </w:r>
      <w:r w:rsidRPr="00811C3A">
        <w:rPr>
          <w:rFonts w:eastAsia="SimSun"/>
        </w:rPr>
        <w:t xml:space="preserve"> UNEP/EA.5/Res.8</w:t>
      </w:r>
      <w:r w:rsidRPr="00811C3A">
        <w:rPr>
          <w:rFonts w:eastAsia="SimSun"/>
          <w:lang w:val="zh-CN"/>
        </w:rPr>
        <w:t>。</w:t>
      </w:r>
    </w:p>
  </w:footnote>
  <w:footnote w:id="9">
    <w:p w14:paraId="0D0A7EF2" w14:textId="77777777" w:rsidR="00F37625" w:rsidRPr="0017351B" w:rsidRDefault="00F37625" w:rsidP="00F37625">
      <w:pPr>
        <w:pStyle w:val="Normal-pool"/>
        <w:spacing w:before="20" w:after="40"/>
        <w:ind w:left="1247"/>
        <w:rPr>
          <w:sz w:val="18"/>
          <w:szCs w:val="18"/>
        </w:rPr>
      </w:pPr>
      <w:r w:rsidRPr="00811C3A">
        <w:rPr>
          <w:rFonts w:eastAsia="SimSun"/>
          <w:vertAlign w:val="superscript"/>
          <w:lang w:val="zh-CN"/>
        </w:rPr>
        <w:footnoteRef/>
      </w:r>
      <w:r w:rsidRPr="00811C3A">
        <w:rPr>
          <w:rFonts w:eastAsia="SimSun"/>
        </w:rPr>
        <w:t xml:space="preserve"> UNEP/EA.SS.1/4</w:t>
      </w:r>
      <w:r w:rsidRPr="00811C3A">
        <w:rPr>
          <w:rFonts w:eastAsia="SimSun"/>
          <w:lang w:val="zh-CN"/>
        </w:rPr>
        <w:t>。</w:t>
      </w:r>
    </w:p>
  </w:footnote>
  <w:footnote w:id="10">
    <w:p w14:paraId="66B4D092" w14:textId="77777777" w:rsidR="00F37625" w:rsidRPr="009F1B62" w:rsidRDefault="00F37625" w:rsidP="00F37625">
      <w:pPr>
        <w:pStyle w:val="Normal-pool"/>
        <w:spacing w:before="20" w:after="40"/>
        <w:ind w:left="1247"/>
        <w:rPr>
          <w:rFonts w:eastAsia="SimSun"/>
          <w:lang w:eastAsia="zh-CN"/>
        </w:rPr>
      </w:pPr>
      <w:r w:rsidRPr="009F1B62">
        <w:rPr>
          <w:rFonts w:eastAsia="SimSun"/>
          <w:vertAlign w:val="superscript"/>
          <w:lang w:val="zh-CN"/>
        </w:rPr>
        <w:footnoteRef/>
      </w:r>
      <w:r w:rsidRPr="009F1B62">
        <w:rPr>
          <w:rFonts w:eastAsia="SimSun"/>
          <w:lang w:val="zh-CN" w:eastAsia="zh-CN"/>
        </w:rPr>
        <w:t xml:space="preserve"> </w:t>
      </w:r>
      <w:proofErr w:type="gramStart"/>
      <w:r w:rsidRPr="009F1B62">
        <w:rPr>
          <w:rFonts w:eastAsia="SimSun"/>
          <w:lang w:val="zh-CN" w:eastAsia="zh-CN"/>
        </w:rPr>
        <w:t>见关于</w:t>
      </w:r>
      <w:proofErr w:type="gramEnd"/>
      <w:r w:rsidRPr="009F1B62">
        <w:rPr>
          <w:rFonts w:eastAsia="SimSun"/>
          <w:lang w:val="zh-CN" w:eastAsia="zh-CN"/>
        </w:rPr>
        <w:t>进一步促进化学品和废物健全管理并防止污染的科学与政策委员会的第</w:t>
      </w:r>
      <w:r w:rsidRPr="009F1B62">
        <w:rPr>
          <w:rFonts w:eastAsia="SimSun"/>
          <w:lang w:val="zh-CN" w:eastAsia="zh-CN"/>
        </w:rPr>
        <w:t>5/8</w:t>
      </w:r>
      <w:r w:rsidRPr="009F1B62">
        <w:rPr>
          <w:rFonts w:eastAsia="SimSun"/>
          <w:lang w:val="zh-CN" w:eastAsia="zh-CN"/>
        </w:rPr>
        <w:t>号决议的第</w:t>
      </w:r>
      <w:r w:rsidRPr="009F1B62">
        <w:rPr>
          <w:rFonts w:eastAsia="SimSun"/>
          <w:lang w:val="zh-CN" w:eastAsia="zh-CN"/>
        </w:rPr>
        <w:t>5 (c)</w:t>
      </w:r>
      <w:r w:rsidRPr="009F1B62">
        <w:rPr>
          <w:rFonts w:eastAsia="SimSun"/>
          <w:lang w:val="zh-CN" w:eastAsia="zh-CN"/>
        </w:rPr>
        <w:t>、</w:t>
      </w:r>
      <w:r w:rsidRPr="009F1B62">
        <w:rPr>
          <w:rFonts w:eastAsia="SimSun"/>
          <w:lang w:val="zh-CN" w:eastAsia="zh-CN"/>
        </w:rPr>
        <w:t>6 (d)</w:t>
      </w:r>
      <w:r w:rsidRPr="009F1B62">
        <w:rPr>
          <w:rFonts w:eastAsia="SimSun"/>
          <w:lang w:val="zh-CN" w:eastAsia="zh-CN"/>
        </w:rPr>
        <w:t>和</w:t>
      </w:r>
      <w:r w:rsidRPr="009F1B62">
        <w:rPr>
          <w:rFonts w:eastAsia="SimSun"/>
          <w:lang w:val="zh-CN" w:eastAsia="zh-CN"/>
        </w:rPr>
        <w:t>8</w:t>
      </w:r>
      <w:r w:rsidRPr="009F1B62">
        <w:rPr>
          <w:rFonts w:eastAsia="SimSun"/>
          <w:lang w:val="zh-CN" w:eastAsia="zh-CN"/>
        </w:rPr>
        <w:t>段。</w:t>
      </w:r>
    </w:p>
  </w:footnote>
  <w:footnote w:id="11">
    <w:p w14:paraId="41B255E5" w14:textId="77777777" w:rsidR="00F37625" w:rsidRPr="009F1B62" w:rsidRDefault="00F37625" w:rsidP="00F37625">
      <w:pPr>
        <w:pStyle w:val="Normal-pool"/>
        <w:spacing w:before="20" w:after="40"/>
        <w:ind w:left="1247"/>
        <w:rPr>
          <w:rFonts w:eastAsia="SimSun"/>
          <w:lang w:eastAsia="zh-CN"/>
        </w:rPr>
      </w:pPr>
      <w:r w:rsidRPr="009F1B62">
        <w:rPr>
          <w:rFonts w:eastAsia="SimSun"/>
          <w:vertAlign w:val="superscript"/>
          <w:lang w:val="zh-CN"/>
        </w:rPr>
        <w:footnoteRef/>
      </w:r>
      <w:r w:rsidRPr="009F1B62">
        <w:rPr>
          <w:rFonts w:eastAsia="SimSun"/>
          <w:lang w:val="zh-CN" w:eastAsia="zh-CN"/>
        </w:rPr>
        <w:t xml:space="preserve"> </w:t>
      </w:r>
      <w:proofErr w:type="gramStart"/>
      <w:r w:rsidRPr="009F1B62">
        <w:rPr>
          <w:rFonts w:eastAsia="SimSun"/>
          <w:lang w:val="zh-CN" w:eastAsia="zh-CN"/>
        </w:rPr>
        <w:t>见关于</w:t>
      </w:r>
      <w:proofErr w:type="gramEnd"/>
      <w:r w:rsidRPr="009F1B62">
        <w:rPr>
          <w:rFonts w:eastAsia="SimSun"/>
          <w:lang w:val="zh-CN" w:eastAsia="zh-CN"/>
        </w:rPr>
        <w:t>国家立法、通知书、《公约》的强制执行以及打击非法贩运的努力的</w:t>
      </w:r>
      <w:r w:rsidRPr="009F1B62">
        <w:rPr>
          <w:rFonts w:eastAsia="SimSun"/>
          <w:lang w:val="zh-CN" w:eastAsia="zh-CN"/>
        </w:rPr>
        <w:t>BC-15/20</w:t>
      </w:r>
      <w:r w:rsidRPr="009F1B62">
        <w:rPr>
          <w:rFonts w:eastAsia="SimSun"/>
          <w:lang w:val="zh-CN" w:eastAsia="zh-CN"/>
        </w:rPr>
        <w:t>号和</w:t>
      </w:r>
      <w:r w:rsidRPr="009F1B62">
        <w:rPr>
          <w:rFonts w:eastAsia="SimSun"/>
          <w:lang w:val="zh-CN" w:eastAsia="zh-CN"/>
        </w:rPr>
        <w:t>BC-14/17</w:t>
      </w:r>
      <w:r w:rsidRPr="009F1B62">
        <w:rPr>
          <w:rFonts w:eastAsia="SimSun"/>
          <w:lang w:val="zh-CN" w:eastAsia="zh-CN"/>
        </w:rPr>
        <w:t>号决定、关于巴塞尔公约伙伴关系方案的</w:t>
      </w:r>
      <w:r w:rsidRPr="009F1B62">
        <w:rPr>
          <w:rFonts w:eastAsia="SimSun"/>
          <w:lang w:val="zh-CN" w:eastAsia="zh-CN"/>
        </w:rPr>
        <w:t>BC-14/19</w:t>
      </w:r>
      <w:r w:rsidRPr="009F1B62">
        <w:rPr>
          <w:rFonts w:eastAsia="SimSun"/>
          <w:lang w:val="zh-CN" w:eastAsia="zh-CN"/>
        </w:rPr>
        <w:t>号决定，以及协同防止和打击危险化学品和废物的非法贩运和贸易的</w:t>
      </w:r>
      <w:r w:rsidRPr="009F1B62">
        <w:rPr>
          <w:rFonts w:eastAsia="SimSun"/>
          <w:lang w:val="zh-CN" w:eastAsia="zh-CN"/>
        </w:rPr>
        <w:t>BC-14/24</w:t>
      </w:r>
      <w:r w:rsidRPr="009F1B62">
        <w:rPr>
          <w:rFonts w:eastAsia="SimSun"/>
          <w:lang w:val="zh-CN" w:eastAsia="zh-CN"/>
        </w:rPr>
        <w:t>号决定。</w:t>
      </w:r>
    </w:p>
  </w:footnote>
  <w:footnote w:id="12">
    <w:p w14:paraId="7195F866" w14:textId="77777777" w:rsidR="00F37625" w:rsidRPr="0017351B" w:rsidRDefault="00F37625" w:rsidP="00F37625">
      <w:pPr>
        <w:pStyle w:val="Normal-pool"/>
        <w:spacing w:before="20" w:after="40"/>
        <w:ind w:left="1247"/>
        <w:rPr>
          <w:sz w:val="18"/>
          <w:szCs w:val="18"/>
          <w:lang w:eastAsia="zh-CN"/>
        </w:rPr>
      </w:pPr>
      <w:r w:rsidRPr="009F1B62">
        <w:rPr>
          <w:rFonts w:eastAsia="SimSun"/>
          <w:vertAlign w:val="superscript"/>
          <w:lang w:val="zh-CN"/>
        </w:rPr>
        <w:footnoteRef/>
      </w:r>
      <w:r w:rsidRPr="009F1B62">
        <w:rPr>
          <w:rFonts w:eastAsia="SimSun"/>
          <w:lang w:val="zh-CN" w:eastAsia="zh-CN"/>
        </w:rPr>
        <w:t xml:space="preserve"> </w:t>
      </w:r>
      <w:r w:rsidRPr="009F1B62">
        <w:rPr>
          <w:rFonts w:eastAsia="SimSun"/>
          <w:lang w:val="zh-CN" w:eastAsia="zh-CN"/>
        </w:rPr>
        <w:t>本段仅适用于巴塞尔公约缔约方大会通过的决定。</w:t>
      </w:r>
    </w:p>
  </w:footnote>
  <w:footnote w:id="13">
    <w:p w14:paraId="21674277" w14:textId="77777777" w:rsidR="00F37625" w:rsidRPr="009F1B62" w:rsidRDefault="00F37625" w:rsidP="00F37625">
      <w:pPr>
        <w:pStyle w:val="Normal-pool"/>
        <w:spacing w:before="20" w:after="40"/>
        <w:ind w:left="1247"/>
        <w:rPr>
          <w:rFonts w:eastAsia="SimSun"/>
          <w:lang w:eastAsia="zh-CN"/>
        </w:rPr>
      </w:pPr>
      <w:r w:rsidRPr="009F1B62">
        <w:rPr>
          <w:rFonts w:eastAsia="SimSun"/>
          <w:vertAlign w:val="superscript"/>
          <w:lang w:val="zh-CN"/>
        </w:rPr>
        <w:footnoteRef/>
      </w:r>
      <w:r w:rsidRPr="009F1B62">
        <w:rPr>
          <w:rFonts w:eastAsia="SimSun"/>
          <w:lang w:val="zh-CN" w:eastAsia="zh-CN"/>
        </w:rPr>
        <w:t xml:space="preserve"> </w:t>
      </w:r>
      <w:r w:rsidRPr="009F1B62">
        <w:rPr>
          <w:rFonts w:eastAsia="SimSun"/>
          <w:lang w:val="zh-CN" w:eastAsia="zh-CN"/>
        </w:rPr>
        <w:t>联合国环境规划署和联合国秘书处经济和社会事务部统计司。</w:t>
      </w:r>
    </w:p>
  </w:footnote>
  <w:footnote w:id="14">
    <w:p w14:paraId="116D87CE" w14:textId="77777777" w:rsidR="00F37625" w:rsidRPr="009F1B62" w:rsidRDefault="00F37625" w:rsidP="00F37625">
      <w:pPr>
        <w:pStyle w:val="Normal-pool"/>
        <w:spacing w:before="20" w:after="40"/>
        <w:ind w:left="1247"/>
        <w:rPr>
          <w:rFonts w:eastAsia="SimSun"/>
        </w:rPr>
      </w:pPr>
      <w:r w:rsidRPr="009F1B62">
        <w:rPr>
          <w:rFonts w:eastAsia="SimSun"/>
          <w:vertAlign w:val="superscript"/>
          <w:lang w:val="zh-CN"/>
        </w:rPr>
        <w:footnoteRef/>
      </w:r>
      <w:r w:rsidRPr="009F1B62">
        <w:rPr>
          <w:rFonts w:eastAsia="SimSun"/>
        </w:rPr>
        <w:t xml:space="preserve"> UNEP/CHW.15/INF/66–UNEP/FAO/RC/COP.10/INF/47–UNEP/POPS/COP.10/INF/69</w:t>
      </w:r>
      <w:r w:rsidRPr="009F1B62">
        <w:rPr>
          <w:rFonts w:eastAsia="SimSun"/>
          <w:lang w:val="zh-CN"/>
        </w:rPr>
        <w:t>。</w:t>
      </w:r>
    </w:p>
  </w:footnote>
  <w:footnote w:id="15">
    <w:p w14:paraId="31FFA2A2" w14:textId="77777777" w:rsidR="00F37625" w:rsidRPr="009F1B62" w:rsidRDefault="00F37625" w:rsidP="00F37625">
      <w:pPr>
        <w:pStyle w:val="Normal-pool"/>
        <w:spacing w:before="20" w:after="40"/>
        <w:ind w:left="1247"/>
        <w:rPr>
          <w:rFonts w:eastAsia="SimSun"/>
        </w:rPr>
      </w:pPr>
      <w:r w:rsidRPr="009F1B62">
        <w:rPr>
          <w:rFonts w:eastAsia="SimSun"/>
          <w:vertAlign w:val="superscript"/>
          <w:lang w:val="zh-CN"/>
        </w:rPr>
        <w:footnoteRef/>
      </w:r>
      <w:r w:rsidRPr="009F1B62">
        <w:rPr>
          <w:rFonts w:eastAsia="SimSun"/>
        </w:rPr>
        <w:t xml:space="preserve"> UNEP/CHW.15/INF/44–UNEP/FAO/RC/COP.10/INF/29–UNEP/POPS/COP.10/INF/48</w:t>
      </w:r>
      <w:r w:rsidRPr="009F1B62">
        <w:rPr>
          <w:rFonts w:eastAsia="SimSun"/>
          <w:lang w:val="zh-CN"/>
        </w:rPr>
        <w:t>。</w:t>
      </w:r>
    </w:p>
  </w:footnote>
  <w:footnote w:id="16">
    <w:p w14:paraId="370EEE8E" w14:textId="77777777" w:rsidR="00F37625" w:rsidRPr="009F1B62" w:rsidRDefault="00F37625" w:rsidP="00F37625">
      <w:pPr>
        <w:pStyle w:val="Normal-pool"/>
        <w:spacing w:before="20" w:after="40"/>
        <w:ind w:left="1247"/>
        <w:rPr>
          <w:rFonts w:eastAsia="SimSun"/>
        </w:rPr>
      </w:pPr>
      <w:r w:rsidRPr="009F1B62">
        <w:rPr>
          <w:rFonts w:eastAsia="SimSun"/>
          <w:vertAlign w:val="superscript"/>
          <w:lang w:val="zh-CN"/>
        </w:rPr>
        <w:footnoteRef/>
      </w:r>
      <w:r w:rsidRPr="009F1B62">
        <w:rPr>
          <w:rFonts w:eastAsia="SimSun"/>
        </w:rPr>
        <w:t xml:space="preserve"> UNEP/CHW.15/INF/45–UNEP/FAO/RC/COP.10/INF/27–UNEP/POPS/COP.10/INF/49</w:t>
      </w:r>
      <w:r w:rsidRPr="009F1B62">
        <w:rPr>
          <w:rFonts w:eastAsia="SimSun"/>
          <w:lang w:val="zh-CN"/>
        </w:rPr>
        <w:t>。</w:t>
      </w:r>
    </w:p>
  </w:footnote>
  <w:footnote w:id="17">
    <w:p w14:paraId="52E27EEC" w14:textId="77777777" w:rsidR="00F37625" w:rsidRPr="0017351B" w:rsidRDefault="00F37625" w:rsidP="00F37625">
      <w:pPr>
        <w:pStyle w:val="Normal-pool"/>
        <w:spacing w:before="20" w:after="40"/>
        <w:ind w:left="1247"/>
        <w:rPr>
          <w:sz w:val="18"/>
          <w:szCs w:val="18"/>
        </w:rPr>
      </w:pPr>
      <w:r w:rsidRPr="009F1B62">
        <w:rPr>
          <w:rFonts w:eastAsia="SimSun"/>
          <w:vertAlign w:val="superscript"/>
          <w:lang w:val="zh-CN"/>
        </w:rPr>
        <w:footnoteRef/>
      </w:r>
      <w:r w:rsidRPr="009F1B62">
        <w:rPr>
          <w:rFonts w:eastAsia="SimSun"/>
        </w:rPr>
        <w:t xml:space="preserve"> </w:t>
      </w:r>
      <w:proofErr w:type="spellStart"/>
      <w:r w:rsidRPr="009F1B62">
        <w:rPr>
          <w:rFonts w:eastAsia="SimSun"/>
          <w:lang w:val="zh-CN"/>
        </w:rPr>
        <w:t>同上</w:t>
      </w:r>
      <w:proofErr w:type="spellEnd"/>
      <w:r w:rsidRPr="009F1B62">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6"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7"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EF5A70"/>
    <w:multiLevelType w:val="hybridMultilevel"/>
    <w:tmpl w:val="56CC2AEE"/>
    <w:lvl w:ilvl="0" w:tplc="EAFE9C00">
      <w:start w:val="1"/>
      <w:numFmt w:val="lowerLetter"/>
      <w:lvlText w:val="(%1)"/>
      <w:lvlJc w:val="left"/>
      <w:pPr>
        <w:ind w:left="3216"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abstractNum w:abstractNumId="11"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7"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8"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18"/>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5"/>
  </w:num>
  <w:num w:numId="3" w16cid:durableId="72509173">
    <w:abstractNumId w:val="13"/>
    <w:lvlOverride w:ilvl="0">
      <w:lvl w:ilvl="0" w:tplc="0B82E394">
        <w:start w:val="1"/>
        <w:numFmt w:val="lowerLetter"/>
        <w:lvlText w:val="(%1)"/>
        <w:lvlJc w:val="left"/>
        <w:pPr>
          <w:ind w:left="720" w:hanging="360"/>
        </w:pPr>
      </w:lvl>
    </w:lvlOverride>
  </w:num>
  <w:num w:numId="4" w16cid:durableId="1988391299">
    <w:abstractNumId w:val="15"/>
    <w:lvlOverride w:ilvl="0">
      <w:lvl w:ilvl="0" w:tplc="0B82E394">
        <w:start w:val="1"/>
        <w:numFmt w:val="lowerLetter"/>
        <w:lvlText w:val="(%1)"/>
        <w:lvlJc w:val="left"/>
        <w:pPr>
          <w:ind w:left="720" w:hanging="360"/>
        </w:pPr>
      </w:lvl>
    </w:lvlOverride>
  </w:num>
  <w:num w:numId="5" w16cid:durableId="854733247">
    <w:abstractNumId w:val="3"/>
    <w:lvlOverride w:ilvl="0">
      <w:lvl w:ilvl="0" w:tplc="78B64472">
        <w:start w:val="1"/>
        <w:numFmt w:val="chineseCounting"/>
        <w:lvlText w:val="（%1）"/>
        <w:lvlJc w:val="left"/>
        <w:pPr>
          <w:ind w:left="720" w:hanging="360"/>
        </w:pPr>
        <w:rPr>
          <w:sz w:val="20"/>
          <w:szCs w:val="20"/>
        </w:rPr>
      </w:lvl>
    </w:lvlOverride>
  </w:num>
  <w:num w:numId="6" w16cid:durableId="786967896">
    <w:abstractNumId w:val="8"/>
    <w:lvlOverride w:ilvl="0">
      <w:lvl w:ilvl="0" w:tplc="FFFFFFFF">
        <w:start w:val="1"/>
        <w:numFmt w:val="lowerLetter"/>
        <w:lvlText w:val="(%1)"/>
        <w:lvlJc w:val="left"/>
        <w:pPr>
          <w:ind w:left="720" w:hanging="360"/>
        </w:pPr>
      </w:lvl>
    </w:lvlOverride>
  </w:num>
  <w:num w:numId="7" w16cid:durableId="219444484">
    <w:abstractNumId w:val="7"/>
  </w:num>
  <w:num w:numId="8" w16cid:durableId="63918353">
    <w:abstractNumId w:val="17"/>
    <w:lvlOverride w:ilvl="0">
      <w:lvl w:ilvl="0" w:tplc="F702C356">
        <w:start w:val="1"/>
        <w:numFmt w:val="decimal"/>
        <w:lvlText w:val="%1."/>
        <w:lvlJc w:val="left"/>
        <w:pPr>
          <w:ind w:left="777" w:hanging="360"/>
        </w:pPr>
      </w:lvl>
    </w:lvlOverride>
  </w:num>
  <w:num w:numId="9" w16cid:durableId="1980961195">
    <w:abstractNumId w:val="11"/>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6"/>
    <w:lvlOverride w:ilvl="0">
      <w:lvl w:ilvl="0" w:tplc="0809000F">
        <w:start w:val="1"/>
        <w:numFmt w:val="lowerLetter"/>
        <w:lvlText w:val="(%1)"/>
        <w:lvlJc w:val="left"/>
        <w:pPr>
          <w:ind w:left="1070" w:hanging="360"/>
        </w:pPr>
        <w:rPr>
          <w:rFonts w:hint="default"/>
        </w:rPr>
      </w:lvl>
    </w:lvlOverride>
  </w:num>
  <w:num w:numId="11" w16cid:durableId="1833132637">
    <w:abstractNumId w:val="1"/>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16"/>
    <w:lvlOverride w:ilvl="0">
      <w:lvl w:ilvl="0" w:tplc="F702C356">
        <w:start w:val="1"/>
        <w:numFmt w:val="decimal"/>
        <w:lvlText w:val="%1."/>
        <w:lvlJc w:val="left"/>
        <w:pPr>
          <w:ind w:left="777" w:hanging="360"/>
        </w:pPr>
      </w:lvl>
    </w:lvlOverride>
  </w:num>
  <w:num w:numId="14" w16cid:durableId="38211686">
    <w:abstractNumId w:val="14"/>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12"/>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2"/>
    <w:lvlOverride w:ilvl="0">
      <w:lvl w:ilvl="0" w:tplc="D8D03FBC">
        <w:start w:val="1"/>
        <w:numFmt w:val="upperLetter"/>
        <w:lvlText w:val="%1."/>
        <w:lvlJc w:val="left"/>
        <w:pPr>
          <w:ind w:left="777" w:hanging="360"/>
        </w:pPr>
        <w:rPr>
          <w:rFonts w:hint="default"/>
          <w:b w:val="0"/>
          <w:bCs w:val="0"/>
          <w:i w:val="0"/>
          <w:iCs w:val="0"/>
        </w:rPr>
      </w:lvl>
    </w:lvlOverride>
  </w:num>
  <w:num w:numId="17" w16cid:durableId="352152441">
    <w:abstractNumId w:val="4"/>
    <w:lvlOverride w:ilvl="0">
      <w:lvl w:ilvl="0" w:tplc="41140BC2">
        <w:start w:val="1"/>
        <w:numFmt w:val="decimal"/>
        <w:lvlText w:val="%1."/>
        <w:lvlJc w:val="left"/>
        <w:pPr>
          <w:ind w:left="720" w:hanging="360"/>
        </w:pPr>
        <w:rPr>
          <w:i w:val="0"/>
        </w:rPr>
      </w:lvl>
    </w:lvlOverride>
  </w:num>
  <w:num w:numId="18" w16cid:durableId="1005598212">
    <w:abstractNumId w:val="10"/>
    <w:lvlOverride w:ilvl="0">
      <w:lvl w:ilvl="0" w:tplc="EAFE9C00">
        <w:start w:val="1"/>
        <w:numFmt w:val="lowerLetter"/>
        <w:lvlText w:val="(%1)"/>
        <w:lvlJc w:val="left"/>
        <w:pPr>
          <w:ind w:left="3216" w:hanging="360"/>
        </w:pPr>
        <w:rPr>
          <w:rFonts w:hint="default"/>
        </w:rPr>
      </w:lvl>
    </w:lvlOverride>
  </w:num>
  <w:num w:numId="19" w16cid:durableId="891575585">
    <w:abstractNumId w:val="9"/>
    <w:lvlOverride w:ilvl="0">
      <w:lvl w:ilvl="0" w:tplc="4966447C">
        <w:start w:val="1"/>
        <w:numFmt w:val="decimal"/>
        <w:lvlText w:val="%1."/>
        <w:lvlJc w:val="left"/>
        <w:pPr>
          <w:ind w:left="720" w:hanging="360"/>
        </w:pPr>
        <w:rPr>
          <w:b w:val="0"/>
          <w:bCs/>
          <w:i w:val="0"/>
          <w:iCs w:val="0"/>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016CF2"/>
    <w:rsid w:val="007B3521"/>
    <w:rsid w:val="00836B73"/>
    <w:rsid w:val="00895852"/>
    <w:rsid w:val="00910441"/>
    <w:rsid w:val="00C84536"/>
    <w:rsid w:val="00D62CEE"/>
    <w:rsid w:val="00F3762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2275</Characters>
  <Application>Microsoft Office Word</Application>
  <DocSecurity>0</DocSecurity>
  <Lines>18</Lines>
  <Paragraphs>5</Paragraphs>
  <ScaleCrop>false</ScaleCrop>
  <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2023-04-27T09:10:00Z</dcterms:created>
  <dcterms:modified xsi:type="dcterms:W3CDTF">2023-04-27T09:10:00Z</dcterms:modified>
</cp:coreProperties>
</file>