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EA649" w14:textId="77777777" w:rsidR="00DC63BA" w:rsidRPr="00925B93" w:rsidRDefault="00DC63BA" w:rsidP="00DC63BA">
      <w:pPr>
        <w:suppressAutoHyphens/>
        <w:ind w:left="1247"/>
        <w:rPr>
          <w:rFonts w:eastAsia="Calibri"/>
          <w:b/>
          <w:sz w:val="28"/>
          <w:szCs w:val="28"/>
        </w:rPr>
      </w:pPr>
      <w:r w:rsidRPr="00925B93">
        <w:rPr>
          <w:rFonts w:eastAsia="Calibri"/>
          <w:b/>
          <w:bCs/>
          <w:sz w:val="28"/>
          <w:szCs w:val="28"/>
        </w:rPr>
        <w:t>БК-15/25: Сотрудничество и координация с другими организациями</w:t>
      </w:r>
    </w:p>
    <w:p w14:paraId="726DF24B" w14:textId="77777777" w:rsidR="00DC63BA" w:rsidRPr="00925B93" w:rsidRDefault="00DC63BA" w:rsidP="00DC63BA">
      <w:pPr>
        <w:ind w:left="1247" w:firstLine="624"/>
        <w:rPr>
          <w:rFonts w:eastAsia="Calibri"/>
          <w:i/>
          <w:lang w:val="en-US"/>
        </w:rPr>
      </w:pPr>
      <w:r w:rsidRPr="00925B93">
        <w:rPr>
          <w:rFonts w:eastAsia="Calibri"/>
          <w:i/>
          <w:iCs/>
        </w:rPr>
        <w:t>Конференция Сторон,</w:t>
      </w:r>
    </w:p>
    <w:p w14:paraId="7EF514CA" w14:textId="77777777" w:rsidR="00DC63BA" w:rsidRPr="00925B93" w:rsidRDefault="00DC63BA">
      <w:pPr>
        <w:numPr>
          <w:ilvl w:val="0"/>
          <w:numId w:val="6"/>
        </w:numPr>
        <w:ind w:left="1247" w:firstLine="624"/>
        <w:rPr>
          <w:rFonts w:eastAsia="Calibri"/>
        </w:rPr>
      </w:pPr>
      <w:r w:rsidRPr="00925B93">
        <w:rPr>
          <w:rFonts w:eastAsia="Calibri"/>
          <w:i/>
          <w:iCs/>
        </w:rPr>
        <w:t>принимает к сведению</w:t>
      </w:r>
      <w:r w:rsidRPr="00925B93">
        <w:rPr>
          <w:rFonts w:eastAsia="Calibri"/>
        </w:rPr>
        <w:t xml:space="preserve"> решения Конференции Сторон Базельской конвенции о контроле за трансграничной перевозкой опасных отходов и их удалением, принятые в ходе четырнадцатого совещания, в отношении отходов пластмасс, включая морской пластиковый мусор и микрочастицы пластмасс</w:t>
      </w:r>
      <w:r w:rsidRPr="00925B93">
        <w:rPr>
          <w:rFonts w:eastAsia="Calibri"/>
          <w:vertAlign w:val="superscript"/>
        </w:rPr>
        <w:footnoteReference w:id="1"/>
      </w:r>
      <w:r w:rsidRPr="00925B93">
        <w:rPr>
          <w:rFonts w:eastAsia="Calibri"/>
          <w:vertAlign w:val="superscript"/>
        </w:rPr>
        <w:t>,</w:t>
      </w:r>
      <w:r>
        <w:rPr>
          <w:rFonts w:eastAsia="Calibri"/>
          <w:vertAlign w:val="superscript"/>
        </w:rPr>
        <w:t xml:space="preserve"> </w:t>
      </w:r>
      <w:r w:rsidRPr="00925B93">
        <w:rPr>
          <w:rFonts w:eastAsia="Calibri"/>
          <w:vertAlign w:val="superscript"/>
        </w:rPr>
        <w:footnoteReference w:id="2"/>
      </w:r>
      <w:r w:rsidRPr="00925B93">
        <w:rPr>
          <w:rFonts w:eastAsia="Calibri"/>
        </w:rPr>
        <w:t>, доклад секретариата о международном сотрудничестве и координации за период с 1 января 2019 года по 31 декабря 2021 года</w:t>
      </w:r>
      <w:r w:rsidRPr="00925B93">
        <w:rPr>
          <w:rFonts w:eastAsia="Calibri"/>
          <w:vertAlign w:val="superscript"/>
        </w:rPr>
        <w:footnoteReference w:id="3"/>
      </w:r>
      <w:r w:rsidRPr="00925B93">
        <w:rPr>
          <w:rFonts w:eastAsia="Calibri"/>
        </w:rPr>
        <w:t>, обновленную информацию секретариата Стратегического подхода к международному регулированию химических веществ о межсессионном процессе рассмотрения Стратегического подхода и рационального регулирования химических веществ и отходов после 2020 года</w:t>
      </w:r>
      <w:r w:rsidRPr="00925B93">
        <w:rPr>
          <w:rFonts w:eastAsia="Calibri"/>
          <w:vertAlign w:val="superscript"/>
        </w:rPr>
        <w:footnoteReference w:id="4"/>
      </w:r>
      <w:r w:rsidRPr="00925B93">
        <w:rPr>
          <w:rFonts w:eastAsia="Calibri"/>
        </w:rPr>
        <w:t>, а также информацию о мероприятиях, осуществляемых Программой Организации Объединенных Наций по окружающей среде по программным вопросам, имеющим отношение к Базельской конвенции,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r w:rsidRPr="00925B93">
        <w:rPr>
          <w:rFonts w:eastAsia="Calibri"/>
          <w:vertAlign w:val="superscript"/>
        </w:rPr>
        <w:footnoteReference w:id="5"/>
      </w:r>
      <w:r w:rsidRPr="00925B93">
        <w:rPr>
          <w:rFonts w:eastAsia="Calibri"/>
        </w:rPr>
        <w:t xml:space="preserve">; </w:t>
      </w:r>
    </w:p>
    <w:p w14:paraId="1B2B78CE" w14:textId="77777777" w:rsidR="00DC63BA" w:rsidRPr="00925B93" w:rsidRDefault="00DC63BA">
      <w:pPr>
        <w:numPr>
          <w:ilvl w:val="0"/>
          <w:numId w:val="6"/>
        </w:numPr>
        <w:ind w:left="1247" w:firstLine="624"/>
        <w:rPr>
          <w:rFonts w:eastAsia="Calibri"/>
        </w:rPr>
      </w:pPr>
      <w:r w:rsidRPr="00925B93">
        <w:rPr>
          <w:rFonts w:eastAsia="Calibri"/>
          <w:i/>
          <w:iCs/>
        </w:rPr>
        <w:t>приветствует</w:t>
      </w:r>
      <w:r w:rsidRPr="00925B93">
        <w:rPr>
          <w:rFonts w:eastAsia="Calibri"/>
        </w:rPr>
        <w:t xml:space="preserve"> соответствующие резолюции, принятые Ассамблеей Организации Объединенных Наций по окружающей среде Программы Организации Объединенных Наций по окружающей среде на ее пятой сессии, включая резолюцию 5/14 «Прекратим загрязнение пластиком: за имеющий обязательную юридическую силу международный договор»</w:t>
      </w:r>
      <w:r w:rsidRPr="00925B93">
        <w:rPr>
          <w:rFonts w:eastAsia="Calibri"/>
          <w:vertAlign w:val="superscript"/>
        </w:rPr>
        <w:footnoteReference w:id="6"/>
      </w:r>
      <w:r w:rsidRPr="00925B93">
        <w:rPr>
          <w:rFonts w:eastAsia="Calibri"/>
        </w:rPr>
        <w:t>; резолюцию 5/7 «Рациональное регулирование химических веществ и отходов»</w:t>
      </w:r>
      <w:r w:rsidRPr="00925B93">
        <w:rPr>
          <w:rFonts w:eastAsia="Calibri"/>
          <w:vertAlign w:val="superscript"/>
        </w:rPr>
        <w:footnoteReference w:id="7"/>
      </w:r>
      <w:r w:rsidRPr="00925B93">
        <w:rPr>
          <w:rFonts w:eastAsia="Calibri"/>
        </w:rPr>
        <w:t>; и резолюцию</w:t>
      </w:r>
      <w:r>
        <w:rPr>
          <w:rFonts w:eastAsia="Calibri"/>
        </w:rPr>
        <w:t> </w:t>
      </w:r>
      <w:r w:rsidRPr="00925B93">
        <w:rPr>
          <w:rFonts w:eastAsia="Calibri"/>
        </w:rPr>
        <w:t>5/8 «Группа по вопросам научно-политического взаимодействия для дальнейшего содействия рациональному регулированию химических веществ и отходов и для предотвращения загрязнения»</w:t>
      </w:r>
      <w:r w:rsidRPr="00925B93">
        <w:rPr>
          <w:rFonts w:eastAsia="Calibri"/>
          <w:vertAlign w:val="superscript"/>
        </w:rPr>
        <w:footnoteReference w:id="8"/>
      </w:r>
      <w:r w:rsidRPr="00925B93">
        <w:rPr>
          <w:rFonts w:eastAsia="Calibri"/>
        </w:rPr>
        <w:t>; и отмечает значительные экспертные знания, имеющиеся в рамках секретариата и среди Сторон Базельской, Роттердамской и Стокгольмской конвенций в отношении этих вопросов;</w:t>
      </w:r>
    </w:p>
    <w:p w14:paraId="6DC62E35" w14:textId="77777777" w:rsidR="00DC63BA" w:rsidRPr="00925B93" w:rsidRDefault="00DC63BA">
      <w:pPr>
        <w:numPr>
          <w:ilvl w:val="0"/>
          <w:numId w:val="6"/>
        </w:numPr>
        <w:ind w:left="1247" w:firstLine="624"/>
        <w:rPr>
          <w:rFonts w:eastAsia="Calibri"/>
        </w:rPr>
      </w:pPr>
      <w:r w:rsidRPr="00925B93">
        <w:rPr>
          <w:rFonts w:eastAsia="Calibri"/>
          <w:i/>
          <w:iCs/>
        </w:rPr>
        <w:t>приветствует также</w:t>
      </w:r>
      <w:r w:rsidRPr="00925B93">
        <w:rPr>
          <w:rFonts w:eastAsia="Calibri"/>
        </w:rPr>
        <w:t xml:space="preserve"> политическую декларацию специальной сессии Ассамблеи Организации Объединенных Наций по окружающей среде в ознаменование пятидесятой годовщины создания Программы Организации Объединенных Наций по окружающей среде</w:t>
      </w:r>
      <w:r w:rsidRPr="00925B93">
        <w:rPr>
          <w:rFonts w:eastAsia="Calibri"/>
          <w:vertAlign w:val="superscript"/>
        </w:rPr>
        <w:footnoteReference w:id="9"/>
      </w:r>
      <w:r w:rsidRPr="00925B93">
        <w:rPr>
          <w:rFonts w:eastAsia="Calibri"/>
        </w:rPr>
        <w:t>;</w:t>
      </w:r>
    </w:p>
    <w:p w14:paraId="66E78A02" w14:textId="77777777" w:rsidR="00DC63BA" w:rsidRPr="00925B93" w:rsidRDefault="00DC63BA">
      <w:pPr>
        <w:numPr>
          <w:ilvl w:val="0"/>
          <w:numId w:val="6"/>
        </w:numPr>
        <w:ind w:left="1247" w:firstLine="624"/>
        <w:rPr>
          <w:rFonts w:eastAsia="Calibri"/>
        </w:rPr>
      </w:pPr>
      <w:r w:rsidRPr="00925B93">
        <w:rPr>
          <w:rFonts w:eastAsia="Calibri"/>
          <w:i/>
          <w:iCs/>
        </w:rPr>
        <w:t>поручает</w:t>
      </w:r>
      <w:r w:rsidRPr="00925B93">
        <w:rPr>
          <w:rFonts w:eastAsia="Calibri"/>
        </w:rPr>
        <w:t xml:space="preserve"> Исполнительному секретарю принять участие в работе самого межправительственного комитета по ведению переговоров, о котором говорится в пункте 1 резолюции 5/14 Ассамблеи по окружающей среде, и тесно сотрудничать и координировать свои действия с Директором-исполнителем Программы Организации Объединенных Наций по окружающей среде в контексте мандата межправительственного комитета по ведению переговоров; и предлагает Сторонам, участвующим в работе межправительственного комитета по ведению переговоров, обеспечить, чтобы имеющий обязательную юридическую силу международный договор полностью соответствовал Базельской, Роттердамской и Стокгольмской конвенциям и дополнял их, избегал дублирования мер, предусмотренных в соответствующих положениях этих конвенций, и способствовал сотрудничеству и координации с этими конвенциями, а также обеспечить, чтобы экспертные знания, имеющиеся у секретариата и Сторон, и опыт, накопленный при осуществлении этих </w:t>
      </w:r>
      <w:r w:rsidRPr="00925B93">
        <w:rPr>
          <w:rFonts w:eastAsia="Calibri"/>
        </w:rPr>
        <w:lastRenderedPageBreak/>
        <w:t>конвенций, предоставлялись в полной мере межправительственному комитету по ведению переговоров для оказания содействия в его обсуждениях;</w:t>
      </w:r>
      <w:bookmarkStart w:id="0" w:name="_Hlk98012012"/>
      <w:bookmarkEnd w:id="0"/>
    </w:p>
    <w:p w14:paraId="5BA65826" w14:textId="77777777" w:rsidR="00DC63BA" w:rsidRPr="00925B93" w:rsidRDefault="00DC63BA">
      <w:pPr>
        <w:numPr>
          <w:ilvl w:val="0"/>
          <w:numId w:val="6"/>
        </w:numPr>
        <w:ind w:left="1247" w:firstLine="624"/>
        <w:rPr>
          <w:rFonts w:eastAsia="Calibri"/>
        </w:rPr>
      </w:pPr>
      <w:r w:rsidRPr="00057488">
        <w:rPr>
          <w:rFonts w:eastAsia="Calibri"/>
          <w:i/>
          <w:iCs/>
        </w:rPr>
        <w:t>призывает</w:t>
      </w:r>
      <w:r w:rsidRPr="00925B93">
        <w:rPr>
          <w:rFonts w:eastAsia="Calibri"/>
        </w:rPr>
        <w:t xml:space="preserve"> региональные центры Базельской и Стокгольмской конвенций участвовать в работе межправительственного комитета по ведению переговоров и делиться своими экспертными знаниями;</w:t>
      </w:r>
    </w:p>
    <w:p w14:paraId="17909973" w14:textId="77777777" w:rsidR="00DC63BA" w:rsidRPr="00925B93" w:rsidRDefault="00DC63BA">
      <w:pPr>
        <w:numPr>
          <w:ilvl w:val="0"/>
          <w:numId w:val="6"/>
        </w:numPr>
        <w:ind w:left="1247" w:firstLine="624"/>
        <w:rPr>
          <w:rFonts w:eastAsia="Calibri"/>
          <w:b/>
          <w:strike/>
        </w:rPr>
      </w:pPr>
      <w:r w:rsidRPr="00925B93">
        <w:rPr>
          <w:rFonts w:eastAsia="Calibri"/>
          <w:i/>
          <w:iCs/>
        </w:rPr>
        <w:t>поручает</w:t>
      </w:r>
      <w:r w:rsidRPr="00925B93">
        <w:rPr>
          <w:rFonts w:eastAsia="Calibri"/>
        </w:rPr>
        <w:t xml:space="preserve"> Исполнительному секретарю принять участие в работе специальной рабочей группы открытого состава, о которой говорится в пункте 4 резолюции 5/8 Ассамблеи по окружающей среде, содействовать подготовке предложений для группы по вопросам научно-политического взаимодействия, о которой говорится в пункте 1 этой резолюции, и тесно сотрудничать с Директором-исполнителем Программы Организации Объединенных Наций по окружающей среде в рамках мандата группы по вопросам научно-политического взаимодействия; предлагает Сторонам, участвующим в работе специальной рабочей группы открытого состава, стимулировать координацию и сотрудничество; содействовать тому, чтобы группа выполняла работу, которая дополняет, но не дублирует работу конвенций; чтобы группа при необходимости тесно сотрудничала с органами по вопросам научно-политического взаимодействия в рамках конвенций</w:t>
      </w:r>
      <w:r w:rsidRPr="00925B93">
        <w:rPr>
          <w:rFonts w:eastAsia="Calibri"/>
          <w:vertAlign w:val="superscript"/>
        </w:rPr>
        <w:footnoteReference w:id="10"/>
      </w:r>
      <w:r w:rsidRPr="00925B93">
        <w:rPr>
          <w:rFonts w:eastAsia="Calibri"/>
        </w:rPr>
        <w:t>; и чтобы обширный опыт в деле содействия рациональному регулированию химических веществ и отходов на основании научных знаний предоставлялся в распоряжение специальной рабочей группы открытого состава;</w:t>
      </w:r>
    </w:p>
    <w:p w14:paraId="215B9CFB" w14:textId="77777777" w:rsidR="00DC63BA" w:rsidRPr="00925B93" w:rsidRDefault="00DC63BA">
      <w:pPr>
        <w:numPr>
          <w:ilvl w:val="0"/>
          <w:numId w:val="6"/>
        </w:numPr>
        <w:ind w:left="1247" w:firstLine="624"/>
        <w:rPr>
          <w:rFonts w:eastAsia="Calibri"/>
        </w:rPr>
      </w:pPr>
      <w:r w:rsidRPr="00925B93">
        <w:rPr>
          <w:rFonts w:eastAsia="Calibri"/>
          <w:i/>
          <w:iCs/>
        </w:rPr>
        <w:t>отмечает</w:t>
      </w:r>
      <w:r w:rsidRPr="00925B93">
        <w:rPr>
          <w:rFonts w:eastAsia="Calibri"/>
        </w:rPr>
        <w:t>, что в пункте 3 ее резолюции 5/7 «Рациональное регулирование химических веществ и отходов» Ассамблея Организации Объединенных Наций по окружающей среде предлагает Конференции Сторон Базельской конвенции продолжать рассмотрение вопроса об увеличении объемов незаконных трансграничных перевозок опасных отходов и других отходов, о которых сообщают развивающиеся страны, и обращает внимание на соответствующие решения, принятые на предыдущих совещаниях Конференции Сторон и на настоящем совещании</w:t>
      </w:r>
      <w:r w:rsidRPr="00925B93">
        <w:rPr>
          <w:rFonts w:eastAsia="Calibri"/>
          <w:vertAlign w:val="superscript"/>
        </w:rPr>
        <w:footnoteReference w:id="11"/>
      </w:r>
      <w:r w:rsidRPr="00925B93">
        <w:rPr>
          <w:rFonts w:eastAsia="Calibri"/>
          <w:vertAlign w:val="superscript"/>
        </w:rPr>
        <w:t>,</w:t>
      </w:r>
      <w:r>
        <w:rPr>
          <w:rFonts w:eastAsia="Calibri"/>
          <w:vertAlign w:val="superscript"/>
        </w:rPr>
        <w:t xml:space="preserve"> </w:t>
      </w:r>
      <w:r w:rsidRPr="00925B93">
        <w:rPr>
          <w:rFonts w:eastAsia="Calibri"/>
          <w:vertAlign w:val="superscript"/>
        </w:rPr>
        <w:footnoteReference w:id="12"/>
      </w:r>
      <w:r w:rsidRPr="00925B93">
        <w:rPr>
          <w:rFonts w:eastAsia="Calibri"/>
        </w:rPr>
        <w:t>;</w:t>
      </w:r>
    </w:p>
    <w:p w14:paraId="52A2189B" w14:textId="77777777" w:rsidR="00DC63BA" w:rsidRPr="00925B93" w:rsidRDefault="00DC63BA">
      <w:pPr>
        <w:numPr>
          <w:ilvl w:val="0"/>
          <w:numId w:val="6"/>
        </w:numPr>
        <w:ind w:left="1247" w:firstLine="624"/>
        <w:rPr>
          <w:rFonts w:eastAsia="Calibri"/>
        </w:rPr>
      </w:pPr>
      <w:r w:rsidRPr="00925B93">
        <w:rPr>
          <w:rFonts w:eastAsia="Calibri"/>
          <w:i/>
          <w:iCs/>
        </w:rPr>
        <w:t>поручает</w:t>
      </w:r>
      <w:r w:rsidRPr="00925B93">
        <w:rPr>
          <w:rFonts w:eastAsia="Calibri"/>
        </w:rPr>
        <w:t xml:space="preserve"> Исполнительному секретарю сотрудничать с Директором</w:t>
      </w:r>
      <w:r>
        <w:rPr>
          <w:rFonts w:eastAsia="Calibri"/>
        </w:rPr>
        <w:noBreakHyphen/>
      </w:r>
      <w:r w:rsidRPr="00925B93">
        <w:rPr>
          <w:rFonts w:eastAsia="Calibri"/>
        </w:rPr>
        <w:t xml:space="preserve">исполнителем Программы Организации Объединенных Наций по окружающей среде в деле содействия выполнению резолюций Ассамблеи по окружающей среде, касающихся Базельской, Роттердамской и Стокгольмской конвенций; </w:t>
      </w:r>
    </w:p>
    <w:p w14:paraId="2F96E0D4" w14:textId="77777777" w:rsidR="00DC63BA" w:rsidRPr="00925B93" w:rsidRDefault="00DC63BA">
      <w:pPr>
        <w:numPr>
          <w:ilvl w:val="0"/>
          <w:numId w:val="6"/>
        </w:numPr>
        <w:ind w:left="1247" w:firstLine="624"/>
        <w:rPr>
          <w:rFonts w:eastAsia="Calibri"/>
          <w:color w:val="000000"/>
        </w:rPr>
      </w:pPr>
      <w:r w:rsidRPr="00925B93">
        <w:rPr>
          <w:rFonts w:eastAsia="Calibri"/>
          <w:i/>
          <w:iCs/>
        </w:rPr>
        <w:t>напоминает</w:t>
      </w:r>
      <w:r w:rsidRPr="00925B93">
        <w:rPr>
          <w:rFonts w:eastAsia="Calibri"/>
        </w:rPr>
        <w:t xml:space="preserve"> о положениях о программном сотрудничестве, содержащихся в принятых в 2019 году меморандумах о взаимопонимании между соответствующими конференциями Сторон Базельской конвенции,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и Директором-исполнителем Программы Организации Объединенных Наций по окружающей среде, а также, в случае Роттердамской конвенции, Генеральным директором Продовольственной и сельскохозяйственной организации Объединенных Наций;</w:t>
      </w:r>
    </w:p>
    <w:p w14:paraId="4A3BFBC8" w14:textId="77777777" w:rsidR="00DC63BA" w:rsidRPr="00925B93" w:rsidRDefault="00DC63BA">
      <w:pPr>
        <w:numPr>
          <w:ilvl w:val="0"/>
          <w:numId w:val="6"/>
        </w:numPr>
        <w:ind w:left="1247" w:firstLine="624"/>
        <w:rPr>
          <w:rFonts w:eastAsia="Calibri"/>
          <w:color w:val="000000"/>
        </w:rPr>
      </w:pPr>
      <w:r w:rsidRPr="00925B93">
        <w:rPr>
          <w:rFonts w:eastAsia="Calibri"/>
          <w:i/>
          <w:iCs/>
        </w:rPr>
        <w:t xml:space="preserve">с удовлетворением отмечает </w:t>
      </w:r>
      <w:r w:rsidRPr="00925B93">
        <w:rPr>
          <w:rFonts w:eastAsia="Calibri"/>
        </w:rPr>
        <w:t xml:space="preserve">программное сотрудничество между секретариатом, Программой Организации Объединенных Наций по окружающей среде и Продовольственной и сельскохозяйственной организацией Объединенных Наций по программным вопросам, представляющим взаимный интерес; </w:t>
      </w:r>
    </w:p>
    <w:p w14:paraId="7A370E88" w14:textId="77777777" w:rsidR="00DC63BA" w:rsidRPr="00925B93" w:rsidRDefault="00DC63BA">
      <w:pPr>
        <w:numPr>
          <w:ilvl w:val="0"/>
          <w:numId w:val="6"/>
        </w:numPr>
        <w:ind w:left="1247" w:firstLine="624"/>
        <w:rPr>
          <w:rFonts w:eastAsia="Calibri"/>
          <w:color w:val="000000"/>
        </w:rPr>
      </w:pPr>
      <w:r w:rsidRPr="00925B93">
        <w:rPr>
          <w:rFonts w:eastAsia="Calibri"/>
          <w:i/>
          <w:iCs/>
        </w:rPr>
        <w:lastRenderedPageBreak/>
        <w:t>поручает</w:t>
      </w:r>
      <w:r w:rsidRPr="00925B93">
        <w:rPr>
          <w:rFonts w:eastAsia="Calibri"/>
        </w:rPr>
        <w:t xml:space="preserve"> секретариату, при условии наличия ресурсов, продолжать прилагать усилия в части программного сотрудничества;</w:t>
      </w:r>
    </w:p>
    <w:p w14:paraId="2D35604F" w14:textId="77777777" w:rsidR="00DC63BA" w:rsidRPr="00925B93" w:rsidRDefault="00DC63BA">
      <w:pPr>
        <w:numPr>
          <w:ilvl w:val="0"/>
          <w:numId w:val="6"/>
        </w:numPr>
        <w:ind w:left="1247" w:firstLine="624"/>
        <w:rPr>
          <w:rFonts w:eastAsia="Calibri"/>
          <w:color w:val="000000"/>
        </w:rPr>
      </w:pPr>
      <w:r w:rsidRPr="00925B93">
        <w:rPr>
          <w:rFonts w:eastAsia="Calibri"/>
          <w:i/>
          <w:iCs/>
        </w:rPr>
        <w:t>отмечает</w:t>
      </w:r>
      <w:r w:rsidRPr="00925B93">
        <w:rPr>
          <w:rFonts w:eastAsia="Calibri"/>
        </w:rPr>
        <w:t xml:space="preserve"> прогресс, достигнутый в создании и обеспечении функционирования Коалиции по борьбе с электронными отходами;</w:t>
      </w:r>
    </w:p>
    <w:p w14:paraId="73BC7590" w14:textId="77777777" w:rsidR="00DC63BA" w:rsidRPr="00925B93" w:rsidRDefault="00DC63BA">
      <w:pPr>
        <w:numPr>
          <w:ilvl w:val="0"/>
          <w:numId w:val="6"/>
        </w:numPr>
        <w:ind w:left="1247" w:firstLine="624"/>
        <w:rPr>
          <w:rFonts w:eastAsia="Calibri"/>
          <w:color w:val="000000"/>
        </w:rPr>
      </w:pPr>
      <w:r w:rsidRPr="00925B93">
        <w:rPr>
          <w:rFonts w:eastAsia="Calibri"/>
          <w:i/>
          <w:iCs/>
        </w:rPr>
        <w:t>с озабоченностью отмечает</w:t>
      </w:r>
      <w:r w:rsidRPr="00925B93">
        <w:rPr>
          <w:rFonts w:eastAsia="Calibri"/>
        </w:rPr>
        <w:t xml:space="preserve">, что Базельская, Роттердамская и Стокгольмская конвенции еще не стали организациями – участниками Межорганизационной программы по рациональному регулированию химических веществ; </w:t>
      </w:r>
    </w:p>
    <w:p w14:paraId="1FF6FE5D" w14:textId="77777777" w:rsidR="00DC63BA" w:rsidRPr="00925B93" w:rsidRDefault="00DC63BA">
      <w:pPr>
        <w:numPr>
          <w:ilvl w:val="0"/>
          <w:numId w:val="6"/>
        </w:numPr>
        <w:ind w:left="1247" w:firstLine="624"/>
        <w:rPr>
          <w:rFonts w:eastAsia="Calibri"/>
          <w:bCs/>
          <w:color w:val="000000"/>
        </w:rPr>
      </w:pPr>
      <w:r w:rsidRPr="00925B93">
        <w:rPr>
          <w:rFonts w:eastAsia="Calibri"/>
          <w:i/>
          <w:iCs/>
        </w:rPr>
        <w:t>настоятельно призывает</w:t>
      </w:r>
      <w:r w:rsidRPr="00925B93">
        <w:rPr>
          <w:rFonts w:eastAsia="Calibri"/>
        </w:rPr>
        <w:t xml:space="preserve"> Продовольственную и сельскохозяйственную организацию Объединенных Наций ответить на запрос Межорганизационной программы по рациональному регулированию химических веществ, чтобы процесс рассмотрения вопроса о членстве Базельской, Роттердамской и Стокгольмской конвенций мог быть завершен; </w:t>
      </w:r>
    </w:p>
    <w:p w14:paraId="618902BC" w14:textId="77777777" w:rsidR="00DC63BA" w:rsidRPr="00925B93" w:rsidRDefault="00DC63BA">
      <w:pPr>
        <w:numPr>
          <w:ilvl w:val="0"/>
          <w:numId w:val="6"/>
        </w:numPr>
        <w:ind w:left="1247" w:firstLine="624"/>
        <w:rPr>
          <w:rFonts w:eastAsia="Calibri"/>
          <w:color w:val="000000"/>
        </w:rPr>
      </w:pPr>
      <w:r w:rsidRPr="00925B93">
        <w:rPr>
          <w:rFonts w:eastAsia="Calibri"/>
          <w:i/>
          <w:iCs/>
        </w:rPr>
        <w:t xml:space="preserve">с удовлетворением отмечает </w:t>
      </w:r>
      <w:r w:rsidRPr="00925B93">
        <w:rPr>
          <w:rFonts w:eastAsia="Calibri"/>
        </w:rPr>
        <w:t>поддержку Программой Организации Объединенных Наций по окружающей среде полномасштабного участия конвенций в Межорганизационной программе по рациональному регулированию химических веществ;</w:t>
      </w:r>
    </w:p>
    <w:p w14:paraId="603AD50A" w14:textId="77777777" w:rsidR="00DC63BA" w:rsidRPr="00925B93" w:rsidRDefault="00DC63BA">
      <w:pPr>
        <w:numPr>
          <w:ilvl w:val="0"/>
          <w:numId w:val="6"/>
        </w:numPr>
        <w:ind w:left="1247" w:firstLine="624"/>
        <w:rPr>
          <w:rFonts w:eastAsia="Calibri"/>
          <w:color w:val="000000"/>
        </w:rPr>
      </w:pPr>
      <w:r w:rsidRPr="00925B93">
        <w:rPr>
          <w:rFonts w:eastAsia="Calibri"/>
          <w:i/>
          <w:iCs/>
        </w:rPr>
        <w:t>предлагает</w:t>
      </w:r>
      <w:r w:rsidRPr="00925B93">
        <w:rPr>
          <w:rFonts w:eastAsia="Calibri"/>
        </w:rPr>
        <w:t xml:space="preserve"> Межорганизационному координационному комитету Межорганизационной программы по рациональному регулированию химических веществ в кратчайшие сроки ответить на запрос о включении Базельской, Роттердамской и Стокгольмской конвенций в состав организаций – участников Программы;</w:t>
      </w:r>
    </w:p>
    <w:p w14:paraId="4C0BCC4E" w14:textId="77777777" w:rsidR="00DC63BA" w:rsidRPr="00925B93" w:rsidRDefault="00DC63BA">
      <w:pPr>
        <w:numPr>
          <w:ilvl w:val="0"/>
          <w:numId w:val="6"/>
        </w:numPr>
        <w:ind w:left="1247" w:firstLine="624"/>
        <w:rPr>
          <w:rFonts w:eastAsia="Calibri"/>
          <w:color w:val="000000"/>
        </w:rPr>
      </w:pPr>
      <w:r w:rsidRPr="00925B93">
        <w:rPr>
          <w:rFonts w:eastAsia="Calibri"/>
          <w:i/>
          <w:iCs/>
        </w:rPr>
        <w:t xml:space="preserve">поручает </w:t>
      </w:r>
      <w:r w:rsidRPr="00925B93">
        <w:rPr>
          <w:rFonts w:eastAsia="Calibri"/>
        </w:rPr>
        <w:t xml:space="preserve">Исполнительному секретарю продолжать принимать необходимые меры для обеспечения членства и участия в Межорганизационной программе по рациональному регулированию химических веществ; </w:t>
      </w:r>
    </w:p>
    <w:p w14:paraId="7BA9A6D9" w14:textId="77777777" w:rsidR="00DC63BA" w:rsidRPr="00925B93" w:rsidRDefault="00DC63BA">
      <w:pPr>
        <w:numPr>
          <w:ilvl w:val="0"/>
          <w:numId w:val="6"/>
        </w:numPr>
        <w:ind w:left="1247" w:firstLine="624"/>
        <w:rPr>
          <w:rFonts w:eastAsia="Calibri"/>
        </w:rPr>
      </w:pPr>
      <w:bookmarkStart w:id="1" w:name="_Hlk61529728"/>
      <w:r w:rsidRPr="00925B93">
        <w:rPr>
          <w:rFonts w:eastAsia="Calibri"/>
          <w:i/>
          <w:iCs/>
        </w:rPr>
        <w:t xml:space="preserve">вновь подтверждает </w:t>
      </w:r>
      <w:r w:rsidRPr="00925B93">
        <w:rPr>
          <w:rFonts w:eastAsia="Calibri"/>
        </w:rPr>
        <w:t>поручения секретариату, содержащиеся в пунктах 6 a)-c) решений БК-14/21, РК-9/9 и СК-9/19, продолжать сотрудничать с соответствующими организациями в разработке методологий для показателей целей в области устойчивого развития, имеющих отношение к конвенциям;</w:t>
      </w:r>
      <w:bookmarkStart w:id="2" w:name="_Hlk64542984"/>
    </w:p>
    <w:p w14:paraId="3672BCDB" w14:textId="77777777" w:rsidR="00DC63BA" w:rsidRPr="00925B93" w:rsidRDefault="00DC63BA">
      <w:pPr>
        <w:numPr>
          <w:ilvl w:val="0"/>
          <w:numId w:val="6"/>
        </w:numPr>
        <w:ind w:left="1247" w:firstLine="624"/>
        <w:rPr>
          <w:rFonts w:eastAsia="Calibri"/>
        </w:rPr>
      </w:pPr>
      <w:r w:rsidRPr="00925B93">
        <w:rPr>
          <w:rFonts w:eastAsia="Calibri"/>
          <w:i/>
          <w:iCs/>
        </w:rPr>
        <w:t>поручает</w:t>
      </w:r>
      <w:r w:rsidRPr="00925B93">
        <w:rPr>
          <w:rFonts w:eastAsia="Calibri"/>
        </w:rPr>
        <w:t xml:space="preserve"> секретариату и предлагает соответствующим ответственным учреждениям укреплять сотрудничество для обеспечения надлежащей связи между системой представления сведений в рамках Базельской конвенции и системой представления информации о достижении целей в области устойчивого развития, включая общую терминологию для обеспечения обмена данными</w:t>
      </w:r>
      <w:r w:rsidRPr="00925B93">
        <w:rPr>
          <w:rFonts w:eastAsia="Calibri"/>
          <w:vertAlign w:val="superscript"/>
        </w:rPr>
        <w:footnoteReference w:id="13"/>
      </w:r>
      <w:r w:rsidRPr="00925B93">
        <w:rPr>
          <w:rFonts w:eastAsia="Calibri"/>
        </w:rPr>
        <w:t>;</w:t>
      </w:r>
      <w:bookmarkEnd w:id="2"/>
    </w:p>
    <w:p w14:paraId="6AC3F84B" w14:textId="77777777" w:rsidR="00DC63BA" w:rsidRPr="00925B93" w:rsidRDefault="00DC63BA">
      <w:pPr>
        <w:numPr>
          <w:ilvl w:val="0"/>
          <w:numId w:val="6"/>
        </w:numPr>
        <w:ind w:left="1247" w:firstLine="624"/>
        <w:rPr>
          <w:rFonts w:eastAsia="Calibri"/>
        </w:rPr>
      </w:pPr>
      <w:r w:rsidRPr="00925B93">
        <w:rPr>
          <w:rFonts w:eastAsia="Calibri"/>
          <w:i/>
          <w:iCs/>
        </w:rPr>
        <w:t>признает</w:t>
      </w:r>
      <w:r w:rsidRPr="00925B93">
        <w:rPr>
          <w:rFonts w:eastAsia="Calibri"/>
        </w:rPr>
        <w:t xml:space="preserve"> неразрывную связь между здоровьем человека и окружающей средой и координирующую роль Всемирной организации здравоохранения в вопросах здравоохранения, а также отмечает важность продолжения деятельности Всемирной организации здравоохранения в контексте разработанного этой организацией плана действий в отношении химических веществ и ее глобальной стратегии в области здравоохранения, окружающей среды и изменения климата;</w:t>
      </w:r>
    </w:p>
    <w:bookmarkEnd w:id="1"/>
    <w:p w14:paraId="7B19542C" w14:textId="77777777" w:rsidR="00DC63BA" w:rsidRPr="00925B93" w:rsidRDefault="00DC63BA">
      <w:pPr>
        <w:numPr>
          <w:ilvl w:val="0"/>
          <w:numId w:val="6"/>
        </w:numPr>
        <w:ind w:left="1247" w:firstLine="624"/>
        <w:rPr>
          <w:rFonts w:eastAsia="Calibri"/>
          <w:i/>
          <w:lang w:val="en-US"/>
        </w:rPr>
      </w:pPr>
      <w:r w:rsidRPr="00925B93">
        <w:rPr>
          <w:rFonts w:eastAsia="Calibri"/>
          <w:i/>
          <w:iCs/>
        </w:rPr>
        <w:t>поручает</w:t>
      </w:r>
      <w:r w:rsidRPr="00925B93">
        <w:rPr>
          <w:rFonts w:eastAsia="Calibri"/>
        </w:rPr>
        <w:t xml:space="preserve"> секретариату продолжать:</w:t>
      </w:r>
    </w:p>
    <w:p w14:paraId="15BF10A7" w14:textId="77777777" w:rsidR="00DC63BA" w:rsidRPr="00925B93" w:rsidRDefault="00DC63BA">
      <w:pPr>
        <w:numPr>
          <w:ilvl w:val="0"/>
          <w:numId w:val="5"/>
        </w:numPr>
        <w:ind w:left="1247" w:firstLine="624"/>
        <w:rPr>
          <w:rFonts w:eastAsia="Calibri"/>
        </w:rPr>
      </w:pPr>
      <w:r w:rsidRPr="00925B93">
        <w:rPr>
          <w:rFonts w:eastAsia="Calibri"/>
        </w:rPr>
        <w:t>тесно работать с другими международными организациями, в пределах их мандатов, в рамках мероприятий, связанных с морским пластиковым мусором и микрочастицами пластмасс;</w:t>
      </w:r>
    </w:p>
    <w:p w14:paraId="5DEE8319" w14:textId="77777777" w:rsidR="00DC63BA" w:rsidRPr="00925B93" w:rsidRDefault="00DC63BA">
      <w:pPr>
        <w:numPr>
          <w:ilvl w:val="0"/>
          <w:numId w:val="5"/>
        </w:numPr>
        <w:ind w:left="1247" w:firstLine="624"/>
        <w:rPr>
          <w:rFonts w:eastAsia="Calibri"/>
        </w:rPr>
      </w:pPr>
      <w:r w:rsidRPr="00925B93">
        <w:rPr>
          <w:rFonts w:eastAsia="Calibri"/>
        </w:rPr>
        <w:t>расширять сотрудничество и координацию с секретариатом Стратегического подхода и другими международными органами в областях, актуальных для Базельской, Роттердамской и Стокгольмской конвенций, в том числе в тех областях и с теми организациями, которые перечислены в докладе секретариата о международном сотрудничестве и координации за период с 1 января 2019 года по 31 декабря 2021 года;</w:t>
      </w:r>
    </w:p>
    <w:p w14:paraId="22284B46" w14:textId="77777777" w:rsidR="00DC63BA" w:rsidRPr="00925B93" w:rsidRDefault="00DC63BA">
      <w:pPr>
        <w:numPr>
          <w:ilvl w:val="0"/>
          <w:numId w:val="5"/>
        </w:numPr>
        <w:ind w:left="1247" w:firstLine="624"/>
        <w:rPr>
          <w:rFonts w:eastAsia="Calibri"/>
          <w:iCs/>
          <w:color w:val="000000"/>
        </w:rPr>
      </w:pPr>
      <w:r w:rsidRPr="00925B93">
        <w:rPr>
          <w:rFonts w:eastAsia="Calibri"/>
        </w:rPr>
        <w:lastRenderedPageBreak/>
        <w:t>при получении приглашения участвовать в качестве наблюдателя в соответствующих совещаниях Межорганизационной программы по рациональному регулированию химических веществ в зависимости от итогов деятельности, о которой говорится в пунктах 16 и 17 настоящего решения;</w:t>
      </w:r>
    </w:p>
    <w:p w14:paraId="7EDC7333" w14:textId="77777777" w:rsidR="00DC63BA" w:rsidRPr="00925B93" w:rsidRDefault="00DC63BA">
      <w:pPr>
        <w:numPr>
          <w:ilvl w:val="0"/>
          <w:numId w:val="6"/>
        </w:numPr>
        <w:ind w:left="1247" w:firstLine="624"/>
        <w:rPr>
          <w:rFonts w:eastAsia="Calibri"/>
        </w:rPr>
      </w:pPr>
      <w:r w:rsidRPr="00925B93">
        <w:rPr>
          <w:rFonts w:eastAsia="Calibri"/>
          <w:i/>
          <w:iCs/>
        </w:rPr>
        <w:t>с удовлетворением отмечает</w:t>
      </w:r>
      <w:r w:rsidRPr="00925B93">
        <w:rPr>
          <w:rFonts w:eastAsia="Calibri"/>
        </w:rPr>
        <w:t xml:space="preserve"> рекомендации Генеральной Ассамблеи Организации Объединенных Наций, изложенные в пунктах 10, 11 и 12 приложения к ее резолюции 73/333 о последующей деятельности в связи с докладом Специальной рабочей группы открытого состава, учрежденной в соответствии с резолюцией 72/277 Генеральной Ассамблеи</w:t>
      </w:r>
      <w:r w:rsidRPr="00925B93">
        <w:rPr>
          <w:rFonts w:eastAsia="Calibri"/>
          <w:vertAlign w:val="superscript"/>
        </w:rPr>
        <w:footnoteReference w:id="14"/>
      </w:r>
      <w:r w:rsidRPr="00925B93">
        <w:rPr>
          <w:rFonts w:eastAsia="Calibri"/>
        </w:rPr>
        <w:t>;</w:t>
      </w:r>
    </w:p>
    <w:p w14:paraId="6A3C6343" w14:textId="77777777" w:rsidR="00DC63BA" w:rsidRPr="00925B93" w:rsidRDefault="00DC63BA">
      <w:pPr>
        <w:numPr>
          <w:ilvl w:val="0"/>
          <w:numId w:val="6"/>
        </w:numPr>
        <w:ind w:left="1247" w:firstLine="624"/>
        <w:rPr>
          <w:rFonts w:eastAsia="Calibri"/>
        </w:rPr>
      </w:pPr>
      <w:r w:rsidRPr="00925B93">
        <w:rPr>
          <w:rFonts w:eastAsia="Calibri"/>
          <w:i/>
          <w:iCs/>
        </w:rPr>
        <w:t>отмечает</w:t>
      </w:r>
      <w:r w:rsidRPr="00925B93">
        <w:rPr>
          <w:rFonts w:eastAsia="Calibri"/>
        </w:rPr>
        <w:t xml:space="preserve">, что в решениях, принятых Конференцией Сторон в предыдущие годы и на настоящем совещании, удовлетворительным образом учитываются эти рекомендации; </w:t>
      </w:r>
    </w:p>
    <w:p w14:paraId="29B8E55F" w14:textId="77777777" w:rsidR="00DC63BA" w:rsidRPr="00925B93" w:rsidRDefault="00DC63BA">
      <w:pPr>
        <w:numPr>
          <w:ilvl w:val="0"/>
          <w:numId w:val="6"/>
        </w:numPr>
        <w:ind w:left="1247" w:firstLine="624"/>
        <w:rPr>
          <w:rFonts w:eastAsia="Calibri"/>
        </w:rPr>
      </w:pPr>
      <w:r w:rsidRPr="00925B93">
        <w:rPr>
          <w:rFonts w:eastAsia="Calibri"/>
          <w:i/>
          <w:iCs/>
        </w:rPr>
        <w:t>с удовлетворением отмечает</w:t>
      </w:r>
      <w:r w:rsidRPr="00925B93">
        <w:rPr>
          <w:rFonts w:eastAsia="Calibri"/>
        </w:rPr>
        <w:t xml:space="preserve"> исследование «Взаимосвязи между многосторонними природоохранными соглашениями по химическим веществам и отходам и биоразнообразием», включая его выводы</w:t>
      </w:r>
      <w:r w:rsidRPr="00925B93">
        <w:rPr>
          <w:rFonts w:eastAsia="Calibri"/>
          <w:color w:val="000000"/>
          <w:vertAlign w:val="superscript"/>
        </w:rPr>
        <w:footnoteReference w:id="15"/>
      </w:r>
      <w:r w:rsidRPr="00925B93">
        <w:rPr>
          <w:rFonts w:eastAsia="Calibri"/>
        </w:rPr>
        <w:t>, и доклад «Химические вещества, отходы и изменение климата: взаимосвязи и потенциал для скоординированных действий»</w:t>
      </w:r>
      <w:r w:rsidRPr="00925B93">
        <w:rPr>
          <w:rFonts w:eastAsia="Calibri"/>
          <w:vertAlign w:val="superscript"/>
        </w:rPr>
        <w:footnoteReference w:id="16"/>
      </w:r>
      <w:r w:rsidRPr="00925B93">
        <w:rPr>
          <w:rFonts w:eastAsia="Calibri"/>
        </w:rPr>
        <w:t>;</w:t>
      </w:r>
    </w:p>
    <w:p w14:paraId="354433CC" w14:textId="77777777" w:rsidR="00DC63BA" w:rsidRPr="00925B93" w:rsidRDefault="00DC63BA">
      <w:pPr>
        <w:numPr>
          <w:ilvl w:val="0"/>
          <w:numId w:val="6"/>
        </w:numPr>
        <w:ind w:left="1247" w:firstLine="624"/>
        <w:rPr>
          <w:rFonts w:eastAsia="Calibri"/>
        </w:rPr>
      </w:pPr>
      <w:r w:rsidRPr="00925B93">
        <w:rPr>
          <w:rFonts w:eastAsia="Calibri"/>
          <w:i/>
          <w:iCs/>
        </w:rPr>
        <w:t>поручает</w:t>
      </w:r>
      <w:r w:rsidRPr="00925B93">
        <w:rPr>
          <w:rFonts w:eastAsia="Calibri"/>
        </w:rPr>
        <w:t xml:space="preserve"> секретариату направить эти доклады секретариату Конвенции о биологическом разнообразии и секретариату Рамочной конвенции Организации Объединенных Наций об изменении климата, соответственно, с предложением довести эти доклады до сведения соответствующих конференций Сторон этих конвенций, по мере целесообразности; </w:t>
      </w:r>
    </w:p>
    <w:p w14:paraId="1483DB20" w14:textId="77777777" w:rsidR="00DC63BA" w:rsidRPr="00925B93" w:rsidRDefault="00DC63BA">
      <w:pPr>
        <w:numPr>
          <w:ilvl w:val="0"/>
          <w:numId w:val="6"/>
        </w:numPr>
        <w:ind w:left="1247" w:firstLine="624"/>
        <w:rPr>
          <w:rFonts w:eastAsia="Calibri"/>
          <w:color w:val="000000"/>
        </w:rPr>
      </w:pPr>
      <w:r w:rsidRPr="00925B93">
        <w:rPr>
          <w:rFonts w:eastAsia="Calibri"/>
          <w:i/>
          <w:iCs/>
        </w:rPr>
        <w:t xml:space="preserve">призывает </w:t>
      </w:r>
      <w:r w:rsidRPr="00925B93">
        <w:rPr>
          <w:rFonts w:eastAsia="Calibri"/>
        </w:rPr>
        <w:t>Стороны учитывать цели системы глобальных мероприятий в сфере биоразнообразия на период после 2020 года, после ее принятия, в принимаемых ими мерах для осуществления Базельской, Роттердамской и Стокгольмской конвенций;</w:t>
      </w:r>
    </w:p>
    <w:p w14:paraId="217A0F14" w14:textId="77777777" w:rsidR="00DC63BA" w:rsidRPr="00925B93" w:rsidRDefault="00DC63BA">
      <w:pPr>
        <w:numPr>
          <w:ilvl w:val="0"/>
          <w:numId w:val="6"/>
        </w:numPr>
        <w:ind w:left="1247" w:firstLine="624"/>
        <w:rPr>
          <w:rFonts w:eastAsia="Calibri"/>
          <w:color w:val="000000"/>
        </w:rPr>
      </w:pPr>
      <w:r w:rsidRPr="00925B93">
        <w:rPr>
          <w:rFonts w:eastAsia="Calibri"/>
          <w:i/>
          <w:iCs/>
        </w:rPr>
        <w:t>поручает</w:t>
      </w:r>
      <w:r w:rsidRPr="00925B93">
        <w:rPr>
          <w:rFonts w:eastAsia="Calibri"/>
        </w:rPr>
        <w:t xml:space="preserve"> секретариату, при условии наличия ресурсов, подготовить доклад, включая возможные рекомендации, о том, каким образом конвенции могут внести вклад в систему глобальных мероприятий в сфере биоразнообразия на период после 2020 года, после ее принятия, для рассмотрения конференциями Сторон Базельской, Роттердамской и Стокгольмской конвенций на их следующих совещаниях; </w:t>
      </w:r>
    </w:p>
    <w:p w14:paraId="62A12B6F" w14:textId="77777777" w:rsidR="00DC63BA" w:rsidRPr="00925B93" w:rsidRDefault="00DC63BA">
      <w:pPr>
        <w:numPr>
          <w:ilvl w:val="0"/>
          <w:numId w:val="6"/>
        </w:numPr>
        <w:ind w:left="1247" w:firstLine="624"/>
        <w:rPr>
          <w:rFonts w:eastAsia="Calibri"/>
          <w:color w:val="000000"/>
        </w:rPr>
      </w:pPr>
      <w:r w:rsidRPr="00925B93">
        <w:rPr>
          <w:rFonts w:eastAsia="Calibri"/>
          <w:i/>
          <w:iCs/>
        </w:rPr>
        <w:t>призывает</w:t>
      </w:r>
      <w:r w:rsidRPr="00925B93">
        <w:rPr>
          <w:rFonts w:eastAsia="Calibri"/>
        </w:rPr>
        <w:t xml:space="preserve"> Стороны и другие субъекты учитывать выводы и технические рекомендации, содержащиеся в докладе «Химические вещества, отходы и изменение климата: взаимосвязи и потенциал для скоординированных действий»</w:t>
      </w:r>
      <w:r w:rsidRPr="00925B93">
        <w:rPr>
          <w:rFonts w:eastAsia="Calibri"/>
          <w:color w:val="000000"/>
          <w:vertAlign w:val="superscript"/>
        </w:rPr>
        <w:footnoteReference w:id="17"/>
      </w:r>
      <w:r w:rsidRPr="00925B93">
        <w:rPr>
          <w:rFonts w:eastAsia="Calibri"/>
        </w:rPr>
        <w:t>, в принимаемых ими мерах по решению вопросов экологически обоснованного регулирования опасных химических веществ и отходов и смягчения последствий изменения климата;</w:t>
      </w:r>
    </w:p>
    <w:p w14:paraId="5C0C31DD" w14:textId="77777777" w:rsidR="00DC63BA" w:rsidRPr="00925B93" w:rsidRDefault="00DC63BA">
      <w:pPr>
        <w:numPr>
          <w:ilvl w:val="0"/>
          <w:numId w:val="6"/>
        </w:numPr>
        <w:ind w:left="1247" w:firstLine="624"/>
        <w:rPr>
          <w:rFonts w:eastAsia="Calibri"/>
        </w:rPr>
      </w:pPr>
      <w:r w:rsidRPr="00925B93">
        <w:rPr>
          <w:rFonts w:eastAsia="Calibri"/>
          <w:i/>
          <w:iCs/>
        </w:rPr>
        <w:t>поручает</w:t>
      </w:r>
      <w:r w:rsidRPr="00925B93">
        <w:rPr>
          <w:rFonts w:eastAsia="Calibri"/>
        </w:rPr>
        <w:t xml:space="preserve"> секретариату представить конференциям Сторон на их следующих совещаниях доклад о выполнении настоящего решения.</w:t>
      </w:r>
    </w:p>
    <w:p w14:paraId="72A577FA" w14:textId="5DE47FDE" w:rsidR="00F935A6" w:rsidRPr="00DC63BA" w:rsidRDefault="00F935A6" w:rsidP="00DC63BA"/>
    <w:sectPr w:rsidR="00F935A6" w:rsidRPr="00DC63B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F7F3E" w14:textId="77777777" w:rsidR="00F255B4" w:rsidRDefault="00F255B4" w:rsidP="002B66BF">
      <w:pPr>
        <w:spacing w:after="0"/>
      </w:pPr>
      <w:r>
        <w:separator/>
      </w:r>
    </w:p>
  </w:endnote>
  <w:endnote w:type="continuationSeparator" w:id="0">
    <w:p w14:paraId="3CE00292" w14:textId="77777777" w:rsidR="00F255B4" w:rsidRDefault="00F255B4"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385CD3" w14:textId="77777777" w:rsidR="00F255B4" w:rsidRDefault="00F255B4" w:rsidP="002B66BF">
      <w:pPr>
        <w:spacing w:after="0"/>
      </w:pPr>
      <w:r>
        <w:separator/>
      </w:r>
    </w:p>
  </w:footnote>
  <w:footnote w:type="continuationSeparator" w:id="0">
    <w:p w14:paraId="1DFE5F0B" w14:textId="77777777" w:rsidR="00F255B4" w:rsidRDefault="00F255B4" w:rsidP="002B66BF">
      <w:pPr>
        <w:spacing w:after="0"/>
      </w:pPr>
      <w:r>
        <w:continuationSeparator/>
      </w:r>
    </w:p>
  </w:footnote>
  <w:footnote w:id="1">
    <w:p w14:paraId="5AE1E4BE"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Решения БК-14/12, БК-14/13, БК-14/18, БК-14/21 и БК-14/23.</w:t>
      </w:r>
    </w:p>
  </w:footnote>
  <w:footnote w:id="2">
    <w:p w14:paraId="271137B9"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 xml:space="preserve">Это </w:t>
      </w:r>
      <w:r w:rsidRPr="005D0128">
        <w:rPr>
          <w:sz w:val="18"/>
          <w:szCs w:val="18"/>
        </w:rPr>
        <w:t>применимо только к решению, принятому Конференцией Сторон Стокгольмской конвенции.</w:t>
      </w:r>
    </w:p>
  </w:footnote>
  <w:footnote w:id="3">
    <w:p w14:paraId="5A9380DB"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5D0128">
        <w:rPr>
          <w:sz w:val="18"/>
          <w:szCs w:val="18"/>
          <w:vertAlign w:val="superscript"/>
        </w:rPr>
        <w:footnoteRef/>
      </w:r>
      <w:r w:rsidRPr="005D0128">
        <w:rPr>
          <w:sz w:val="18"/>
          <w:szCs w:val="18"/>
          <w:lang w:val="en-GB"/>
        </w:rPr>
        <w:t xml:space="preserve"> </w:t>
      </w:r>
      <w:r>
        <w:rPr>
          <w:sz w:val="18"/>
          <w:szCs w:val="18"/>
          <w:lang w:val="en-GB"/>
        </w:rPr>
        <w:tab/>
      </w:r>
      <w:r w:rsidRPr="005D0128">
        <w:rPr>
          <w:sz w:val="18"/>
          <w:szCs w:val="18"/>
          <w:lang w:val="en-GB"/>
        </w:rPr>
        <w:t>UNEP/CHW.15/INF/41–UNEP/FAO/RC/COP.10/INF/24–UNEP/POPS/COP.10/INF/45.</w:t>
      </w:r>
    </w:p>
  </w:footnote>
  <w:footnote w:id="4">
    <w:p w14:paraId="67C34ACA"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5D0128">
        <w:rPr>
          <w:sz w:val="18"/>
          <w:szCs w:val="18"/>
          <w:vertAlign w:val="superscript"/>
        </w:rPr>
        <w:footnoteRef/>
      </w:r>
      <w:r w:rsidRPr="005D0128">
        <w:rPr>
          <w:sz w:val="18"/>
          <w:szCs w:val="18"/>
          <w:lang w:val="en-GB"/>
        </w:rPr>
        <w:t xml:space="preserve"> </w:t>
      </w:r>
      <w:r>
        <w:rPr>
          <w:sz w:val="18"/>
          <w:szCs w:val="18"/>
          <w:lang w:val="en-GB"/>
        </w:rPr>
        <w:tab/>
      </w:r>
      <w:r w:rsidRPr="005D0128">
        <w:rPr>
          <w:sz w:val="18"/>
          <w:szCs w:val="18"/>
          <w:lang w:val="en-GB"/>
        </w:rPr>
        <w:t>UNEP/CHW.15/INF/43–UNEP/FAO/RC/COP.10/INF/28–UNEP/POPS/COP.10/INF/47.</w:t>
      </w:r>
    </w:p>
  </w:footnote>
  <w:footnote w:id="5">
    <w:p w14:paraId="4A19238A"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5D0128">
        <w:rPr>
          <w:sz w:val="18"/>
          <w:szCs w:val="18"/>
          <w:vertAlign w:val="superscript"/>
        </w:rPr>
        <w:footnoteRef/>
      </w:r>
      <w:r w:rsidRPr="005D0128">
        <w:rPr>
          <w:sz w:val="18"/>
          <w:szCs w:val="18"/>
          <w:lang w:val="en-GB"/>
        </w:rPr>
        <w:t xml:space="preserve"> </w:t>
      </w:r>
      <w:r>
        <w:rPr>
          <w:sz w:val="18"/>
          <w:szCs w:val="18"/>
          <w:lang w:val="en-GB"/>
        </w:rPr>
        <w:tab/>
      </w:r>
      <w:r w:rsidRPr="005D0128">
        <w:rPr>
          <w:sz w:val="18"/>
          <w:szCs w:val="18"/>
        </w:rPr>
        <w:t>См</w:t>
      </w:r>
      <w:r w:rsidRPr="005D0128">
        <w:rPr>
          <w:sz w:val="18"/>
          <w:szCs w:val="18"/>
          <w:lang w:val="en-GB"/>
        </w:rPr>
        <w:t>. UNEP/CHW.15/INF/56-UNEP/FAO/RC/COP.10/INF/25-UNEP/POPS/COP.10/INF/46.</w:t>
      </w:r>
    </w:p>
  </w:footnote>
  <w:footnote w:id="6">
    <w:p w14:paraId="41753E26"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UNEP/EA.5/Res.14.</w:t>
      </w:r>
    </w:p>
  </w:footnote>
  <w:footnote w:id="7">
    <w:p w14:paraId="49DE098D"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UNEP/EA.5/Res.7.</w:t>
      </w:r>
    </w:p>
  </w:footnote>
  <w:footnote w:id="8">
    <w:p w14:paraId="66214694"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UNEP/EA.5/Res.8.</w:t>
      </w:r>
    </w:p>
  </w:footnote>
  <w:footnote w:id="9">
    <w:p w14:paraId="259D8C3C" w14:textId="77777777" w:rsidR="00DC63BA" w:rsidRPr="005D0128"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5D0128">
        <w:rPr>
          <w:sz w:val="18"/>
          <w:szCs w:val="18"/>
          <w:vertAlign w:val="superscript"/>
        </w:rPr>
        <w:footnoteRef/>
      </w:r>
      <w:r w:rsidRPr="005D0128">
        <w:rPr>
          <w:sz w:val="18"/>
          <w:szCs w:val="18"/>
        </w:rPr>
        <w:t xml:space="preserve"> </w:t>
      </w:r>
      <w:r>
        <w:rPr>
          <w:sz w:val="18"/>
          <w:szCs w:val="18"/>
        </w:rPr>
        <w:tab/>
      </w:r>
      <w:r w:rsidRPr="005D0128">
        <w:rPr>
          <w:sz w:val="18"/>
          <w:szCs w:val="18"/>
        </w:rPr>
        <w:t>UNEP/EA.SS.1/4.</w:t>
      </w:r>
    </w:p>
  </w:footnote>
  <w:footnote w:id="10">
    <w:p w14:paraId="2819A5ED" w14:textId="77777777" w:rsidR="00DC63BA" w:rsidRPr="00EE361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EE361B">
        <w:rPr>
          <w:sz w:val="18"/>
          <w:szCs w:val="18"/>
          <w:vertAlign w:val="superscript"/>
        </w:rPr>
        <w:footnoteRef/>
      </w:r>
      <w:r w:rsidRPr="00EE361B">
        <w:rPr>
          <w:sz w:val="18"/>
          <w:szCs w:val="18"/>
        </w:rPr>
        <w:t xml:space="preserve"> </w:t>
      </w:r>
      <w:r>
        <w:rPr>
          <w:sz w:val="18"/>
          <w:szCs w:val="18"/>
        </w:rPr>
        <w:tab/>
      </w:r>
      <w:r w:rsidRPr="00EE361B">
        <w:rPr>
          <w:sz w:val="18"/>
          <w:szCs w:val="18"/>
        </w:rPr>
        <w:t>См. пункты 5 c), 6 d) и 8 резолюции 5/8 о группе по вопросам научно-политического взаимодействия для дальнейшего содействия рациональному регулированию химических веществ и отходов и предотвращению загрязнения.</w:t>
      </w:r>
    </w:p>
  </w:footnote>
  <w:footnote w:id="11">
    <w:p w14:paraId="7AFF3D8D" w14:textId="77777777" w:rsidR="00DC63BA" w:rsidRPr="00EE361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EE361B">
        <w:rPr>
          <w:sz w:val="18"/>
          <w:szCs w:val="18"/>
          <w:vertAlign w:val="superscript"/>
        </w:rPr>
        <w:footnoteRef/>
      </w:r>
      <w:r w:rsidRPr="00EE361B">
        <w:rPr>
          <w:sz w:val="18"/>
          <w:szCs w:val="18"/>
        </w:rPr>
        <w:t xml:space="preserve"> </w:t>
      </w:r>
      <w:r>
        <w:rPr>
          <w:sz w:val="18"/>
          <w:szCs w:val="18"/>
        </w:rPr>
        <w:tab/>
      </w:r>
      <w:r w:rsidRPr="00EE361B">
        <w:rPr>
          <w:sz w:val="18"/>
          <w:szCs w:val="18"/>
        </w:rPr>
        <w:t xml:space="preserve">См. </w:t>
      </w:r>
      <w:r w:rsidRPr="00EE361B">
        <w:rPr>
          <w:sz w:val="18"/>
          <w:szCs w:val="18"/>
        </w:rPr>
        <w:t>решения БК-15/20 и БК-14/17 «Национальное законодательство, уведомления, обеспечение соблюдения Конвенции и усилия по борьбе с незаконным оборотом»; БК-14/19 «Программа Базельской конвенции по развитию партнерств»; и БК-14/24 «Синергия в деле предотвращения и пресечения незаконного оборота опасных химических веществ и отходов и торговли ими».</w:t>
      </w:r>
    </w:p>
  </w:footnote>
  <w:footnote w:id="12">
    <w:p w14:paraId="2CE93CDD" w14:textId="77777777" w:rsidR="00DC63BA" w:rsidRPr="00EE361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EE361B">
        <w:rPr>
          <w:sz w:val="18"/>
          <w:szCs w:val="18"/>
          <w:vertAlign w:val="superscript"/>
        </w:rPr>
        <w:footnoteRef/>
      </w:r>
      <w:r w:rsidRPr="00EE361B">
        <w:rPr>
          <w:sz w:val="18"/>
          <w:szCs w:val="18"/>
        </w:rPr>
        <w:t xml:space="preserve"> </w:t>
      </w:r>
      <w:r>
        <w:rPr>
          <w:sz w:val="18"/>
          <w:szCs w:val="18"/>
        </w:rPr>
        <w:tab/>
      </w:r>
      <w:r w:rsidRPr="00EE361B">
        <w:rPr>
          <w:sz w:val="18"/>
          <w:szCs w:val="18"/>
        </w:rPr>
        <w:t xml:space="preserve">Этот </w:t>
      </w:r>
      <w:r w:rsidRPr="00EE361B">
        <w:rPr>
          <w:sz w:val="18"/>
          <w:szCs w:val="18"/>
        </w:rPr>
        <w:t>пункт применим только к решению, принятому Конференцией Сторон Базельской конвенции.</w:t>
      </w:r>
    </w:p>
  </w:footnote>
  <w:footnote w:id="13">
    <w:p w14:paraId="0AD0C0D5" w14:textId="77777777" w:rsidR="00DC63BA" w:rsidRPr="000B4E5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B4E5B">
        <w:rPr>
          <w:sz w:val="18"/>
          <w:szCs w:val="18"/>
          <w:vertAlign w:val="superscript"/>
        </w:rPr>
        <w:footnoteRef/>
      </w:r>
      <w:r w:rsidRPr="000B4E5B">
        <w:rPr>
          <w:sz w:val="18"/>
          <w:szCs w:val="18"/>
        </w:rPr>
        <w:t xml:space="preserve"> </w:t>
      </w:r>
      <w:r>
        <w:rPr>
          <w:sz w:val="18"/>
          <w:szCs w:val="18"/>
        </w:rPr>
        <w:tab/>
      </w:r>
      <w:r w:rsidRPr="000B4E5B">
        <w:rPr>
          <w:sz w:val="18"/>
          <w:szCs w:val="18"/>
        </w:rPr>
        <w:t xml:space="preserve">Программа </w:t>
      </w:r>
      <w:r w:rsidRPr="000B4E5B">
        <w:rPr>
          <w:sz w:val="18"/>
          <w:szCs w:val="18"/>
        </w:rPr>
        <w:t>Организации Объединенных Наций по окружающей среде и Статистический отдел Департамента по экономическим и социальным вопросам Секретариата Организации Объединенных Наций.</w:t>
      </w:r>
    </w:p>
  </w:footnote>
  <w:footnote w:id="14">
    <w:p w14:paraId="058256FE" w14:textId="77777777" w:rsidR="00DC63BA" w:rsidRPr="000B4E5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B4E5B">
        <w:rPr>
          <w:sz w:val="18"/>
          <w:szCs w:val="18"/>
          <w:vertAlign w:val="superscript"/>
        </w:rPr>
        <w:footnoteRef/>
      </w:r>
      <w:r w:rsidRPr="000B4E5B">
        <w:rPr>
          <w:sz w:val="18"/>
          <w:szCs w:val="18"/>
          <w:lang w:val="en-GB"/>
        </w:rPr>
        <w:t xml:space="preserve"> </w:t>
      </w:r>
      <w:r>
        <w:rPr>
          <w:sz w:val="18"/>
          <w:szCs w:val="18"/>
          <w:lang w:val="en-GB"/>
        </w:rPr>
        <w:tab/>
      </w:r>
      <w:r w:rsidRPr="000B4E5B">
        <w:rPr>
          <w:sz w:val="18"/>
          <w:szCs w:val="18"/>
          <w:lang w:val="en-GB"/>
        </w:rPr>
        <w:t xml:space="preserve">UNEP/CHW.15/INF/66-UNEP/FAO/RC/COP.10/INF/47-UNEP/POPS/COP.10/INF/69. </w:t>
      </w:r>
    </w:p>
  </w:footnote>
  <w:footnote w:id="15">
    <w:p w14:paraId="744FF6CF" w14:textId="77777777" w:rsidR="00DC63BA" w:rsidRPr="000B4E5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B4E5B">
        <w:rPr>
          <w:sz w:val="18"/>
          <w:szCs w:val="18"/>
          <w:vertAlign w:val="superscript"/>
        </w:rPr>
        <w:footnoteRef/>
      </w:r>
      <w:r w:rsidRPr="000B4E5B">
        <w:rPr>
          <w:sz w:val="18"/>
          <w:szCs w:val="18"/>
          <w:lang w:val="en-GB"/>
        </w:rPr>
        <w:t xml:space="preserve"> </w:t>
      </w:r>
      <w:r>
        <w:rPr>
          <w:sz w:val="18"/>
          <w:szCs w:val="18"/>
          <w:lang w:val="en-GB"/>
        </w:rPr>
        <w:tab/>
      </w:r>
      <w:r w:rsidRPr="000B4E5B">
        <w:rPr>
          <w:sz w:val="18"/>
          <w:szCs w:val="18"/>
          <w:lang w:val="en-GB"/>
        </w:rPr>
        <w:t>UNEP/CHW.15/INF/44-UNEP/FAO/RC/COP.10/INF/29-UNEP/POPS/COP.10/INF/48.</w:t>
      </w:r>
    </w:p>
  </w:footnote>
  <w:footnote w:id="16">
    <w:p w14:paraId="3ABC474E" w14:textId="77777777" w:rsidR="00DC63BA" w:rsidRPr="000B4E5B"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B4E5B">
        <w:rPr>
          <w:sz w:val="18"/>
          <w:szCs w:val="18"/>
          <w:vertAlign w:val="superscript"/>
        </w:rPr>
        <w:footnoteRef/>
      </w:r>
      <w:r w:rsidRPr="000B4E5B">
        <w:rPr>
          <w:sz w:val="18"/>
          <w:szCs w:val="18"/>
          <w:lang w:val="en-GB"/>
        </w:rPr>
        <w:t xml:space="preserve"> </w:t>
      </w:r>
      <w:r>
        <w:rPr>
          <w:sz w:val="18"/>
          <w:szCs w:val="18"/>
          <w:lang w:val="en-GB"/>
        </w:rPr>
        <w:tab/>
      </w:r>
      <w:r w:rsidRPr="000B4E5B">
        <w:rPr>
          <w:sz w:val="18"/>
          <w:szCs w:val="18"/>
          <w:lang w:val="en-GB"/>
        </w:rPr>
        <w:t>UNEP/CHW.15/INF/45-UNEP/FAO/RC/COP.10/INF/27-UNEP/POPS/COP.10/INF/49.</w:t>
      </w:r>
    </w:p>
  </w:footnote>
  <w:footnote w:id="17">
    <w:p w14:paraId="64084896" w14:textId="77777777" w:rsidR="00DC63BA" w:rsidRPr="002847CD" w:rsidRDefault="00DC63BA" w:rsidP="00DC63B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B4E5B">
        <w:rPr>
          <w:sz w:val="18"/>
          <w:szCs w:val="18"/>
          <w:vertAlign w:val="superscript"/>
        </w:rPr>
        <w:footnoteRef/>
      </w:r>
      <w:r w:rsidRPr="002847CD">
        <w:rPr>
          <w:sz w:val="18"/>
          <w:szCs w:val="18"/>
          <w:lang w:val="en-GB"/>
        </w:rPr>
        <w:t xml:space="preserve"> </w:t>
      </w:r>
      <w:r w:rsidRPr="002847CD">
        <w:rPr>
          <w:sz w:val="18"/>
          <w:szCs w:val="18"/>
          <w:lang w:val="en-GB"/>
        </w:rPr>
        <w:tab/>
      </w:r>
      <w:r w:rsidRPr="000B4E5B">
        <w:rPr>
          <w:sz w:val="18"/>
          <w:szCs w:val="18"/>
        </w:rPr>
        <w:t>Там</w:t>
      </w:r>
      <w:r w:rsidRPr="002847CD">
        <w:rPr>
          <w:sz w:val="18"/>
          <w:szCs w:val="18"/>
          <w:lang w:val="en-GB"/>
        </w:rPr>
        <w:t xml:space="preserve"> </w:t>
      </w:r>
      <w:r w:rsidRPr="000B4E5B">
        <w:rPr>
          <w:sz w:val="18"/>
          <w:szCs w:val="18"/>
        </w:rPr>
        <w:t>же</w:t>
      </w:r>
      <w:r w:rsidRPr="002847CD">
        <w:rPr>
          <w:sz w:val="18"/>
          <w:szCs w:val="18"/>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5"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0"/>
  </w:num>
  <w:num w:numId="2" w16cid:durableId="564267273">
    <w:abstractNumId w:val="5"/>
  </w:num>
  <w:num w:numId="3" w16cid:durableId="1390229554">
    <w:abstractNumId w:val="2"/>
  </w:num>
  <w:num w:numId="4" w16cid:durableId="1402214900">
    <w:abstractNumId w:val="1"/>
  </w:num>
  <w:num w:numId="5" w16cid:durableId="1350334130">
    <w:abstractNumId w:val="4"/>
  </w:num>
  <w:num w:numId="6" w16cid:durableId="157511872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B66BF"/>
    <w:rsid w:val="00322FE3"/>
    <w:rsid w:val="003C0A29"/>
    <w:rsid w:val="003C25AF"/>
    <w:rsid w:val="00447FD6"/>
    <w:rsid w:val="00475395"/>
    <w:rsid w:val="005A158C"/>
    <w:rsid w:val="005B1C5E"/>
    <w:rsid w:val="00617E26"/>
    <w:rsid w:val="006A2E46"/>
    <w:rsid w:val="00700627"/>
    <w:rsid w:val="007A72EB"/>
    <w:rsid w:val="00836B73"/>
    <w:rsid w:val="00872B69"/>
    <w:rsid w:val="009B16ED"/>
    <w:rsid w:val="00C84536"/>
    <w:rsid w:val="00CA40F2"/>
    <w:rsid w:val="00D167FF"/>
    <w:rsid w:val="00DC63BA"/>
    <w:rsid w:val="00E22051"/>
    <w:rsid w:val="00E75C1B"/>
    <w:rsid w:val="00F255B4"/>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1750</Words>
  <Characters>9979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2023-05-22T13:02:00Z</dcterms:created>
  <dcterms:modified xsi:type="dcterms:W3CDTF">2023-05-22T13:02:00Z</dcterms:modified>
</cp:coreProperties>
</file>