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F5AD4" w14:textId="77777777" w:rsidR="00D14735" w:rsidRPr="00925B93" w:rsidRDefault="00D14735" w:rsidP="00D14735">
      <w:pPr>
        <w:suppressAutoHyphens/>
        <w:ind w:left="1247"/>
        <w:rPr>
          <w:rFonts w:eastAsia="Calibri"/>
          <w:b/>
          <w:i/>
          <w:iCs/>
          <w:sz w:val="28"/>
          <w:szCs w:val="28"/>
        </w:rPr>
      </w:pPr>
      <w:r w:rsidRPr="00925B93">
        <w:rPr>
          <w:rFonts w:eastAsia="Calibri"/>
          <w:b/>
          <w:bCs/>
          <w:sz w:val="28"/>
          <w:szCs w:val="28"/>
        </w:rPr>
        <w:t>БК-15/26: Информационно-координационный механизм для обмена информацией</w:t>
      </w:r>
    </w:p>
    <w:p w14:paraId="090C53C8" w14:textId="77777777" w:rsidR="00D14735" w:rsidRPr="00925B93" w:rsidRDefault="00D14735" w:rsidP="00D14735">
      <w:pPr>
        <w:ind w:left="1247" w:firstLine="624"/>
        <w:rPr>
          <w:rFonts w:eastAsia="Calibri"/>
          <w:i/>
          <w:lang w:val="en-US"/>
        </w:rPr>
      </w:pPr>
      <w:r w:rsidRPr="00925B93">
        <w:rPr>
          <w:rFonts w:eastAsia="Calibri"/>
          <w:i/>
          <w:iCs/>
        </w:rPr>
        <w:t>Конференция Сторон,</w:t>
      </w:r>
    </w:p>
    <w:p w14:paraId="38F6CE30" w14:textId="77777777" w:rsidR="00D14735" w:rsidRPr="00925B93" w:rsidRDefault="00D14735">
      <w:pPr>
        <w:numPr>
          <w:ilvl w:val="0"/>
          <w:numId w:val="5"/>
        </w:numPr>
        <w:ind w:left="1247" w:firstLine="624"/>
        <w:rPr>
          <w:rFonts w:eastAsia="Calibri"/>
        </w:rPr>
      </w:pPr>
      <w:r w:rsidRPr="00925B93">
        <w:rPr>
          <w:rFonts w:eastAsia="Calibri"/>
          <w:i/>
          <w:iCs/>
        </w:rPr>
        <w:t xml:space="preserve">с удовлетворением отмечает </w:t>
      </w:r>
      <w:r w:rsidRPr="00925B93">
        <w:rPr>
          <w:rFonts w:eastAsia="Calibri"/>
        </w:rPr>
        <w:t>прогресс, достигнутый в деле реализации совместного информационно-координационного механизма;</w:t>
      </w:r>
    </w:p>
    <w:p w14:paraId="6F50D98E" w14:textId="77777777" w:rsidR="00D14735" w:rsidRPr="00925B93" w:rsidRDefault="00D14735">
      <w:pPr>
        <w:numPr>
          <w:ilvl w:val="0"/>
          <w:numId w:val="5"/>
        </w:numPr>
        <w:ind w:left="1247" w:firstLine="624"/>
        <w:rPr>
          <w:rFonts w:eastAsia="Calibri"/>
        </w:rPr>
      </w:pPr>
      <w:r w:rsidRPr="00925B93">
        <w:rPr>
          <w:rFonts w:eastAsia="Calibri"/>
          <w:i/>
          <w:iCs/>
        </w:rPr>
        <w:t xml:space="preserve">принимает к сведению </w:t>
      </w:r>
      <w:r w:rsidRPr="00925B93">
        <w:rPr>
          <w:rFonts w:eastAsia="Calibri"/>
        </w:rPr>
        <w:t>план работы по реализации совместного информационно</w:t>
      </w:r>
      <w:r>
        <w:rPr>
          <w:rFonts w:eastAsia="Calibri"/>
        </w:rPr>
        <w:noBreakHyphen/>
      </w:r>
      <w:r w:rsidRPr="00925B93">
        <w:rPr>
          <w:rFonts w:eastAsia="Calibri"/>
        </w:rPr>
        <w:t>координационного механизма на двухгодичный период 2022-2023 годов</w:t>
      </w:r>
      <w:r w:rsidRPr="00925B93">
        <w:rPr>
          <w:rFonts w:eastAsia="Calibri"/>
          <w:vertAlign w:val="superscript"/>
        </w:rPr>
        <w:footnoteReference w:id="1"/>
      </w:r>
      <w:r w:rsidRPr="00925B93">
        <w:rPr>
          <w:rFonts w:eastAsia="Calibri"/>
        </w:rPr>
        <w:t>;</w:t>
      </w:r>
    </w:p>
    <w:p w14:paraId="0BB71FCA" w14:textId="77777777" w:rsidR="00D14735" w:rsidRPr="00925B93" w:rsidRDefault="00D14735">
      <w:pPr>
        <w:numPr>
          <w:ilvl w:val="0"/>
          <w:numId w:val="5"/>
        </w:numPr>
        <w:ind w:left="1247" w:firstLine="624"/>
        <w:rPr>
          <w:rFonts w:eastAsia="Calibri"/>
          <w:lang w:val="en-US"/>
        </w:rPr>
      </w:pPr>
      <w:r w:rsidRPr="00925B93">
        <w:rPr>
          <w:rFonts w:eastAsia="Calibri"/>
          <w:i/>
          <w:iCs/>
        </w:rPr>
        <w:t>поручает</w:t>
      </w:r>
      <w:r w:rsidRPr="00925B93">
        <w:rPr>
          <w:rFonts w:eastAsia="Calibri"/>
        </w:rPr>
        <w:t xml:space="preserve"> секретариату:</w:t>
      </w:r>
    </w:p>
    <w:p w14:paraId="0B4B3DF6" w14:textId="77777777" w:rsidR="00D14735" w:rsidRPr="00925B93" w:rsidRDefault="00D14735">
      <w:pPr>
        <w:numPr>
          <w:ilvl w:val="1"/>
          <w:numId w:val="6"/>
        </w:numPr>
        <w:ind w:left="1247" w:firstLine="624"/>
        <w:rPr>
          <w:rFonts w:eastAsia="Calibri"/>
        </w:rPr>
      </w:pPr>
      <w:r w:rsidRPr="00925B93">
        <w:rPr>
          <w:rFonts w:eastAsia="Calibri"/>
        </w:rPr>
        <w:t>продолжать работу по осуществлению стратегии в отношении совместного информационно-координационного механизма</w:t>
      </w:r>
      <w:r w:rsidRPr="00925B93">
        <w:rPr>
          <w:rFonts w:eastAsia="Calibri"/>
          <w:vertAlign w:val="superscript"/>
        </w:rPr>
        <w:footnoteReference w:id="2"/>
      </w:r>
      <w:r w:rsidRPr="00925B93">
        <w:rPr>
          <w:rFonts w:eastAsia="Calibri"/>
        </w:rPr>
        <w:t xml:space="preserve"> поступательным и затратоэффективным образом;</w:t>
      </w:r>
    </w:p>
    <w:p w14:paraId="6094B4F9" w14:textId="77777777" w:rsidR="00D14735" w:rsidRPr="00925B93" w:rsidRDefault="00D14735">
      <w:pPr>
        <w:numPr>
          <w:ilvl w:val="1"/>
          <w:numId w:val="6"/>
        </w:numPr>
        <w:ind w:left="1247" w:firstLine="624"/>
        <w:rPr>
          <w:rFonts w:eastAsia="Calibri"/>
        </w:rPr>
      </w:pPr>
      <w:r w:rsidRPr="00925B93">
        <w:rPr>
          <w:rFonts w:eastAsia="Calibri"/>
        </w:rPr>
        <w:t xml:space="preserve">осуществлять мероприятия по обслуживанию, предусмотренные в разделе II.A плана работы по реализации совместного информационно-координационного механизма на двухгодичный период 2022-2023 годов, о котором говорится в пункте 2 настоящего решения, в соответствии с программой работы и бюджетом Конвенции, уделяя при этом приоритетное внимание повторяющимся видам деятельности, в частности, связанным с обслуживанием существующих систем; </w:t>
      </w:r>
    </w:p>
    <w:p w14:paraId="43EF8D8C" w14:textId="77777777" w:rsidR="00D14735" w:rsidRPr="00925B93" w:rsidRDefault="00D14735">
      <w:pPr>
        <w:numPr>
          <w:ilvl w:val="1"/>
          <w:numId w:val="6"/>
        </w:numPr>
        <w:ind w:left="1247" w:firstLine="624"/>
        <w:rPr>
          <w:rFonts w:eastAsia="Calibri"/>
        </w:rPr>
      </w:pPr>
      <w:r w:rsidRPr="00925B93">
        <w:rPr>
          <w:rFonts w:eastAsia="Calibri"/>
        </w:rPr>
        <w:t>осуществлять, при условии наличия ресурсов, мероприятия, предусмотренные в разделе II.B плана работы по реализации совместного информационно-координационного механизма на двухгодичный период 2022-2023 годов, о котором говорится в пункте 2 настоящего решения, в соответствии с программой работы и бюджетом Конвенции на указанный двухгодичный период;</w:t>
      </w:r>
    </w:p>
    <w:p w14:paraId="58160C93" w14:textId="77777777" w:rsidR="00D14735" w:rsidRPr="00925B93" w:rsidRDefault="00D14735">
      <w:pPr>
        <w:numPr>
          <w:ilvl w:val="0"/>
          <w:numId w:val="5"/>
        </w:numPr>
        <w:ind w:left="1247" w:firstLine="624"/>
        <w:rPr>
          <w:rFonts w:eastAsia="Calibri"/>
          <w:lang w:val="en-US"/>
        </w:rPr>
      </w:pPr>
      <w:r w:rsidRPr="00925B93">
        <w:rPr>
          <w:rFonts w:eastAsia="Calibri"/>
          <w:i/>
          <w:iCs/>
        </w:rPr>
        <w:t xml:space="preserve">также поручает </w:t>
      </w:r>
      <w:r w:rsidRPr="00925B93">
        <w:rPr>
          <w:rFonts w:eastAsia="Calibri"/>
        </w:rPr>
        <w:t>секретариату:</w:t>
      </w:r>
    </w:p>
    <w:p w14:paraId="60ED3FA3" w14:textId="77777777" w:rsidR="00D14735" w:rsidRPr="00925B93" w:rsidRDefault="00D14735">
      <w:pPr>
        <w:numPr>
          <w:ilvl w:val="1"/>
          <w:numId w:val="7"/>
        </w:numPr>
        <w:ind w:left="1247" w:firstLine="624"/>
        <w:rPr>
          <w:rFonts w:eastAsia="Calibri"/>
        </w:rPr>
      </w:pPr>
      <w:r w:rsidRPr="00925B93">
        <w:rPr>
          <w:rFonts w:eastAsia="Calibri"/>
        </w:rPr>
        <w:t>продолжать расширять деятельность в сфере сотрудничества и координации с существующими партнерами в области обмена информацией, изучать возможность проведения в надлежащих случаях совместных мероприятий с новыми партнерами, обеспечивать взаимодополняемость существующих и будущих мероприятий, инструментов и механизмов и избегать их дублирования;</w:t>
      </w:r>
    </w:p>
    <w:p w14:paraId="08AF4110" w14:textId="77777777" w:rsidR="00D14735" w:rsidRPr="00925B93" w:rsidRDefault="00D14735">
      <w:pPr>
        <w:numPr>
          <w:ilvl w:val="1"/>
          <w:numId w:val="7"/>
        </w:numPr>
        <w:ind w:left="1247" w:firstLine="624"/>
        <w:rPr>
          <w:rFonts w:eastAsia="Calibri"/>
        </w:rPr>
      </w:pPr>
      <w:r w:rsidRPr="00925B93">
        <w:rPr>
          <w:rFonts w:eastAsia="Calibri"/>
        </w:rPr>
        <w:t>продолжать сотрудничество с секретариатом Минаматской конвенции о ртути в целях обмена информацией, опытом и передовой практикой в области использования существующих систем информационно-координационного механизма;</w:t>
      </w:r>
    </w:p>
    <w:p w14:paraId="465FA50E" w14:textId="77777777" w:rsidR="00D14735" w:rsidRPr="00925B93" w:rsidRDefault="00D14735">
      <w:pPr>
        <w:numPr>
          <w:ilvl w:val="0"/>
          <w:numId w:val="5"/>
        </w:numPr>
        <w:ind w:left="1247" w:firstLine="624"/>
        <w:rPr>
          <w:rFonts w:eastAsia="Calibri"/>
        </w:rPr>
      </w:pPr>
      <w:r w:rsidRPr="00925B93">
        <w:rPr>
          <w:rFonts w:eastAsia="Calibri"/>
          <w:i/>
          <w:iCs/>
        </w:rPr>
        <w:t>предлагает</w:t>
      </w:r>
      <w:r w:rsidRPr="00925B93">
        <w:rPr>
          <w:rFonts w:eastAsia="Calibri"/>
        </w:rPr>
        <w:t xml:space="preserve"> Сторонам и наблюдателям в надлежащих случаях принимать участие во внедрении и дальнейшей разработке стратегии в отношении совместного информационно-координационного механизма и в соответствующих мероприятиях, предусмотренных в плане работы на двухгодичный период 2022-2023 годов согласно настоящему решению; </w:t>
      </w:r>
    </w:p>
    <w:p w14:paraId="5E4BE44C" w14:textId="77777777" w:rsidR="00D14735" w:rsidRPr="00925B93" w:rsidRDefault="00D14735">
      <w:pPr>
        <w:numPr>
          <w:ilvl w:val="0"/>
          <w:numId w:val="5"/>
        </w:numPr>
        <w:ind w:left="1247" w:firstLine="624"/>
        <w:rPr>
          <w:rFonts w:eastAsia="Calibri"/>
        </w:rPr>
      </w:pPr>
      <w:r w:rsidRPr="00925B93">
        <w:rPr>
          <w:rFonts w:eastAsia="Calibri"/>
          <w:i/>
          <w:iCs/>
        </w:rPr>
        <w:t>поручает</w:t>
      </w:r>
      <w:r w:rsidRPr="00925B93">
        <w:rPr>
          <w:rFonts w:eastAsia="Calibri"/>
        </w:rPr>
        <w:t xml:space="preserve"> секретариату на регулярной основе анализировать стратегию с целью учета приобретаемого опыта и соответствующих изменений в международной повестке дня по вопросам рационального регулирования химических веществ и отходов. </w:t>
      </w:r>
    </w:p>
    <w:p w14:paraId="72A577FA" w14:textId="5DE47FDE" w:rsidR="00F935A6" w:rsidRPr="00D14735" w:rsidRDefault="00F935A6" w:rsidP="00D14735"/>
    <w:sectPr w:rsidR="00F935A6" w:rsidRPr="00D147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DD660" w14:textId="77777777" w:rsidR="007947AD" w:rsidRDefault="007947AD" w:rsidP="002B66BF">
      <w:pPr>
        <w:spacing w:after="0"/>
      </w:pPr>
      <w:r>
        <w:separator/>
      </w:r>
    </w:p>
  </w:endnote>
  <w:endnote w:type="continuationSeparator" w:id="0">
    <w:p w14:paraId="7F5BCFF2" w14:textId="77777777" w:rsidR="007947AD" w:rsidRDefault="007947AD"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99400" w14:textId="77777777" w:rsidR="007947AD" w:rsidRDefault="007947AD" w:rsidP="002B66BF">
      <w:pPr>
        <w:spacing w:after="0"/>
      </w:pPr>
      <w:r>
        <w:separator/>
      </w:r>
    </w:p>
  </w:footnote>
  <w:footnote w:type="continuationSeparator" w:id="0">
    <w:p w14:paraId="5EB0FC17" w14:textId="77777777" w:rsidR="007947AD" w:rsidRDefault="007947AD" w:rsidP="002B66BF">
      <w:pPr>
        <w:spacing w:after="0"/>
      </w:pPr>
      <w:r>
        <w:continuationSeparator/>
      </w:r>
    </w:p>
  </w:footnote>
  <w:footnote w:id="1">
    <w:p w14:paraId="20822C20" w14:textId="77777777" w:rsidR="00D14735" w:rsidRPr="00AA406C" w:rsidRDefault="00D14735" w:rsidP="00D14735">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AA406C">
        <w:rPr>
          <w:sz w:val="18"/>
          <w:szCs w:val="18"/>
          <w:vertAlign w:val="superscript"/>
        </w:rPr>
        <w:footnoteRef/>
      </w:r>
      <w:r w:rsidRPr="00AA406C">
        <w:rPr>
          <w:sz w:val="18"/>
          <w:szCs w:val="18"/>
          <w:lang w:val="en-GB"/>
        </w:rPr>
        <w:t xml:space="preserve"> </w:t>
      </w:r>
      <w:r>
        <w:rPr>
          <w:sz w:val="18"/>
          <w:szCs w:val="18"/>
          <w:lang w:val="en-GB"/>
        </w:rPr>
        <w:tab/>
      </w:r>
      <w:r w:rsidRPr="00AA406C">
        <w:rPr>
          <w:sz w:val="18"/>
          <w:szCs w:val="18"/>
          <w:lang w:val="en-GB"/>
        </w:rPr>
        <w:t>UNEP/CHW.15/INF/46–UNEP/FAO/RC/COP.10/INF/30–UNEP/POPS/COP.10/INF/50.</w:t>
      </w:r>
    </w:p>
  </w:footnote>
  <w:footnote w:id="2">
    <w:p w14:paraId="3CE38C69" w14:textId="77777777" w:rsidR="00D14735" w:rsidRPr="00AA406C" w:rsidRDefault="00D14735" w:rsidP="00D14735">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AA406C">
        <w:rPr>
          <w:color w:val="000000"/>
          <w:sz w:val="18"/>
          <w:szCs w:val="18"/>
          <w:vertAlign w:val="superscript"/>
        </w:rPr>
        <w:footnoteRef/>
      </w:r>
      <w:r w:rsidRPr="00AA406C">
        <w:rPr>
          <w:sz w:val="18"/>
          <w:szCs w:val="18"/>
          <w:lang w:val="en-GB"/>
        </w:rPr>
        <w:t xml:space="preserve"> </w:t>
      </w:r>
      <w:r>
        <w:rPr>
          <w:sz w:val="18"/>
          <w:szCs w:val="18"/>
          <w:lang w:val="en-GB"/>
        </w:rPr>
        <w:tab/>
      </w:r>
      <w:r w:rsidRPr="00AA406C">
        <w:rPr>
          <w:sz w:val="18"/>
          <w:szCs w:val="18"/>
          <w:lang w:val="en-GB"/>
        </w:rPr>
        <w:t>UNEP/CHW.13/INF/47–UNEP/FAO/RC/COP.8/INF/33–UNEP/POPS/COP.8/INF/50.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E70C1"/>
    <w:multiLevelType w:val="hybridMultilevel"/>
    <w:tmpl w:val="C088BDF8"/>
    <w:styleLink w:val="EstiloImportado111"/>
    <w:lvl w:ilvl="0" w:tplc="1EA4ECA8">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 w15:restartNumberingAfterBreak="0">
    <w:nsid w:val="2A8F5D9A"/>
    <w:multiLevelType w:val="hybridMultilevel"/>
    <w:tmpl w:val="730AC78A"/>
    <w:lvl w:ilvl="0" w:tplc="FFFFFFFF">
      <w:start w:val="1"/>
      <w:numFmt w:val="lowerLetter"/>
      <w:lvlText w:val="%1)"/>
      <w:lvlJc w:val="left"/>
      <w:pPr>
        <w:ind w:left="720" w:hanging="360"/>
      </w:pPr>
      <w:rPr>
        <w:rFonts w:hint="default"/>
      </w:rPr>
    </w:lvl>
    <w:lvl w:ilvl="1" w:tplc="0B82E394">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4460200"/>
    <w:multiLevelType w:val="hybridMultilevel"/>
    <w:tmpl w:val="9342DEBA"/>
    <w:lvl w:ilvl="0" w:tplc="FFFFFFFF">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2A66A9D"/>
    <w:multiLevelType w:val="multilevel"/>
    <w:tmpl w:val="F4ACF36E"/>
    <w:styleLink w:val="Normallist7"/>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584D4F49"/>
    <w:multiLevelType w:val="hybridMultilevel"/>
    <w:tmpl w:val="433A984E"/>
    <w:styleLink w:val="Normallist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E045AAD"/>
    <w:multiLevelType w:val="hybridMultilevel"/>
    <w:tmpl w:val="B5400E32"/>
    <w:lvl w:ilvl="0" w:tplc="FFFFFFFF">
      <w:start w:val="1"/>
      <w:numFmt w:val="lowerLetter"/>
      <w:lvlText w:val="%1)"/>
      <w:lvlJc w:val="left"/>
      <w:pPr>
        <w:ind w:left="720" w:hanging="360"/>
      </w:pPr>
      <w:rPr>
        <w:rFonts w:hint="default"/>
      </w:rPr>
    </w:lvl>
    <w:lvl w:ilvl="1" w:tplc="0B82E394">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7C1F1799"/>
    <w:multiLevelType w:val="hybridMultilevel"/>
    <w:tmpl w:val="EEE092F6"/>
    <w:styleLink w:val="EstiloImportado211"/>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num w:numId="1" w16cid:durableId="380400344">
    <w:abstractNumId w:val="0"/>
  </w:num>
  <w:num w:numId="2" w16cid:durableId="564267273">
    <w:abstractNumId w:val="6"/>
  </w:num>
  <w:num w:numId="3" w16cid:durableId="1390229554">
    <w:abstractNumId w:val="4"/>
  </w:num>
  <w:num w:numId="4" w16cid:durableId="1402214900">
    <w:abstractNumId w:val="3"/>
  </w:num>
  <w:num w:numId="5" w16cid:durableId="118691044">
    <w:abstractNumId w:val="2"/>
  </w:num>
  <w:num w:numId="6" w16cid:durableId="781152210">
    <w:abstractNumId w:val="5"/>
  </w:num>
  <w:num w:numId="7" w16cid:durableId="499587089">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045920"/>
    <w:rsid w:val="000B2CB7"/>
    <w:rsid w:val="002B66BF"/>
    <w:rsid w:val="00322FE3"/>
    <w:rsid w:val="003C0A29"/>
    <w:rsid w:val="003C25AF"/>
    <w:rsid w:val="00447FD6"/>
    <w:rsid w:val="00475395"/>
    <w:rsid w:val="005A158C"/>
    <w:rsid w:val="005B1C5E"/>
    <w:rsid w:val="00617E26"/>
    <w:rsid w:val="006A2E46"/>
    <w:rsid w:val="00700627"/>
    <w:rsid w:val="007947AD"/>
    <w:rsid w:val="007A72EB"/>
    <w:rsid w:val="00836B73"/>
    <w:rsid w:val="00872B69"/>
    <w:rsid w:val="009B16ED"/>
    <w:rsid w:val="00C84536"/>
    <w:rsid w:val="00CA40F2"/>
    <w:rsid w:val="00D14735"/>
    <w:rsid w:val="00D167FF"/>
    <w:rsid w:val="00DC63BA"/>
    <w:rsid w:val="00E22051"/>
    <w:rsid w:val="00E75C1B"/>
    <w:rsid w:val="00F36D44"/>
    <w:rsid w:val="00F70037"/>
    <w:rsid w:val="00F935A6"/>
    <w:rsid w:val="00FA6F08"/>
    <w:rsid w:val="00FD2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 w:type="paragraph" w:customStyle="1" w:styleId="CH1">
    <w:name w:val="CH1"/>
    <w:basedOn w:val="Normal"/>
    <w:next w:val="Normal"/>
    <w:qFormat/>
    <w:rsid w:val="006A2E46"/>
    <w:pPr>
      <w:keepNext/>
      <w:keepLines/>
      <w:tabs>
        <w:tab w:val="right" w:pos="851"/>
        <w:tab w:val="left" w:pos="1247"/>
        <w:tab w:val="left" w:pos="1814"/>
        <w:tab w:val="left" w:pos="2381"/>
        <w:tab w:val="left" w:pos="2948"/>
        <w:tab w:val="left" w:pos="3515"/>
        <w:tab w:val="left" w:pos="4082"/>
      </w:tabs>
      <w:suppressAutoHyphens/>
      <w:spacing w:before="240"/>
      <w:ind w:left="1247" w:right="284" w:hanging="1247"/>
    </w:pPr>
    <w:rPr>
      <w:b/>
      <w:sz w:val="28"/>
      <w:szCs w:val="28"/>
      <w:lang w:val="fr-CA"/>
    </w:rPr>
  </w:style>
  <w:style w:type="character" w:customStyle="1" w:styleId="footnote">
    <w:name w:val="footnote"/>
    <w:aliases w:val="reference,16,Point,Superscript,61,reference1,68"/>
    <w:semiHidden/>
    <w:rsid w:val="006A2E46"/>
    <w:rPr>
      <w:rFonts w:ascii="Times New Roman" w:hAnsi="Times New Roman" w:cs="Times New Roman" w:hint="default"/>
      <w:color w:val="auto"/>
      <w:sz w:val="18"/>
      <w:vertAlign w:val="superscript"/>
    </w:rPr>
  </w:style>
  <w:style w:type="numbering" w:customStyle="1" w:styleId="Normallist4">
    <w:name w:val="Normal_list4"/>
    <w:basedOn w:val="NoList"/>
    <w:semiHidden/>
    <w:rsid w:val="006A2E46"/>
    <w:pPr>
      <w:numPr>
        <w:numId w:val="3"/>
      </w:numPr>
    </w:pPr>
  </w:style>
  <w:style w:type="numbering" w:customStyle="1" w:styleId="EstiloImportado111">
    <w:name w:val="Estilo Importado 111"/>
    <w:rsid w:val="006A2E46"/>
    <w:pPr>
      <w:numPr>
        <w:numId w:val="1"/>
      </w:numPr>
    </w:pPr>
  </w:style>
  <w:style w:type="numbering" w:customStyle="1" w:styleId="EstiloImportado211">
    <w:name w:val="Estilo Importado 211"/>
    <w:rsid w:val="006A2E46"/>
    <w:pPr>
      <w:numPr>
        <w:numId w:val="2"/>
      </w:numPr>
    </w:pPr>
  </w:style>
  <w:style w:type="paragraph" w:customStyle="1" w:styleId="CH2">
    <w:name w:val="CH2"/>
    <w:basedOn w:val="Normal"/>
    <w:next w:val="Normal"/>
    <w:link w:val="CH2Char"/>
    <w:qFormat/>
    <w:rsid w:val="005A158C"/>
    <w:pPr>
      <w:keepNext/>
      <w:keepLines/>
      <w:tabs>
        <w:tab w:val="right" w:pos="851"/>
        <w:tab w:val="left" w:pos="1247"/>
        <w:tab w:val="left" w:pos="1814"/>
        <w:tab w:val="left" w:pos="2381"/>
        <w:tab w:val="left" w:pos="2948"/>
        <w:tab w:val="left" w:pos="3515"/>
        <w:tab w:val="left" w:pos="4082"/>
      </w:tabs>
      <w:suppressAutoHyphens/>
      <w:spacing w:before="80"/>
      <w:ind w:left="1247" w:right="284" w:hanging="1247"/>
    </w:pPr>
    <w:rPr>
      <w:b/>
      <w:sz w:val="24"/>
      <w:szCs w:val="24"/>
      <w:lang w:val="fr-CA"/>
    </w:rPr>
  </w:style>
  <w:style w:type="character" w:customStyle="1" w:styleId="CH2Char">
    <w:name w:val="CH2 Char"/>
    <w:link w:val="CH2"/>
    <w:rsid w:val="005A158C"/>
    <w:rPr>
      <w:rFonts w:ascii="Times New Roman" w:eastAsia="Times New Roman" w:hAnsi="Times New Roman" w:cs="Times New Roman"/>
      <w:b/>
      <w:sz w:val="24"/>
      <w:szCs w:val="24"/>
      <w:lang w:val="fr-CA" w:eastAsia="en-US"/>
    </w:rPr>
  </w:style>
  <w:style w:type="numbering" w:customStyle="1" w:styleId="Normallist7">
    <w:name w:val="Normal_list7"/>
    <w:basedOn w:val="NoList"/>
    <w:rsid w:val="005A158C"/>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366</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2023-05-22T13:02:00Z</dcterms:created>
  <dcterms:modified xsi:type="dcterms:W3CDTF">2023-05-22T13:02:00Z</dcterms:modified>
</cp:coreProperties>
</file>