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9C174" w14:textId="77777777" w:rsidR="00F05D30" w:rsidRPr="00363471" w:rsidRDefault="00F05D30" w:rsidP="00F05D30">
      <w:pPr>
        <w:pStyle w:val="CH1"/>
        <w:ind w:right="46"/>
        <w:rPr>
          <w:rFonts w:ascii="SimHei" w:eastAsia="SimHei"/>
          <w:sz w:val="24"/>
          <w:szCs w:val="24"/>
          <w:lang w:eastAsia="zh-CN"/>
        </w:rPr>
      </w:pPr>
      <w:bookmarkStart w:id="0" w:name="_Hlk106800890"/>
      <w:r w:rsidRPr="002A632F">
        <w:rPr>
          <w:rFonts w:eastAsia="SimSun"/>
          <w:sz w:val="24"/>
          <w:szCs w:val="24"/>
          <w:lang w:val="zh-CN" w:eastAsia="zh-CN"/>
        </w:rPr>
        <w:tab/>
      </w:r>
      <w:r w:rsidRPr="002A632F">
        <w:rPr>
          <w:rFonts w:eastAsia="SimSun"/>
          <w:sz w:val="24"/>
          <w:szCs w:val="24"/>
          <w:lang w:val="zh-CN" w:eastAsia="zh-CN"/>
        </w:rPr>
        <w:tab/>
      </w:r>
      <w:r w:rsidRPr="00363471">
        <w:rPr>
          <w:rFonts w:eastAsia="SimSun"/>
          <w:bCs/>
          <w:sz w:val="32"/>
          <w:szCs w:val="32"/>
          <w:lang w:val="zh-CN" w:eastAsia="zh-CN"/>
        </w:rPr>
        <w:t>BC-15/27</w:t>
      </w:r>
      <w:r w:rsidRPr="00363471">
        <w:rPr>
          <w:rFonts w:eastAsia="SimSun"/>
          <w:bCs/>
          <w:sz w:val="32"/>
          <w:szCs w:val="32"/>
          <w:lang w:val="zh-CN" w:eastAsia="zh-CN"/>
        </w:rPr>
        <w:t>：</w:t>
      </w:r>
      <w:r w:rsidRPr="00363471">
        <w:rPr>
          <w:rFonts w:ascii="SimHei" w:eastAsia="SimHei" w:hint="eastAsia"/>
          <w:bCs/>
          <w:sz w:val="32"/>
          <w:szCs w:val="32"/>
          <w:lang w:val="zh-CN" w:eastAsia="zh-CN"/>
        </w:rPr>
        <w:t>协同防止和打击危险化学品和废物的非法贩运和贸易</w:t>
      </w:r>
    </w:p>
    <w:bookmarkEnd w:id="0"/>
    <w:p w14:paraId="507F6AE3" w14:textId="77777777" w:rsidR="00F05D30" w:rsidRPr="00363471" w:rsidRDefault="00F05D30" w:rsidP="00F05D30">
      <w:pPr>
        <w:pStyle w:val="Normal-pool"/>
        <w:spacing w:after="120"/>
        <w:ind w:left="1247" w:firstLine="624"/>
        <w:jc w:val="both"/>
        <w:rPr>
          <w:rFonts w:ascii="KaiTi" w:eastAsia="KaiTi" w:hAnsi="KaiTi"/>
          <w:i/>
          <w:iCs/>
          <w:sz w:val="24"/>
          <w:szCs w:val="24"/>
        </w:rPr>
      </w:pPr>
      <w:proofErr w:type="spellStart"/>
      <w:r w:rsidRPr="00363471">
        <w:rPr>
          <w:rFonts w:ascii="KaiTi" w:eastAsia="KaiTi" w:hAnsi="KaiTi"/>
          <w:sz w:val="24"/>
          <w:szCs w:val="24"/>
          <w:lang w:val="zh-CN"/>
        </w:rPr>
        <w:t>缔约方大会</w:t>
      </w:r>
      <w:proofErr w:type="spellEnd"/>
    </w:p>
    <w:p w14:paraId="433467F2" w14:textId="77777777" w:rsidR="00F05D30" w:rsidRPr="006F3D1B" w:rsidRDefault="00F05D30" w:rsidP="00F05D30">
      <w:pPr>
        <w:pStyle w:val="CH2"/>
        <w:ind w:firstLine="0"/>
        <w:jc w:val="center"/>
        <w:rPr>
          <w:rFonts w:eastAsia="SimSun"/>
          <w:b w:val="0"/>
          <w:sz w:val="28"/>
          <w:szCs w:val="28"/>
        </w:rPr>
      </w:pPr>
      <w:r w:rsidRPr="006F3D1B">
        <w:rPr>
          <w:rFonts w:ascii="SimHei" w:eastAsia="SimHei" w:hint="eastAsia"/>
          <w:bCs/>
          <w:sz w:val="28"/>
          <w:szCs w:val="28"/>
          <w:lang w:val="zh-CN"/>
        </w:rPr>
        <w:t>一</w:t>
      </w:r>
      <w:r w:rsidRPr="006F3D1B">
        <w:rPr>
          <w:rStyle w:val="FootnoteReference"/>
          <w:sz w:val="28"/>
          <w:szCs w:val="28"/>
          <w:lang w:val="zh-CN"/>
        </w:rPr>
        <w:footnoteReference w:id="1"/>
      </w:r>
    </w:p>
    <w:p w14:paraId="4C8494D1" w14:textId="77777777" w:rsidR="00F05D30" w:rsidRPr="006F3D1B" w:rsidRDefault="00F05D30" w:rsidP="00F05D30">
      <w:pPr>
        <w:pStyle w:val="Normal-pool"/>
        <w:numPr>
          <w:ilvl w:val="0"/>
          <w:numId w:val="23"/>
        </w:numPr>
        <w:tabs>
          <w:tab w:val="clear" w:pos="1247"/>
          <w:tab w:val="clear" w:pos="1814"/>
        </w:tabs>
        <w:spacing w:after="120"/>
        <w:ind w:left="1247" w:firstLine="624"/>
        <w:jc w:val="both"/>
        <w:rPr>
          <w:rFonts w:eastAsia="SimSun"/>
          <w:sz w:val="24"/>
          <w:szCs w:val="24"/>
          <w:lang w:eastAsia="zh-CN"/>
        </w:rPr>
      </w:pPr>
      <w:bookmarkStart w:id="1" w:name="_Hlk62245486"/>
      <w:r w:rsidRPr="006F3D1B">
        <w:rPr>
          <w:rFonts w:ascii="KaiTi" w:eastAsia="KaiTi" w:hAnsi="KaiTi"/>
          <w:sz w:val="24"/>
          <w:szCs w:val="24"/>
          <w:lang w:val="zh-CN" w:eastAsia="zh-CN"/>
        </w:rPr>
        <w:t>通过</w:t>
      </w:r>
      <w:r w:rsidRPr="006F3D1B">
        <w:rPr>
          <w:rFonts w:eastAsia="SimSun"/>
          <w:sz w:val="24"/>
          <w:szCs w:val="24"/>
          <w:lang w:val="zh-CN" w:eastAsia="zh-CN"/>
        </w:rPr>
        <w:t>便于鹿特丹公约和斯德哥尔摩公约缔约方就违反这些公约的贸易案件自愿提供信息的表格；</w:t>
      </w:r>
      <w:r w:rsidRPr="006F3D1B">
        <w:rPr>
          <w:rFonts w:eastAsia="SimSun"/>
          <w:sz w:val="24"/>
          <w:szCs w:val="24"/>
          <w:vertAlign w:val="superscript"/>
          <w:lang w:val="zh-CN"/>
        </w:rPr>
        <w:footnoteReference w:id="2"/>
      </w:r>
      <w:bookmarkEnd w:id="1"/>
    </w:p>
    <w:p w14:paraId="154DF0F7" w14:textId="77777777" w:rsidR="00F05D30" w:rsidRPr="002A632F" w:rsidRDefault="00F05D30" w:rsidP="00F05D30">
      <w:pPr>
        <w:pStyle w:val="Normal-pool"/>
        <w:numPr>
          <w:ilvl w:val="0"/>
          <w:numId w:val="23"/>
        </w:numPr>
        <w:tabs>
          <w:tab w:val="clear" w:pos="1247"/>
          <w:tab w:val="clear" w:pos="1814"/>
        </w:tabs>
        <w:spacing w:after="120"/>
        <w:ind w:left="1247" w:firstLine="624"/>
        <w:jc w:val="both"/>
        <w:rPr>
          <w:rFonts w:eastAsia="SimSun"/>
          <w:sz w:val="24"/>
          <w:szCs w:val="24"/>
          <w:lang w:eastAsia="zh-CN"/>
        </w:rPr>
      </w:pPr>
      <w:r w:rsidRPr="00363471">
        <w:rPr>
          <w:rFonts w:ascii="KaiTi" w:eastAsia="KaiTi" w:hAnsi="KaiTi"/>
          <w:sz w:val="24"/>
          <w:szCs w:val="24"/>
          <w:lang w:val="zh-CN" w:eastAsia="zh-CN"/>
        </w:rPr>
        <w:t>鼓励</w:t>
      </w:r>
      <w:r w:rsidRPr="002A632F">
        <w:rPr>
          <w:rFonts w:eastAsia="SimSun"/>
          <w:sz w:val="24"/>
          <w:szCs w:val="24"/>
          <w:lang w:val="zh-CN" w:eastAsia="zh-CN"/>
        </w:rPr>
        <w:t>缔约方使用本决定第</w:t>
      </w:r>
      <w:r w:rsidRPr="002A632F">
        <w:rPr>
          <w:rFonts w:eastAsia="SimSun"/>
          <w:sz w:val="24"/>
          <w:szCs w:val="24"/>
          <w:lang w:val="zh-CN" w:eastAsia="zh-CN"/>
        </w:rPr>
        <w:t>1</w:t>
      </w:r>
      <w:r w:rsidRPr="002A632F">
        <w:rPr>
          <w:rFonts w:eastAsia="SimSun"/>
          <w:sz w:val="24"/>
          <w:szCs w:val="24"/>
          <w:lang w:val="zh-CN" w:eastAsia="zh-CN"/>
        </w:rPr>
        <w:t>段提及的表格，就违反《鹿特丹公约》和《斯德哥尔摩公约》的贸易案件提供信息；</w:t>
      </w:r>
    </w:p>
    <w:p w14:paraId="6A2201CE" w14:textId="77777777" w:rsidR="00F05D30" w:rsidRPr="002A632F" w:rsidRDefault="00F05D30" w:rsidP="00F05D30">
      <w:pPr>
        <w:pStyle w:val="Normal-pool"/>
        <w:numPr>
          <w:ilvl w:val="0"/>
          <w:numId w:val="23"/>
        </w:numPr>
        <w:tabs>
          <w:tab w:val="clear" w:pos="1247"/>
          <w:tab w:val="clear" w:pos="1814"/>
        </w:tabs>
        <w:spacing w:after="120"/>
        <w:ind w:left="1247" w:firstLine="624"/>
        <w:jc w:val="both"/>
        <w:rPr>
          <w:rFonts w:eastAsia="SimSun"/>
          <w:sz w:val="24"/>
          <w:szCs w:val="24"/>
        </w:rPr>
      </w:pPr>
      <w:proofErr w:type="spellStart"/>
      <w:r w:rsidRPr="00363471">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35AC2004" w14:textId="77777777" w:rsidR="00F05D30" w:rsidRPr="002A632F" w:rsidRDefault="00F05D30" w:rsidP="00F05D30">
      <w:pPr>
        <w:numPr>
          <w:ilvl w:val="1"/>
          <w:numId w:val="24"/>
        </w:numPr>
        <w:tabs>
          <w:tab w:val="left" w:pos="624"/>
          <w:tab w:val="left" w:pos="1247"/>
          <w:tab w:val="left" w:pos="1814"/>
          <w:tab w:val="left" w:pos="2381"/>
          <w:tab w:val="left" w:pos="2948"/>
          <w:tab w:val="left" w:pos="3515"/>
        </w:tabs>
        <w:spacing w:line="240" w:lineRule="auto"/>
        <w:ind w:left="1247" w:firstLine="624"/>
        <w:rPr>
          <w:rFonts w:eastAsia="SimSun"/>
          <w:sz w:val="24"/>
          <w:szCs w:val="24"/>
        </w:rPr>
      </w:pPr>
      <w:r w:rsidRPr="002A632F">
        <w:rPr>
          <w:rFonts w:eastAsia="SimSun"/>
          <w:sz w:val="24"/>
          <w:szCs w:val="24"/>
          <w:lang w:val="zh-CN"/>
        </w:rPr>
        <w:t>收集缔约方自愿提交的、关于违反《公约》规定的危险化学品和废物非法贸易所涉缔约方的已确认案件的信息，事先通知有关缔约方，并在公约网站上公布此类信息；</w:t>
      </w:r>
    </w:p>
    <w:p w14:paraId="27550DAD" w14:textId="77777777" w:rsidR="00F05D30" w:rsidRPr="006F3D1B" w:rsidRDefault="00F05D30" w:rsidP="00F05D30">
      <w:pPr>
        <w:numPr>
          <w:ilvl w:val="1"/>
          <w:numId w:val="24"/>
        </w:numPr>
        <w:tabs>
          <w:tab w:val="left" w:pos="624"/>
          <w:tab w:val="left" w:pos="1247"/>
          <w:tab w:val="left" w:pos="1814"/>
          <w:tab w:val="left" w:pos="2381"/>
          <w:tab w:val="left" w:pos="2948"/>
          <w:tab w:val="left" w:pos="3515"/>
        </w:tabs>
        <w:spacing w:line="240" w:lineRule="auto"/>
        <w:ind w:left="1247" w:firstLine="624"/>
        <w:rPr>
          <w:rFonts w:eastAsia="SimSun"/>
          <w:color w:val="000000"/>
          <w:sz w:val="24"/>
          <w:szCs w:val="24"/>
        </w:rPr>
      </w:pPr>
      <w:r w:rsidRPr="002A632F">
        <w:rPr>
          <w:rFonts w:eastAsia="SimSun"/>
          <w:sz w:val="24"/>
          <w:szCs w:val="24"/>
          <w:lang w:val="zh-CN"/>
        </w:rPr>
        <w:t>审查在《鹿特丹公约》和《斯德哥尔摩公约》下与负有防止和打击危险化学品非法贸易任务的国际组织或实体的现有合作安排，并在资源允许的情况下参考《巴塞尔公约》</w:t>
      </w:r>
      <w:r w:rsidRPr="006F3D1B">
        <w:rPr>
          <w:rFonts w:eastAsia="SimSun"/>
          <w:sz w:val="24"/>
          <w:szCs w:val="24"/>
          <w:lang w:val="zh-CN"/>
        </w:rPr>
        <w:t>的相关经验编写一份报告（包括加强这类安排的建议），供缔约方大会第十六次会议审议；</w:t>
      </w:r>
    </w:p>
    <w:p w14:paraId="04FA5F9F" w14:textId="77777777" w:rsidR="00F05D30" w:rsidRPr="006F3D1B" w:rsidRDefault="00F05D30" w:rsidP="00F05D30">
      <w:pPr>
        <w:pStyle w:val="CH2"/>
        <w:ind w:firstLine="0"/>
        <w:jc w:val="center"/>
        <w:rPr>
          <w:rFonts w:eastAsia="SimSun"/>
          <w:b w:val="0"/>
          <w:sz w:val="28"/>
          <w:szCs w:val="28"/>
        </w:rPr>
      </w:pPr>
      <w:r w:rsidRPr="006F3D1B">
        <w:rPr>
          <w:rFonts w:ascii="SimHei" w:eastAsia="SimHei"/>
          <w:bCs/>
          <w:sz w:val="28"/>
          <w:szCs w:val="28"/>
          <w:lang w:val="zh-CN"/>
        </w:rPr>
        <w:t>二</w:t>
      </w:r>
      <w:r w:rsidRPr="006F3D1B">
        <w:rPr>
          <w:rStyle w:val="FootnoteReference"/>
          <w:sz w:val="28"/>
          <w:szCs w:val="28"/>
          <w:lang w:val="zh-CN"/>
        </w:rPr>
        <w:footnoteReference w:id="3"/>
      </w:r>
    </w:p>
    <w:p w14:paraId="14330BF7" w14:textId="77777777" w:rsidR="00F05D30" w:rsidRPr="006F3D1B" w:rsidRDefault="00F05D30" w:rsidP="00F05D30">
      <w:pPr>
        <w:pStyle w:val="Normal-pool"/>
        <w:numPr>
          <w:ilvl w:val="0"/>
          <w:numId w:val="23"/>
        </w:numPr>
        <w:tabs>
          <w:tab w:val="clear" w:pos="1247"/>
          <w:tab w:val="clear" w:pos="1814"/>
        </w:tabs>
        <w:spacing w:after="120"/>
        <w:ind w:left="1247" w:firstLine="624"/>
        <w:jc w:val="both"/>
        <w:rPr>
          <w:rFonts w:eastAsia="SimSun"/>
          <w:sz w:val="24"/>
          <w:szCs w:val="24"/>
          <w:lang w:eastAsia="zh-CN"/>
        </w:rPr>
      </w:pPr>
      <w:r w:rsidRPr="006F3D1B">
        <w:rPr>
          <w:rFonts w:ascii="KaiTi" w:eastAsia="KaiTi" w:hAnsi="KaiTi"/>
          <w:sz w:val="24"/>
          <w:szCs w:val="24"/>
          <w:lang w:val="zh-CN" w:eastAsia="zh-CN"/>
        </w:rPr>
        <w:t>提醒</w:t>
      </w:r>
      <w:r w:rsidRPr="006F3D1B">
        <w:rPr>
          <w:rFonts w:eastAsia="SimSun"/>
          <w:sz w:val="24"/>
          <w:szCs w:val="24"/>
          <w:lang w:val="zh-CN" w:eastAsia="zh-CN"/>
        </w:rPr>
        <w:t>巴塞尔公约缔约方使用报告已确认非法贩运案件的规定表格</w:t>
      </w:r>
      <w:r w:rsidRPr="006F3D1B">
        <w:rPr>
          <w:rFonts w:eastAsia="SimSun"/>
          <w:sz w:val="24"/>
          <w:szCs w:val="24"/>
          <w:vertAlign w:val="superscript"/>
          <w:lang w:val="zh-CN"/>
        </w:rPr>
        <w:footnoteReference w:id="4"/>
      </w:r>
      <w:r w:rsidRPr="006F3D1B">
        <w:rPr>
          <w:rFonts w:eastAsia="SimSun"/>
          <w:sz w:val="24"/>
          <w:szCs w:val="24"/>
          <w:lang w:val="zh-CN" w:eastAsia="zh-CN"/>
        </w:rPr>
        <w:t>，或通过国家报告格式中用于报告已在报告年度内结案的非法贩运案件的表</w:t>
      </w:r>
      <w:r w:rsidRPr="006F3D1B">
        <w:rPr>
          <w:rFonts w:eastAsia="SimSun"/>
          <w:sz w:val="24"/>
          <w:szCs w:val="24"/>
          <w:lang w:val="zh-CN" w:eastAsia="zh-CN"/>
        </w:rPr>
        <w:t>9</w:t>
      </w:r>
      <w:r w:rsidRPr="006F3D1B">
        <w:rPr>
          <w:rFonts w:eastAsia="SimSun"/>
          <w:sz w:val="24"/>
          <w:szCs w:val="24"/>
          <w:lang w:val="zh-CN" w:eastAsia="zh-CN"/>
        </w:rPr>
        <w:t>，向秘书处报告非法贩运案件；</w:t>
      </w:r>
    </w:p>
    <w:p w14:paraId="055EB4DD" w14:textId="77777777" w:rsidR="00F05D30" w:rsidRPr="006F3D1B" w:rsidRDefault="00F05D30" w:rsidP="00F05D30">
      <w:pPr>
        <w:pStyle w:val="CH2"/>
        <w:ind w:firstLine="0"/>
        <w:jc w:val="center"/>
        <w:rPr>
          <w:rFonts w:ascii="SimHei" w:eastAsia="SimHei"/>
          <w:bCs/>
          <w:sz w:val="28"/>
          <w:szCs w:val="28"/>
          <w:lang w:val="zh-CN"/>
        </w:rPr>
      </w:pPr>
      <w:r w:rsidRPr="006F3D1B">
        <w:rPr>
          <w:rFonts w:ascii="SimHei" w:eastAsia="SimHei"/>
          <w:bCs/>
          <w:sz w:val="28"/>
          <w:szCs w:val="28"/>
          <w:lang w:val="zh-CN"/>
        </w:rPr>
        <w:t>三</w:t>
      </w:r>
    </w:p>
    <w:p w14:paraId="1D4D2342" w14:textId="77777777" w:rsidR="00F05D30" w:rsidRPr="006F3D1B" w:rsidRDefault="00F05D30" w:rsidP="00F05D30">
      <w:pPr>
        <w:pStyle w:val="Normal-pool"/>
        <w:numPr>
          <w:ilvl w:val="0"/>
          <w:numId w:val="23"/>
        </w:numPr>
        <w:tabs>
          <w:tab w:val="clear" w:pos="1247"/>
          <w:tab w:val="clear" w:pos="1814"/>
        </w:tabs>
        <w:spacing w:after="120"/>
        <w:ind w:left="1247" w:firstLine="624"/>
        <w:jc w:val="both"/>
        <w:rPr>
          <w:rFonts w:eastAsia="SimSun"/>
          <w:sz w:val="24"/>
          <w:szCs w:val="24"/>
          <w:lang w:eastAsia="zh-CN"/>
        </w:rPr>
      </w:pPr>
      <w:r w:rsidRPr="006F3D1B">
        <w:rPr>
          <w:rFonts w:ascii="KaiTi" w:eastAsia="KaiTi" w:hAnsi="KaiTi"/>
          <w:sz w:val="24"/>
          <w:szCs w:val="24"/>
          <w:lang w:val="zh-CN" w:eastAsia="zh-CN"/>
        </w:rPr>
        <w:t>回顾</w:t>
      </w:r>
      <w:r w:rsidRPr="006F3D1B">
        <w:rPr>
          <w:rFonts w:eastAsia="SimSun"/>
          <w:sz w:val="24"/>
          <w:szCs w:val="24"/>
          <w:lang w:val="zh-CN" w:eastAsia="zh-CN"/>
        </w:rPr>
        <w:t>关于协同防止和打击危险化学品和废物的非法贩运和贸易的</w:t>
      </w:r>
      <w:r w:rsidRPr="006F3D1B">
        <w:rPr>
          <w:rFonts w:eastAsia="SimSun"/>
          <w:sz w:val="24"/>
          <w:szCs w:val="24"/>
          <w:lang w:val="zh-CN" w:eastAsia="zh-CN"/>
        </w:rPr>
        <w:t>BC-14/24</w:t>
      </w:r>
      <w:r w:rsidRPr="006F3D1B">
        <w:rPr>
          <w:rFonts w:eastAsia="SimSun"/>
          <w:sz w:val="24"/>
          <w:szCs w:val="24"/>
          <w:lang w:val="zh-CN" w:eastAsia="zh-CN"/>
        </w:rPr>
        <w:t>、</w:t>
      </w:r>
      <w:r w:rsidRPr="006F3D1B">
        <w:rPr>
          <w:rFonts w:eastAsia="SimSun"/>
          <w:sz w:val="24"/>
          <w:szCs w:val="24"/>
          <w:lang w:val="zh-CN" w:eastAsia="zh-CN"/>
        </w:rPr>
        <w:t>RC-9/12</w:t>
      </w:r>
      <w:r w:rsidRPr="006F3D1B">
        <w:rPr>
          <w:rFonts w:eastAsia="SimSun"/>
          <w:sz w:val="24"/>
          <w:szCs w:val="24"/>
          <w:lang w:val="zh-CN" w:eastAsia="zh-CN"/>
        </w:rPr>
        <w:t>和</w:t>
      </w:r>
      <w:r w:rsidRPr="006F3D1B">
        <w:rPr>
          <w:rFonts w:eastAsia="SimSun"/>
          <w:sz w:val="24"/>
          <w:szCs w:val="24"/>
          <w:lang w:val="zh-CN" w:eastAsia="zh-CN"/>
        </w:rPr>
        <w:t>SC-9/22</w:t>
      </w:r>
      <w:r w:rsidRPr="006F3D1B">
        <w:rPr>
          <w:rFonts w:eastAsia="SimSun"/>
          <w:sz w:val="24"/>
          <w:szCs w:val="24"/>
          <w:lang w:val="zh-CN" w:eastAsia="zh-CN"/>
        </w:rPr>
        <w:t>号决定，特别是这几项决定的第</w:t>
      </w:r>
      <w:r w:rsidRPr="006F3D1B">
        <w:rPr>
          <w:rFonts w:eastAsia="SimSun"/>
          <w:sz w:val="24"/>
          <w:szCs w:val="24"/>
          <w:lang w:val="zh-CN" w:eastAsia="zh-CN"/>
        </w:rPr>
        <w:t>2</w:t>
      </w:r>
      <w:r w:rsidRPr="006F3D1B">
        <w:rPr>
          <w:rFonts w:eastAsia="SimSun"/>
          <w:sz w:val="24"/>
          <w:szCs w:val="24"/>
          <w:lang w:val="zh-CN" w:eastAsia="zh-CN"/>
        </w:rPr>
        <w:t>段，</w:t>
      </w:r>
    </w:p>
    <w:p w14:paraId="334E4B75" w14:textId="77777777" w:rsidR="00F05D30" w:rsidRPr="006F3D1B" w:rsidRDefault="00F05D30" w:rsidP="00F05D30">
      <w:pPr>
        <w:pStyle w:val="Normal-pool"/>
        <w:numPr>
          <w:ilvl w:val="0"/>
          <w:numId w:val="23"/>
        </w:numPr>
        <w:tabs>
          <w:tab w:val="clear" w:pos="1247"/>
          <w:tab w:val="clear" w:pos="1814"/>
        </w:tabs>
        <w:spacing w:after="120"/>
        <w:ind w:left="1247" w:firstLine="624"/>
        <w:jc w:val="both"/>
        <w:rPr>
          <w:rFonts w:eastAsia="SimSun"/>
          <w:sz w:val="24"/>
          <w:szCs w:val="24"/>
          <w:lang w:eastAsia="zh-CN"/>
        </w:rPr>
      </w:pPr>
      <w:r w:rsidRPr="006F3D1B">
        <w:rPr>
          <w:rFonts w:ascii="KaiTi" w:eastAsia="KaiTi" w:hAnsi="KaiTi"/>
          <w:sz w:val="24"/>
          <w:szCs w:val="24"/>
          <w:lang w:val="zh-CN" w:eastAsia="zh-CN"/>
        </w:rPr>
        <w:t>邀请</w:t>
      </w:r>
      <w:r w:rsidRPr="006F3D1B">
        <w:rPr>
          <w:rFonts w:eastAsia="SimSun"/>
          <w:sz w:val="24"/>
          <w:szCs w:val="24"/>
          <w:lang w:val="zh-CN" w:eastAsia="zh-CN"/>
        </w:rPr>
        <w:t>缔约方提供防止和打击《巴塞尔公约》、《鹿特丹公约》和《斯德哥尔摩公约》所涵盖危险化学品和废物的非法贩运和贸易的最佳做法，包括它们为此目的采取的任何措施的案文；</w:t>
      </w:r>
    </w:p>
    <w:p w14:paraId="5DB18EFC" w14:textId="77777777" w:rsidR="00F05D30" w:rsidRPr="006F3D1B" w:rsidRDefault="00F05D30" w:rsidP="00F05D30">
      <w:pPr>
        <w:pStyle w:val="Normal-pool"/>
        <w:numPr>
          <w:ilvl w:val="0"/>
          <w:numId w:val="23"/>
        </w:numPr>
        <w:tabs>
          <w:tab w:val="clear" w:pos="1247"/>
          <w:tab w:val="clear" w:pos="1814"/>
        </w:tabs>
        <w:spacing w:after="120"/>
        <w:ind w:left="1247" w:firstLine="624"/>
        <w:jc w:val="both"/>
        <w:rPr>
          <w:rFonts w:eastAsia="SimSun"/>
          <w:sz w:val="24"/>
          <w:szCs w:val="24"/>
          <w:lang w:eastAsia="zh-CN"/>
        </w:rPr>
      </w:pPr>
      <w:r w:rsidRPr="006F3D1B">
        <w:rPr>
          <w:rFonts w:ascii="KaiTi" w:eastAsia="KaiTi" w:hAnsi="KaiTi"/>
          <w:sz w:val="24"/>
          <w:szCs w:val="24"/>
          <w:lang w:val="zh-CN" w:eastAsia="zh-CN"/>
        </w:rPr>
        <w:lastRenderedPageBreak/>
        <w:t>表示注意到</w:t>
      </w:r>
      <w:r w:rsidRPr="006F3D1B">
        <w:rPr>
          <w:rFonts w:eastAsia="SimSun"/>
          <w:sz w:val="24"/>
          <w:szCs w:val="24"/>
          <w:lang w:val="zh-CN" w:eastAsia="zh-CN"/>
        </w:rPr>
        <w:t>关于在负有相关任务和开展活动以防止和打击危险化学品和废物非法贩运和贸易的组织之间加强合作的机会的报告，包括建议；</w:t>
      </w:r>
      <w:r w:rsidRPr="006F3D1B">
        <w:rPr>
          <w:rFonts w:eastAsia="SimSun"/>
          <w:sz w:val="24"/>
          <w:szCs w:val="24"/>
          <w:vertAlign w:val="superscript"/>
          <w:lang w:val="zh-CN"/>
        </w:rPr>
        <w:footnoteReference w:id="5"/>
      </w:r>
    </w:p>
    <w:p w14:paraId="7FC73E52" w14:textId="77777777" w:rsidR="00F05D30" w:rsidRPr="002A632F" w:rsidRDefault="00F05D30" w:rsidP="00F05D30">
      <w:pPr>
        <w:pStyle w:val="Normal-pool"/>
        <w:numPr>
          <w:ilvl w:val="0"/>
          <w:numId w:val="23"/>
        </w:numPr>
        <w:tabs>
          <w:tab w:val="clear" w:pos="1247"/>
          <w:tab w:val="clear" w:pos="1814"/>
        </w:tabs>
        <w:spacing w:after="120"/>
        <w:ind w:left="1247" w:firstLine="624"/>
        <w:jc w:val="both"/>
        <w:rPr>
          <w:rFonts w:eastAsia="SimSun"/>
          <w:sz w:val="24"/>
          <w:szCs w:val="24"/>
          <w:lang w:eastAsia="zh-CN"/>
        </w:rPr>
      </w:pPr>
      <w:r w:rsidRPr="006F3D1B">
        <w:rPr>
          <w:rFonts w:ascii="KaiTi" w:eastAsia="KaiTi" w:hAnsi="KaiTi"/>
          <w:sz w:val="24"/>
          <w:szCs w:val="24"/>
          <w:lang w:val="zh-CN" w:eastAsia="zh-CN"/>
        </w:rPr>
        <w:t>鼓励</w:t>
      </w:r>
      <w:r w:rsidRPr="006F3D1B">
        <w:rPr>
          <w:rFonts w:eastAsia="SimSun"/>
          <w:sz w:val="24"/>
          <w:szCs w:val="24"/>
          <w:lang w:val="zh-CN" w:eastAsia="zh-CN"/>
        </w:rPr>
        <w:t>组织间健全管理化学品方案成员组织、</w:t>
      </w:r>
      <w:r w:rsidRPr="006F3D1B">
        <w:rPr>
          <w:rFonts w:eastAsia="SimSun"/>
          <w:sz w:val="24"/>
          <w:szCs w:val="24"/>
          <w:vertAlign w:val="superscript"/>
          <w:lang w:val="zh-CN"/>
        </w:rPr>
        <w:footnoteReference w:id="6"/>
      </w:r>
      <w:r w:rsidRPr="006F3D1B">
        <w:rPr>
          <w:rFonts w:eastAsia="SimSun"/>
          <w:sz w:val="24"/>
          <w:szCs w:val="24"/>
          <w:lang w:val="zh-CN" w:eastAsia="zh-CN"/>
        </w:rPr>
        <w:t xml:space="preserve"> </w:t>
      </w:r>
      <w:r w:rsidRPr="006F3D1B">
        <w:rPr>
          <w:rFonts w:eastAsia="SimSun"/>
          <w:sz w:val="24"/>
          <w:szCs w:val="24"/>
          <w:lang w:val="zh-CN" w:eastAsia="zh-CN"/>
        </w:rPr>
        <w:t>巴塞尔公约和斯德哥尔摩公约区域中心、国际刑事警察组织、世界海关组织以及相关全球和区域执法网络开展活动</w:t>
      </w:r>
      <w:r w:rsidRPr="002A632F">
        <w:rPr>
          <w:rFonts w:eastAsia="SimSun"/>
          <w:sz w:val="24"/>
          <w:szCs w:val="24"/>
          <w:lang w:val="zh-CN" w:eastAsia="zh-CN"/>
        </w:rPr>
        <w:t>，协助巴塞尔公约、鹿特丹公约和斯德哥尔摩公约缔约</w:t>
      </w:r>
      <w:proofErr w:type="gramStart"/>
      <w:r w:rsidRPr="002A632F">
        <w:rPr>
          <w:rFonts w:eastAsia="SimSun"/>
          <w:sz w:val="24"/>
          <w:szCs w:val="24"/>
          <w:lang w:val="zh-CN" w:eastAsia="zh-CN"/>
        </w:rPr>
        <w:t>方防止</w:t>
      </w:r>
      <w:proofErr w:type="gramEnd"/>
      <w:r w:rsidRPr="002A632F">
        <w:rPr>
          <w:rFonts w:eastAsia="SimSun"/>
          <w:sz w:val="24"/>
          <w:szCs w:val="24"/>
          <w:lang w:val="zh-CN" w:eastAsia="zh-CN"/>
        </w:rPr>
        <w:t>和打击危险化学品和废物的非法贩运和贸易，并就此通知秘书处；</w:t>
      </w:r>
    </w:p>
    <w:p w14:paraId="19AEDBC2" w14:textId="77777777" w:rsidR="00F05D30" w:rsidRPr="002A632F" w:rsidRDefault="00F05D30" w:rsidP="00F05D30">
      <w:pPr>
        <w:pStyle w:val="Normal-pool"/>
        <w:keepNext/>
        <w:keepLines/>
        <w:numPr>
          <w:ilvl w:val="0"/>
          <w:numId w:val="23"/>
        </w:numPr>
        <w:tabs>
          <w:tab w:val="clear" w:pos="1247"/>
          <w:tab w:val="clear" w:pos="1814"/>
        </w:tabs>
        <w:spacing w:after="120"/>
        <w:ind w:left="1247" w:firstLine="624"/>
        <w:jc w:val="both"/>
        <w:rPr>
          <w:rFonts w:eastAsia="SimSun"/>
          <w:sz w:val="24"/>
          <w:szCs w:val="24"/>
        </w:rPr>
      </w:pPr>
      <w:proofErr w:type="spellStart"/>
      <w:r w:rsidRPr="00363471">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643160A4" w14:textId="77777777" w:rsidR="00F05D30" w:rsidRPr="002A632F" w:rsidRDefault="00F05D30" w:rsidP="00F05D30">
      <w:pPr>
        <w:pStyle w:val="Normal-pool"/>
        <w:numPr>
          <w:ilvl w:val="0"/>
          <w:numId w:val="25"/>
        </w:numPr>
        <w:spacing w:after="120"/>
        <w:ind w:left="1247" w:firstLine="624"/>
        <w:jc w:val="both"/>
        <w:rPr>
          <w:rFonts w:eastAsia="SimSun"/>
          <w:sz w:val="24"/>
          <w:szCs w:val="24"/>
          <w:lang w:eastAsia="zh-CN"/>
        </w:rPr>
      </w:pPr>
      <w:r w:rsidRPr="002A632F">
        <w:rPr>
          <w:rFonts w:eastAsia="SimSun"/>
          <w:sz w:val="24"/>
          <w:szCs w:val="24"/>
          <w:lang w:val="zh-CN" w:eastAsia="zh-CN"/>
        </w:rPr>
        <w:t>继续提供咨询意见，并在资源允许的情况下开展技术援助活动，以加强缔约</w:t>
      </w:r>
      <w:proofErr w:type="gramStart"/>
      <w:r w:rsidRPr="002A632F">
        <w:rPr>
          <w:rFonts w:eastAsia="SimSun"/>
          <w:sz w:val="24"/>
          <w:szCs w:val="24"/>
          <w:lang w:val="zh-CN" w:eastAsia="zh-CN"/>
        </w:rPr>
        <w:t>方防止</w:t>
      </w:r>
      <w:proofErr w:type="gramEnd"/>
      <w:r w:rsidRPr="002A632F">
        <w:rPr>
          <w:rFonts w:eastAsia="SimSun"/>
          <w:sz w:val="24"/>
          <w:szCs w:val="24"/>
          <w:lang w:val="zh-CN" w:eastAsia="zh-CN"/>
        </w:rPr>
        <w:t>和打击《巴塞尔公约》、《鹿特丹公约》和《斯德哥尔摩公约》所涵盖危险化学品和废物的非法贩运和贸易的能力；</w:t>
      </w:r>
    </w:p>
    <w:p w14:paraId="55555223" w14:textId="77777777" w:rsidR="00F05D30" w:rsidRPr="002A632F" w:rsidRDefault="00F05D30" w:rsidP="00F05D30">
      <w:pPr>
        <w:pStyle w:val="Normal-pool"/>
        <w:numPr>
          <w:ilvl w:val="0"/>
          <w:numId w:val="25"/>
        </w:numPr>
        <w:spacing w:after="120"/>
        <w:ind w:left="1247" w:firstLine="624"/>
        <w:jc w:val="both"/>
        <w:rPr>
          <w:rFonts w:eastAsia="SimSun"/>
          <w:sz w:val="24"/>
          <w:szCs w:val="24"/>
          <w:lang w:eastAsia="zh-CN"/>
        </w:rPr>
      </w:pPr>
      <w:r w:rsidRPr="002A632F">
        <w:rPr>
          <w:rFonts w:eastAsia="SimSun"/>
          <w:sz w:val="24"/>
          <w:szCs w:val="24"/>
          <w:lang w:val="zh-CN" w:eastAsia="zh-CN"/>
        </w:rPr>
        <w:t>收集缔约</w:t>
      </w:r>
      <w:proofErr w:type="gramStart"/>
      <w:r w:rsidRPr="002A632F">
        <w:rPr>
          <w:rFonts w:eastAsia="SimSun"/>
          <w:sz w:val="24"/>
          <w:szCs w:val="24"/>
          <w:lang w:val="zh-CN" w:eastAsia="zh-CN"/>
        </w:rPr>
        <w:t>方防止</w:t>
      </w:r>
      <w:proofErr w:type="gramEnd"/>
      <w:r w:rsidRPr="002A632F">
        <w:rPr>
          <w:rFonts w:eastAsia="SimSun"/>
          <w:sz w:val="24"/>
          <w:szCs w:val="24"/>
          <w:lang w:val="zh-CN" w:eastAsia="zh-CN"/>
        </w:rPr>
        <w:t>和打击《巴塞尔公约》、《鹿特丹公约》和《斯德哥尔摩公约》所涵盖危险化学品和废物的非法贩运和贸易的最佳做法，汇编这些做法和吸取的经验教训，提交给缔约方大会第十六次会议审议；</w:t>
      </w:r>
    </w:p>
    <w:p w14:paraId="453CEB65" w14:textId="77777777" w:rsidR="00F05D30" w:rsidRPr="002A632F" w:rsidRDefault="00F05D30" w:rsidP="00F05D30">
      <w:pPr>
        <w:pStyle w:val="Normal-pool"/>
        <w:numPr>
          <w:ilvl w:val="0"/>
          <w:numId w:val="25"/>
        </w:numPr>
        <w:spacing w:after="120"/>
        <w:ind w:left="1247" w:firstLine="624"/>
        <w:jc w:val="both"/>
        <w:rPr>
          <w:rFonts w:eastAsia="SimSun"/>
          <w:sz w:val="24"/>
          <w:szCs w:val="24"/>
          <w:lang w:eastAsia="zh-CN"/>
        </w:rPr>
      </w:pPr>
      <w:r w:rsidRPr="002A632F">
        <w:rPr>
          <w:rFonts w:eastAsia="SimSun"/>
          <w:sz w:val="24"/>
          <w:szCs w:val="24"/>
          <w:lang w:val="zh-CN" w:eastAsia="zh-CN"/>
        </w:rPr>
        <w:t>应请求向缔约方提供协助，以查明危险化学品非法贸易案件；</w:t>
      </w:r>
    </w:p>
    <w:p w14:paraId="4D1F63FF" w14:textId="77777777" w:rsidR="00F05D30" w:rsidRPr="002A632F" w:rsidRDefault="00F05D30" w:rsidP="00F05D30">
      <w:pPr>
        <w:pStyle w:val="Normal-pool"/>
        <w:numPr>
          <w:ilvl w:val="0"/>
          <w:numId w:val="25"/>
        </w:numPr>
        <w:spacing w:after="120"/>
        <w:ind w:left="1247" w:firstLine="624"/>
        <w:jc w:val="both"/>
        <w:rPr>
          <w:rFonts w:eastAsia="SimSun"/>
          <w:sz w:val="24"/>
          <w:szCs w:val="24"/>
          <w:lang w:eastAsia="zh-CN"/>
        </w:rPr>
      </w:pPr>
      <w:r w:rsidRPr="002A632F">
        <w:rPr>
          <w:rFonts w:eastAsia="SimSun"/>
          <w:sz w:val="24"/>
          <w:szCs w:val="24"/>
          <w:lang w:val="zh-CN" w:eastAsia="zh-CN"/>
        </w:rPr>
        <w:t>向缔约方大会第十六次会议报告本决定的执行情况。</w:t>
      </w:r>
    </w:p>
    <w:p w14:paraId="0C07FE6E" w14:textId="214B84E6" w:rsidR="00F935A6" w:rsidRPr="00F05D30" w:rsidRDefault="00F935A6" w:rsidP="00F05D30">
      <w:pPr>
        <w:pStyle w:val="Normal-pool"/>
        <w:jc w:val="both"/>
        <w:rPr>
          <w:rFonts w:eastAsia="SimSun"/>
          <w:sz w:val="24"/>
          <w:szCs w:val="24"/>
          <w:lang w:eastAsia="zh-CN"/>
        </w:rPr>
      </w:pPr>
    </w:p>
    <w:sectPr w:rsidR="00F935A6" w:rsidRPr="00F05D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FF8E0" w14:textId="77777777" w:rsidR="009267F6" w:rsidRDefault="009267F6" w:rsidP="007B3521">
      <w:pPr>
        <w:spacing w:after="0" w:line="240" w:lineRule="auto"/>
      </w:pPr>
      <w:r>
        <w:separator/>
      </w:r>
    </w:p>
  </w:endnote>
  <w:endnote w:type="continuationSeparator" w:id="0">
    <w:p w14:paraId="5DD338C2" w14:textId="77777777" w:rsidR="009267F6" w:rsidRDefault="009267F6"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19A40" w14:textId="77777777" w:rsidR="009267F6" w:rsidRDefault="009267F6" w:rsidP="007B3521">
      <w:pPr>
        <w:spacing w:after="0" w:line="240" w:lineRule="auto"/>
      </w:pPr>
      <w:r>
        <w:separator/>
      </w:r>
    </w:p>
  </w:footnote>
  <w:footnote w:type="continuationSeparator" w:id="0">
    <w:p w14:paraId="126B55EE" w14:textId="77777777" w:rsidR="009267F6" w:rsidRDefault="009267F6" w:rsidP="007B3521">
      <w:pPr>
        <w:spacing w:after="0" w:line="240" w:lineRule="auto"/>
      </w:pPr>
      <w:r>
        <w:continuationSeparator/>
      </w:r>
    </w:p>
  </w:footnote>
  <w:footnote w:id="1">
    <w:p w14:paraId="2993904D" w14:textId="77777777" w:rsidR="00F05D30" w:rsidRPr="00FC0701" w:rsidRDefault="00F05D30" w:rsidP="00F05D30">
      <w:pPr>
        <w:pStyle w:val="Normal-pool"/>
        <w:spacing w:before="20" w:after="40"/>
        <w:ind w:left="1247"/>
        <w:rPr>
          <w:rFonts w:eastAsia="SimSun"/>
          <w:lang w:eastAsia="zh-CN"/>
        </w:rPr>
      </w:pPr>
      <w:r w:rsidRPr="00FC0701">
        <w:rPr>
          <w:rStyle w:val="FootnoteReference"/>
          <w:lang w:val="zh-CN"/>
        </w:rPr>
        <w:footnoteRef/>
      </w:r>
      <w:r w:rsidRPr="00FC0701">
        <w:rPr>
          <w:rFonts w:eastAsia="SimSun"/>
          <w:lang w:val="zh-CN" w:eastAsia="zh-CN"/>
        </w:rPr>
        <w:t xml:space="preserve"> </w:t>
      </w:r>
      <w:r w:rsidRPr="00FC0701">
        <w:rPr>
          <w:rFonts w:eastAsia="SimSun"/>
          <w:lang w:val="zh-CN" w:eastAsia="zh-CN"/>
        </w:rPr>
        <w:t>本节仅适用于鹿特丹公约和斯德哥尔摩公约缔约方大会通过的决定。</w:t>
      </w:r>
    </w:p>
  </w:footnote>
  <w:footnote w:id="2">
    <w:p w14:paraId="1D13AC2C" w14:textId="77777777" w:rsidR="00F05D30" w:rsidRPr="00FC0701" w:rsidRDefault="00F05D30" w:rsidP="00F05D30">
      <w:pPr>
        <w:pStyle w:val="Normal-pool"/>
        <w:spacing w:before="20" w:after="40"/>
        <w:ind w:left="1247"/>
        <w:rPr>
          <w:rFonts w:eastAsia="SimSun"/>
        </w:rPr>
      </w:pPr>
      <w:r w:rsidRPr="00FC0701">
        <w:rPr>
          <w:rStyle w:val="FootnoteReference"/>
          <w:lang w:val="zh-CN"/>
        </w:rPr>
        <w:footnoteRef/>
      </w:r>
      <w:r w:rsidRPr="00FC0701">
        <w:rPr>
          <w:rFonts w:eastAsia="SimSun"/>
        </w:rPr>
        <w:t xml:space="preserve"> UNEP/FAO/RC/COP.10/INF/32–UNEP/POPS/COP.10/INF/52</w:t>
      </w:r>
      <w:r w:rsidRPr="00FC0701">
        <w:rPr>
          <w:rFonts w:eastAsia="SimSun"/>
          <w:lang w:val="zh-CN"/>
        </w:rPr>
        <w:t>。</w:t>
      </w:r>
    </w:p>
  </w:footnote>
  <w:footnote w:id="3">
    <w:p w14:paraId="16C0D16E" w14:textId="77777777" w:rsidR="00F05D30" w:rsidRPr="00FC0701" w:rsidRDefault="00F05D30" w:rsidP="00F05D30">
      <w:pPr>
        <w:pStyle w:val="Normal-pool"/>
        <w:spacing w:before="20" w:after="40"/>
        <w:ind w:left="1247"/>
        <w:rPr>
          <w:rFonts w:eastAsia="SimSun"/>
          <w:lang w:eastAsia="zh-CN"/>
        </w:rPr>
      </w:pPr>
      <w:r w:rsidRPr="00FC0701">
        <w:rPr>
          <w:rStyle w:val="FootnoteReference"/>
          <w:lang w:val="zh-CN"/>
        </w:rPr>
        <w:footnoteRef/>
      </w:r>
      <w:r w:rsidRPr="00FC0701">
        <w:rPr>
          <w:rFonts w:eastAsia="SimSun"/>
          <w:lang w:val="zh-CN" w:eastAsia="zh-CN"/>
        </w:rPr>
        <w:t xml:space="preserve"> </w:t>
      </w:r>
      <w:r w:rsidRPr="00FC0701">
        <w:rPr>
          <w:rFonts w:eastAsia="SimSun"/>
          <w:lang w:val="zh-CN" w:eastAsia="zh-CN"/>
        </w:rPr>
        <w:t>本节仅适用于巴塞尔公约缔约方大会通过的决定。</w:t>
      </w:r>
    </w:p>
  </w:footnote>
  <w:footnote w:id="4">
    <w:p w14:paraId="7E2F1A56" w14:textId="77777777" w:rsidR="00F05D30" w:rsidRPr="00FC0701" w:rsidRDefault="00F05D30" w:rsidP="00F05D30">
      <w:pPr>
        <w:pStyle w:val="Normal-pool"/>
        <w:spacing w:before="20" w:after="40"/>
        <w:ind w:left="1247"/>
        <w:rPr>
          <w:rFonts w:eastAsia="SimSun"/>
        </w:rPr>
      </w:pPr>
      <w:r w:rsidRPr="00FC0701">
        <w:rPr>
          <w:rFonts w:eastAsia="SimSun"/>
          <w:vertAlign w:val="superscript"/>
          <w:lang w:val="zh-CN"/>
        </w:rPr>
        <w:footnoteRef/>
      </w:r>
      <w:r w:rsidRPr="00FC0701">
        <w:rPr>
          <w:rFonts w:eastAsia="SimSun"/>
        </w:rPr>
        <w:t xml:space="preserve"> </w:t>
      </w:r>
      <w:r w:rsidRPr="00FC0701">
        <w:rPr>
          <w:rFonts w:eastAsia="SimSun"/>
          <w:lang w:val="zh-CN"/>
        </w:rPr>
        <w:t>见</w:t>
      </w:r>
      <w:r w:rsidRPr="00FC0701">
        <w:rPr>
          <w:rFonts w:eastAsia="SimSun"/>
        </w:rPr>
        <w:t>www.basel.int/Procedures/ReportingonIllegalTraffic/tabid/1544/Default.aspx</w:t>
      </w:r>
      <w:r w:rsidRPr="00FC0701">
        <w:rPr>
          <w:rFonts w:eastAsia="SimSun"/>
          <w:lang w:val="zh-CN"/>
        </w:rPr>
        <w:t>。</w:t>
      </w:r>
    </w:p>
  </w:footnote>
  <w:footnote w:id="5">
    <w:p w14:paraId="701249FA" w14:textId="77777777" w:rsidR="00F05D30" w:rsidRPr="00FC0701" w:rsidRDefault="00F05D30" w:rsidP="00F05D30">
      <w:pPr>
        <w:pStyle w:val="Normal-pool"/>
        <w:spacing w:before="20" w:after="40"/>
        <w:ind w:left="1247"/>
        <w:rPr>
          <w:rFonts w:eastAsia="SimSun"/>
        </w:rPr>
      </w:pPr>
      <w:r w:rsidRPr="00FC0701">
        <w:rPr>
          <w:rFonts w:eastAsia="SimSun"/>
          <w:vertAlign w:val="superscript"/>
          <w:lang w:val="zh-CN"/>
        </w:rPr>
        <w:footnoteRef/>
      </w:r>
      <w:r w:rsidRPr="00FC0701">
        <w:rPr>
          <w:rFonts w:eastAsia="SimSun"/>
        </w:rPr>
        <w:t xml:space="preserve"> UNEP/CHW.15/INF/48–UNEP/FAO/RC/COP.10/INF/33–UNEP/POPS/COP.10/INF/53</w:t>
      </w:r>
      <w:r w:rsidRPr="00FC0701">
        <w:rPr>
          <w:rFonts w:eastAsia="SimSun"/>
          <w:lang w:val="zh-CN"/>
        </w:rPr>
        <w:t>。</w:t>
      </w:r>
    </w:p>
  </w:footnote>
  <w:footnote w:id="6">
    <w:p w14:paraId="08ACFC07" w14:textId="77777777" w:rsidR="00F05D30" w:rsidRPr="0017351B" w:rsidRDefault="00F05D30" w:rsidP="00F05D30">
      <w:pPr>
        <w:pStyle w:val="Normal-pool"/>
        <w:spacing w:before="20" w:after="40"/>
        <w:ind w:left="1247"/>
        <w:rPr>
          <w:sz w:val="18"/>
          <w:szCs w:val="18"/>
          <w:lang w:eastAsia="zh-CN"/>
        </w:rPr>
      </w:pPr>
      <w:r w:rsidRPr="00FC0701">
        <w:rPr>
          <w:rFonts w:eastAsia="SimSun"/>
          <w:vertAlign w:val="superscript"/>
          <w:lang w:val="zh-CN"/>
        </w:rPr>
        <w:footnoteRef/>
      </w:r>
      <w:r w:rsidRPr="00FC0701">
        <w:rPr>
          <w:rFonts w:eastAsia="SimSun"/>
          <w:lang w:val="zh-CN" w:eastAsia="zh-CN"/>
        </w:rPr>
        <w:t xml:space="preserve"> </w:t>
      </w:r>
      <w:r w:rsidRPr="00FC0701">
        <w:rPr>
          <w:rFonts w:eastAsia="SimSun"/>
          <w:lang w:val="zh-CN" w:eastAsia="zh-CN"/>
        </w:rPr>
        <w:t>联合国粮食及农业组织；国际劳工组织；联合国开发计划署；联合国环境规划署；联合国工业发展组织；联合国训练研究所；世界卫生组织；世界银行集团；经济合作与发展组织。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5E7E44"/>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24FF7BCD"/>
    <w:multiLevelType w:val="hybridMultilevel"/>
    <w:tmpl w:val="25BE336C"/>
    <w:lvl w:ilvl="0" w:tplc="41140BC2">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8F5D9A"/>
    <w:multiLevelType w:val="hybridMultilevel"/>
    <w:tmpl w:val="730AC78A"/>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8" w15:restartNumberingAfterBreak="0">
    <w:nsid w:val="3EA62E7B"/>
    <w:multiLevelType w:val="hybridMultilevel"/>
    <w:tmpl w:val="BBB82F96"/>
    <w:lvl w:ilvl="0" w:tplc="0809000F">
      <w:start w:val="1"/>
      <w:numFmt w:val="lowerLetter"/>
      <w:lvlText w:val="(%1)"/>
      <w:lvlJc w:val="left"/>
      <w:pPr>
        <w:ind w:left="1070" w:hanging="36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9" w15:restartNumberingAfterBreak="0">
    <w:nsid w:val="44460200"/>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990626E"/>
    <w:multiLevelType w:val="hybridMultilevel"/>
    <w:tmpl w:val="CF00CC14"/>
    <w:lvl w:ilvl="0" w:tplc="0809000F">
      <w:start w:val="1"/>
      <w:numFmt w:val="decimal"/>
      <w:lvlText w:val="%1."/>
      <w:lvlJc w:val="left"/>
      <w:pPr>
        <w:ind w:left="3215" w:hanging="360"/>
      </w:pPr>
    </w:lvl>
    <w:lvl w:ilvl="1" w:tplc="BA7A65DA">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C80AE52E">
      <w:start w:val="1"/>
      <w:numFmt w:val="decimal"/>
      <w:lvlText w:val="%7."/>
      <w:lvlJc w:val="left"/>
      <w:pPr>
        <w:ind w:left="7535" w:hanging="360"/>
      </w:pPr>
      <w:rPr>
        <w:rFonts w:hint="default"/>
        <w:i w:val="0"/>
        <w:iCs w:val="0"/>
      </w:r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60E047DB"/>
    <w:multiLevelType w:val="hybridMultilevel"/>
    <w:tmpl w:val="9342DEBA"/>
    <w:lvl w:ilvl="0" w:tplc="4966447C">
      <w:start w:val="1"/>
      <w:numFmt w:val="decimal"/>
      <w:lvlText w:val="%1."/>
      <w:lvlJc w:val="left"/>
      <w:pPr>
        <w:ind w:left="720" w:hanging="360"/>
      </w:pPr>
      <w:rPr>
        <w:b w:val="0"/>
        <w:bCs/>
        <w:i w:val="0"/>
        <w:iCs w:val="0"/>
        <w:strike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5EF5A70"/>
    <w:multiLevelType w:val="hybridMultilevel"/>
    <w:tmpl w:val="56CC2AEE"/>
    <w:lvl w:ilvl="0" w:tplc="EAFE9C00">
      <w:start w:val="1"/>
      <w:numFmt w:val="lowerLetter"/>
      <w:lvlText w:val="(%1)"/>
      <w:lvlJc w:val="left"/>
      <w:pPr>
        <w:ind w:left="3216" w:hanging="360"/>
      </w:pPr>
      <w:rPr>
        <w:rFonts w:hint="default"/>
      </w:rPr>
    </w:lvl>
    <w:lvl w:ilvl="1" w:tplc="04090019">
      <w:start w:val="1"/>
      <w:numFmt w:val="lowerLetter"/>
      <w:lvlText w:val="%2."/>
      <w:lvlJc w:val="left"/>
      <w:pPr>
        <w:ind w:left="3936" w:hanging="360"/>
      </w:pPr>
    </w:lvl>
    <w:lvl w:ilvl="2" w:tplc="0409001B">
      <w:start w:val="1"/>
      <w:numFmt w:val="lowerRoman"/>
      <w:lvlText w:val="%3."/>
      <w:lvlJc w:val="right"/>
      <w:pPr>
        <w:ind w:left="4656" w:hanging="180"/>
      </w:pPr>
    </w:lvl>
    <w:lvl w:ilvl="3" w:tplc="0409000F">
      <w:start w:val="1"/>
      <w:numFmt w:val="decimal"/>
      <w:lvlText w:val="%4."/>
      <w:lvlJc w:val="left"/>
      <w:pPr>
        <w:ind w:left="5376" w:hanging="360"/>
      </w:pPr>
    </w:lvl>
    <w:lvl w:ilvl="4" w:tplc="04090019" w:tentative="1">
      <w:start w:val="1"/>
      <w:numFmt w:val="lowerLetter"/>
      <w:lvlText w:val="%5."/>
      <w:lvlJc w:val="left"/>
      <w:pPr>
        <w:ind w:left="6096" w:hanging="360"/>
      </w:pPr>
    </w:lvl>
    <w:lvl w:ilvl="5" w:tplc="0409001B" w:tentative="1">
      <w:start w:val="1"/>
      <w:numFmt w:val="lowerRoman"/>
      <w:lvlText w:val="%6."/>
      <w:lvlJc w:val="right"/>
      <w:pPr>
        <w:ind w:left="6816" w:hanging="180"/>
      </w:pPr>
    </w:lvl>
    <w:lvl w:ilvl="6" w:tplc="0409000F" w:tentative="1">
      <w:start w:val="1"/>
      <w:numFmt w:val="decimal"/>
      <w:lvlText w:val="%7."/>
      <w:lvlJc w:val="left"/>
      <w:pPr>
        <w:ind w:left="7536" w:hanging="360"/>
      </w:pPr>
    </w:lvl>
    <w:lvl w:ilvl="7" w:tplc="04090019" w:tentative="1">
      <w:start w:val="1"/>
      <w:numFmt w:val="lowerLetter"/>
      <w:lvlText w:val="%8."/>
      <w:lvlJc w:val="left"/>
      <w:pPr>
        <w:ind w:left="8256" w:hanging="360"/>
      </w:pPr>
    </w:lvl>
    <w:lvl w:ilvl="8" w:tplc="0409001B" w:tentative="1">
      <w:start w:val="1"/>
      <w:numFmt w:val="lowerRoman"/>
      <w:lvlText w:val="%9."/>
      <w:lvlJc w:val="right"/>
      <w:pPr>
        <w:ind w:left="8976" w:hanging="180"/>
      </w:pPr>
    </w:lvl>
  </w:abstractNum>
  <w:abstractNum w:abstractNumId="14" w15:restartNumberingAfterBreak="0">
    <w:nsid w:val="66120B58"/>
    <w:multiLevelType w:val="hybridMultilevel"/>
    <w:tmpl w:val="9E92E368"/>
    <w:lvl w:ilvl="0" w:tplc="FFFFFFFF">
      <w:start w:val="1"/>
      <w:numFmt w:val="decimal"/>
      <w:lvlText w:val="%1."/>
      <w:lvlJc w:val="left"/>
      <w:pPr>
        <w:tabs>
          <w:tab w:val="num" w:pos="3215"/>
        </w:tabs>
        <w:ind w:left="3215" w:hanging="360"/>
      </w:pPr>
    </w:lvl>
    <w:lvl w:ilvl="1" w:tplc="0B82E394">
      <w:start w:val="1"/>
      <w:numFmt w:val="lowerLetter"/>
      <w:lvlText w:val="(%2)"/>
      <w:lvlJc w:val="left"/>
      <w:pPr>
        <w:tabs>
          <w:tab w:val="num" w:pos="3935"/>
        </w:tabs>
        <w:ind w:left="3935" w:hanging="360"/>
      </w:pPr>
      <w:rPr>
        <w:rFonts w:hint="default"/>
      </w:rPr>
    </w:lvl>
    <w:lvl w:ilvl="2" w:tplc="FFFFFFFF">
      <w:start w:val="1"/>
      <w:numFmt w:val="lowerRoman"/>
      <w:lvlText w:val="%3."/>
      <w:lvlJc w:val="right"/>
      <w:pPr>
        <w:tabs>
          <w:tab w:val="num" w:pos="4655"/>
        </w:tabs>
        <w:ind w:left="4655" w:hanging="180"/>
      </w:pPr>
    </w:lvl>
    <w:lvl w:ilvl="3" w:tplc="FFFFFFFF">
      <w:start w:val="1"/>
      <w:numFmt w:val="decimal"/>
      <w:lvlText w:val="%4."/>
      <w:lvlJc w:val="left"/>
      <w:pPr>
        <w:tabs>
          <w:tab w:val="num" w:pos="5375"/>
        </w:tabs>
        <w:ind w:left="5375" w:hanging="360"/>
      </w:pPr>
    </w:lvl>
    <w:lvl w:ilvl="4" w:tplc="FFFFFFFF">
      <w:start w:val="1"/>
      <w:numFmt w:val="lowerLetter"/>
      <w:lvlText w:val="%5."/>
      <w:lvlJc w:val="left"/>
      <w:pPr>
        <w:tabs>
          <w:tab w:val="num" w:pos="6095"/>
        </w:tabs>
        <w:ind w:left="6095" w:hanging="360"/>
      </w:pPr>
    </w:lvl>
    <w:lvl w:ilvl="5" w:tplc="FFFFFFFF">
      <w:start w:val="1"/>
      <w:numFmt w:val="lowerRoman"/>
      <w:lvlText w:val="%6."/>
      <w:lvlJc w:val="right"/>
      <w:pPr>
        <w:tabs>
          <w:tab w:val="num" w:pos="6815"/>
        </w:tabs>
        <w:ind w:left="6815" w:hanging="180"/>
      </w:pPr>
    </w:lvl>
    <w:lvl w:ilvl="6" w:tplc="FFFFFFFF">
      <w:start w:val="1"/>
      <w:numFmt w:val="decimal"/>
      <w:lvlText w:val="%7."/>
      <w:lvlJc w:val="left"/>
      <w:pPr>
        <w:tabs>
          <w:tab w:val="num" w:pos="7535"/>
        </w:tabs>
        <w:ind w:left="7535" w:hanging="360"/>
      </w:pPr>
    </w:lvl>
    <w:lvl w:ilvl="7" w:tplc="FFFFFFFF">
      <w:start w:val="1"/>
      <w:numFmt w:val="lowerLetter"/>
      <w:lvlText w:val="%8."/>
      <w:lvlJc w:val="left"/>
      <w:pPr>
        <w:tabs>
          <w:tab w:val="num" w:pos="8255"/>
        </w:tabs>
        <w:ind w:left="8255" w:hanging="360"/>
      </w:pPr>
    </w:lvl>
    <w:lvl w:ilvl="8" w:tplc="FFFFFFFF">
      <w:start w:val="1"/>
      <w:numFmt w:val="lowerRoman"/>
      <w:lvlText w:val="%9."/>
      <w:lvlJc w:val="right"/>
      <w:pPr>
        <w:tabs>
          <w:tab w:val="num" w:pos="8975"/>
        </w:tabs>
        <w:ind w:left="8975" w:hanging="180"/>
      </w:pPr>
    </w:lvl>
  </w:abstractNum>
  <w:abstractNum w:abstractNumId="15" w15:restartNumberingAfterBreak="0">
    <w:nsid w:val="66994EAB"/>
    <w:multiLevelType w:val="hybridMultilevel"/>
    <w:tmpl w:val="5AA62D8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E045AAD"/>
    <w:multiLevelType w:val="hybridMultilevel"/>
    <w:tmpl w:val="B5400E32"/>
    <w:lvl w:ilvl="0" w:tplc="FFFFFFFF">
      <w:start w:val="1"/>
      <w:numFmt w:val="lowerLetter"/>
      <w:lvlText w:val="(%1)"/>
      <w:lvlJc w:val="left"/>
      <w:pPr>
        <w:ind w:left="720" w:hanging="360"/>
      </w:pPr>
      <w:rPr>
        <w:rFonts w:hint="default"/>
      </w:rPr>
    </w:lvl>
    <w:lvl w:ilvl="1" w:tplc="0B82E394">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3"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24"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24"/>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7"/>
  </w:num>
  <w:num w:numId="3" w16cid:durableId="72509173">
    <w:abstractNumId w:val="19"/>
    <w:lvlOverride w:ilvl="0">
      <w:lvl w:ilvl="0" w:tplc="0B82E394">
        <w:start w:val="1"/>
        <w:numFmt w:val="lowerLetter"/>
        <w:lvlText w:val="(%1)"/>
        <w:lvlJc w:val="left"/>
        <w:pPr>
          <w:ind w:left="720" w:hanging="360"/>
        </w:pPr>
      </w:lvl>
    </w:lvlOverride>
  </w:num>
  <w:num w:numId="4" w16cid:durableId="1988391299">
    <w:abstractNumId w:val="21"/>
    <w:lvlOverride w:ilvl="0">
      <w:lvl w:ilvl="0" w:tplc="0B82E394">
        <w:start w:val="1"/>
        <w:numFmt w:val="lowerLetter"/>
        <w:lvlText w:val="(%1)"/>
        <w:lvlJc w:val="left"/>
        <w:pPr>
          <w:ind w:left="720" w:hanging="360"/>
        </w:pPr>
      </w:lvl>
    </w:lvlOverride>
  </w:num>
  <w:num w:numId="5" w16cid:durableId="854733247">
    <w:abstractNumId w:val="4"/>
    <w:lvlOverride w:ilvl="0">
      <w:lvl w:ilvl="0" w:tplc="78B64472">
        <w:start w:val="1"/>
        <w:numFmt w:val="chineseCounting"/>
        <w:lvlText w:val="（%1）"/>
        <w:lvlJc w:val="left"/>
        <w:pPr>
          <w:ind w:left="720" w:hanging="360"/>
        </w:pPr>
        <w:rPr>
          <w:sz w:val="20"/>
          <w:szCs w:val="20"/>
        </w:rPr>
      </w:lvl>
    </w:lvlOverride>
  </w:num>
  <w:num w:numId="6" w16cid:durableId="786967896">
    <w:abstractNumId w:val="11"/>
    <w:lvlOverride w:ilvl="0">
      <w:lvl w:ilvl="0" w:tplc="FFFFFFFF">
        <w:start w:val="1"/>
        <w:numFmt w:val="lowerLetter"/>
        <w:lvlText w:val="(%1)"/>
        <w:lvlJc w:val="left"/>
        <w:pPr>
          <w:ind w:left="720" w:hanging="360"/>
        </w:pPr>
      </w:lvl>
    </w:lvlOverride>
  </w:num>
  <w:num w:numId="7" w16cid:durableId="219444484">
    <w:abstractNumId w:val="10"/>
  </w:num>
  <w:num w:numId="8" w16cid:durableId="63918353">
    <w:abstractNumId w:val="23"/>
    <w:lvlOverride w:ilvl="0">
      <w:lvl w:ilvl="0" w:tplc="F702C356">
        <w:start w:val="1"/>
        <w:numFmt w:val="decimal"/>
        <w:lvlText w:val="%1."/>
        <w:lvlJc w:val="left"/>
        <w:pPr>
          <w:ind w:left="777" w:hanging="360"/>
        </w:pPr>
      </w:lvl>
    </w:lvlOverride>
  </w:num>
  <w:num w:numId="9" w16cid:durableId="1980961195">
    <w:abstractNumId w:val="16"/>
    <w:lvlOverride w:ilvl="0">
      <w:lvl w:ilvl="0" w:tplc="D8D03FBC">
        <w:start w:val="1"/>
        <w:numFmt w:val="upperLetter"/>
        <w:lvlText w:val="%1."/>
        <w:lvlJc w:val="left"/>
        <w:pPr>
          <w:ind w:left="777" w:hanging="360"/>
        </w:pPr>
        <w:rPr>
          <w:rFonts w:hint="default"/>
          <w:b w:val="0"/>
          <w:bCs w:val="0"/>
          <w:i w:val="0"/>
          <w:iCs w:val="0"/>
        </w:rPr>
      </w:lvl>
    </w:lvlOverride>
  </w:num>
  <w:num w:numId="10" w16cid:durableId="1886794993">
    <w:abstractNumId w:val="8"/>
    <w:lvlOverride w:ilvl="0">
      <w:lvl w:ilvl="0" w:tplc="0809000F">
        <w:start w:val="1"/>
        <w:numFmt w:val="lowerLetter"/>
        <w:lvlText w:val="(%1)"/>
        <w:lvlJc w:val="left"/>
        <w:pPr>
          <w:ind w:left="1070" w:hanging="360"/>
        </w:pPr>
        <w:rPr>
          <w:rFonts w:hint="default"/>
        </w:rPr>
      </w:lvl>
    </w:lvlOverride>
  </w:num>
  <w:num w:numId="11" w16cid:durableId="1833132637">
    <w:abstractNumId w:val="1"/>
    <w:lvlOverride w:ilvl="0">
      <w:lvl w:ilvl="0" w:tplc="F702C356">
        <w:start w:val="1"/>
        <w:numFmt w:val="decimal"/>
        <w:lvlText w:val="%1."/>
        <w:lvlJc w:val="left"/>
        <w:pPr>
          <w:ind w:left="777" w:hanging="360"/>
        </w:pPr>
      </w:lvl>
    </w:lvlOverride>
  </w:num>
  <w:num w:numId="12" w16cid:durableId="1215045112">
    <w:abstractNumId w:val="0"/>
    <w:lvlOverride w:ilvl="0">
      <w:lvl w:ilvl="0" w:tplc="F702C356">
        <w:start w:val="1"/>
        <w:numFmt w:val="decimal"/>
        <w:lvlText w:val="%1."/>
        <w:lvlJc w:val="left"/>
        <w:pPr>
          <w:ind w:left="777" w:hanging="360"/>
        </w:pPr>
      </w:lvl>
    </w:lvlOverride>
  </w:num>
  <w:num w:numId="13" w16cid:durableId="59521584">
    <w:abstractNumId w:val="22"/>
    <w:lvlOverride w:ilvl="0">
      <w:lvl w:ilvl="0" w:tplc="F702C356">
        <w:start w:val="1"/>
        <w:numFmt w:val="decimal"/>
        <w:lvlText w:val="%1."/>
        <w:lvlJc w:val="left"/>
        <w:pPr>
          <w:ind w:left="777" w:hanging="360"/>
        </w:pPr>
      </w:lvl>
    </w:lvlOverride>
  </w:num>
  <w:num w:numId="14" w16cid:durableId="38211686">
    <w:abstractNumId w:val="20"/>
    <w:lvlOverride w:ilvl="0">
      <w:lvl w:ilvl="0" w:tplc="D8D03FBC">
        <w:start w:val="1"/>
        <w:numFmt w:val="upperLetter"/>
        <w:lvlText w:val="%1."/>
        <w:lvlJc w:val="left"/>
        <w:pPr>
          <w:ind w:left="777" w:hanging="360"/>
        </w:pPr>
        <w:rPr>
          <w:rFonts w:hint="default"/>
          <w:b w:val="0"/>
          <w:bCs w:val="0"/>
          <w:i w:val="0"/>
          <w:iCs w:val="0"/>
        </w:rPr>
      </w:lvl>
    </w:lvlOverride>
  </w:num>
  <w:num w:numId="15" w16cid:durableId="91516187">
    <w:abstractNumId w:val="17"/>
    <w:lvlOverride w:ilvl="0">
      <w:lvl w:ilvl="0" w:tplc="D8D03FBC">
        <w:start w:val="1"/>
        <w:numFmt w:val="upperLetter"/>
        <w:lvlText w:val="%1."/>
        <w:lvlJc w:val="left"/>
        <w:pPr>
          <w:ind w:left="777" w:hanging="360"/>
        </w:pPr>
        <w:rPr>
          <w:rFonts w:hint="default"/>
          <w:b w:val="0"/>
          <w:bCs w:val="0"/>
          <w:i w:val="0"/>
          <w:iCs w:val="0"/>
        </w:rPr>
      </w:lvl>
    </w:lvlOverride>
  </w:num>
  <w:num w:numId="16" w16cid:durableId="1246575532">
    <w:abstractNumId w:val="2"/>
    <w:lvlOverride w:ilvl="0">
      <w:lvl w:ilvl="0" w:tplc="D8D03FBC">
        <w:start w:val="1"/>
        <w:numFmt w:val="upperLetter"/>
        <w:lvlText w:val="%1."/>
        <w:lvlJc w:val="left"/>
        <w:pPr>
          <w:ind w:left="777" w:hanging="360"/>
        </w:pPr>
        <w:rPr>
          <w:rFonts w:hint="default"/>
          <w:b w:val="0"/>
          <w:bCs w:val="0"/>
          <w:i w:val="0"/>
          <w:iCs w:val="0"/>
        </w:rPr>
      </w:lvl>
    </w:lvlOverride>
  </w:num>
  <w:num w:numId="17" w16cid:durableId="352152441">
    <w:abstractNumId w:val="5"/>
    <w:lvlOverride w:ilvl="0">
      <w:lvl w:ilvl="0" w:tplc="41140BC2">
        <w:start w:val="1"/>
        <w:numFmt w:val="decimal"/>
        <w:lvlText w:val="%1."/>
        <w:lvlJc w:val="left"/>
        <w:pPr>
          <w:ind w:left="720" w:hanging="360"/>
        </w:pPr>
        <w:rPr>
          <w:i w:val="0"/>
        </w:rPr>
      </w:lvl>
    </w:lvlOverride>
  </w:num>
  <w:num w:numId="18" w16cid:durableId="1005598212">
    <w:abstractNumId w:val="13"/>
    <w:lvlOverride w:ilvl="0">
      <w:lvl w:ilvl="0" w:tplc="EAFE9C00">
        <w:start w:val="1"/>
        <w:numFmt w:val="lowerLetter"/>
        <w:lvlText w:val="(%1)"/>
        <w:lvlJc w:val="left"/>
        <w:pPr>
          <w:ind w:left="3216" w:hanging="360"/>
        </w:pPr>
        <w:rPr>
          <w:rFonts w:hint="default"/>
        </w:rPr>
      </w:lvl>
    </w:lvlOverride>
  </w:num>
  <w:num w:numId="19" w16cid:durableId="891575585">
    <w:abstractNumId w:val="12"/>
    <w:lvlOverride w:ilvl="0">
      <w:lvl w:ilvl="0" w:tplc="4966447C">
        <w:start w:val="1"/>
        <w:numFmt w:val="decimal"/>
        <w:lvlText w:val="%1."/>
        <w:lvlJc w:val="left"/>
        <w:pPr>
          <w:ind w:left="720" w:hanging="360"/>
        </w:pPr>
        <w:rPr>
          <w:b w:val="0"/>
          <w:bCs/>
          <w:i w:val="0"/>
          <w:iCs w:val="0"/>
          <w:strike w:val="0"/>
        </w:rPr>
      </w:lvl>
    </w:lvlOverride>
  </w:num>
  <w:num w:numId="20" w16cid:durableId="78983326">
    <w:abstractNumId w:val="9"/>
    <w:lvlOverride w:ilvl="0">
      <w:lvl w:ilvl="0" w:tplc="FFFFFFFF">
        <w:start w:val="1"/>
        <w:numFmt w:val="decimal"/>
        <w:lvlText w:val="%1."/>
        <w:lvlJc w:val="left"/>
        <w:pPr>
          <w:ind w:left="720" w:hanging="360"/>
        </w:pPr>
        <w:rPr>
          <w:b w:val="0"/>
          <w:bCs/>
          <w:i w:val="0"/>
          <w:iCs w:val="0"/>
          <w:strike w:val="0"/>
        </w:rPr>
      </w:lvl>
    </w:lvlOverride>
  </w:num>
  <w:num w:numId="21" w16cid:durableId="700128027">
    <w:abstractNumId w:val="18"/>
  </w:num>
  <w:num w:numId="22" w16cid:durableId="270206028">
    <w:abstractNumId w:val="6"/>
  </w:num>
  <w:num w:numId="23" w16cid:durableId="652875100">
    <w:abstractNumId w:val="3"/>
    <w:lvlOverride w:ilvl="0">
      <w:lvl w:ilvl="0" w:tplc="FFFFFFFF">
        <w:start w:val="1"/>
        <w:numFmt w:val="decimal"/>
        <w:lvlText w:val="%1."/>
        <w:lvlJc w:val="left"/>
        <w:pPr>
          <w:ind w:left="720" w:hanging="360"/>
        </w:pPr>
        <w:rPr>
          <w:b w:val="0"/>
          <w:bCs/>
          <w:i w:val="0"/>
          <w:iCs w:val="0"/>
          <w:strike w:val="0"/>
        </w:rPr>
      </w:lvl>
    </w:lvlOverride>
  </w:num>
  <w:num w:numId="24" w16cid:durableId="934172219">
    <w:abstractNumId w:val="14"/>
  </w:num>
  <w:num w:numId="25" w16cid:durableId="2119060421">
    <w:abstractNumId w:val="15"/>
    <w:lvlOverride w:ilvl="0">
      <w:lvl w:ilvl="0" w:tplc="0B82E394">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731DC1"/>
    <w:rsid w:val="007B3521"/>
    <w:rsid w:val="00836B73"/>
    <w:rsid w:val="00895852"/>
    <w:rsid w:val="00910441"/>
    <w:rsid w:val="009267F6"/>
    <w:rsid w:val="00C84536"/>
    <w:rsid w:val="00D62CEE"/>
    <w:rsid w:val="00F05D30"/>
    <w:rsid w:val="00F3762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 w:type="character" w:styleId="Hyperlink">
    <w:name w:val="Hyperlink"/>
    <w:uiPriority w:val="99"/>
    <w:unhideWhenUsed/>
    <w:rsid w:val="00910441"/>
    <w:rPr>
      <w:rFonts w:ascii="Times New Roman" w:hAnsi="Times New Roman"/>
      <w:color w:val="auto"/>
      <w:sz w:val="20"/>
      <w:szCs w:val="20"/>
      <w:u w:val="none"/>
      <w:lang w:val="en-US"/>
    </w:rPr>
  </w:style>
  <w:style w:type="paragraph" w:styleId="ListParagraph">
    <w:name w:val="List Paragraph"/>
    <w:basedOn w:val="Normal"/>
    <w:uiPriority w:val="1"/>
    <w:qFormat/>
    <w:rsid w:val="00910441"/>
    <w:pPr>
      <w:ind w:left="720"/>
      <w:contextualSpacing/>
    </w:p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910441"/>
    <w:rPr>
      <w:rFonts w:ascii="Times New Roman" w:eastAsia="SimSun" w:hAnsi="Times New Roman"/>
      <w:color w:val="000000"/>
      <w:spacing w:val="-5"/>
      <w:w w:val="130"/>
      <w:position w:val="-4"/>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910441"/>
    <w:pPr>
      <w:spacing w:before="120" w:after="160" w:line="240" w:lineRule="exact"/>
    </w:pPr>
    <w:rPr>
      <w:rFonts w:eastAsia="SimSun" w:cstheme="minorBidi"/>
      <w:color w:val="000000"/>
      <w:spacing w:val="-5"/>
      <w:w w:val="130"/>
      <w:position w:val="-4"/>
      <w:sz w:val="22"/>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149</Words>
  <Characters>851</Characters>
  <Application>Microsoft Office Word</Application>
  <DocSecurity>0</DocSecurity>
  <Lines>7</Lines>
  <Paragraphs>1</Paragraphs>
  <ScaleCrop>false</ScaleCrop>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2023-04-27T09:11:00Z</dcterms:created>
  <dcterms:modified xsi:type="dcterms:W3CDTF">2023-04-27T09:11:00Z</dcterms:modified>
</cp:coreProperties>
</file>