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D334" w14:textId="77777777" w:rsidR="00F438FC" w:rsidRPr="00447994" w:rsidRDefault="00F438FC" w:rsidP="00F438FC">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15/28: De la ciencia a la acción</w:t>
      </w:r>
    </w:p>
    <w:p w14:paraId="3BDF3301" w14:textId="77777777" w:rsidR="00F438FC" w:rsidRPr="00447994" w:rsidRDefault="00F438FC" w:rsidP="00F438FC">
      <w:pPr>
        <w:pStyle w:val="NormalNonumber"/>
        <w:ind w:firstLine="624"/>
        <w:rPr>
          <w:rFonts w:eastAsia="Times New Roman"/>
          <w:i/>
          <w:lang w:val="es-ES_tradnl"/>
        </w:rPr>
      </w:pPr>
      <w:r w:rsidRPr="00447994">
        <w:rPr>
          <w:i/>
          <w:iCs/>
          <w:lang w:val="es-ES_tradnl"/>
        </w:rPr>
        <w:t>La Conferencia de las Partes</w:t>
      </w:r>
    </w:p>
    <w:p w14:paraId="7CB48148" w14:textId="77777777" w:rsidR="00F438FC" w:rsidRPr="00447994" w:rsidRDefault="00F438FC">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Toma nota</w:t>
      </w:r>
      <w:r w:rsidRPr="00447994">
        <w:rPr>
          <w:lang w:val="es-ES_tradnl"/>
        </w:rPr>
        <w:t xml:space="preserve"> de la información sobre los progresos realizados por las Partes y otros interesados con respecto al fomento de la aplicación de la hoja de ruta</w:t>
      </w:r>
      <w:r w:rsidRPr="00447994">
        <w:rPr>
          <w:rFonts w:eastAsia="Times New Roman"/>
          <w:szCs w:val="18"/>
          <w:vertAlign w:val="superscript"/>
          <w:lang w:val="es-ES_tradnl"/>
        </w:rPr>
        <w:footnoteReference w:id="1"/>
      </w:r>
      <w:r w:rsidRPr="00447994">
        <w:rPr>
          <w:lang w:val="es-ES_tradnl"/>
        </w:rPr>
        <w:t xml:space="preserve"> destinada a lograr una participación más activa de las Partes y otros interesados en un diálogo fundamentado a fin de que las medidas basadas en datos científicos tengan más peso en la aplicación de los Convenios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 información que figura en la nota de la Secretaría titulada “De la ciencia a la acción”</w:t>
      </w:r>
      <w:r w:rsidRPr="00447994">
        <w:rPr>
          <w:rFonts w:eastAsia="Times New Roman"/>
          <w:bCs/>
          <w:szCs w:val="18"/>
          <w:vertAlign w:val="superscript"/>
          <w:lang w:val="es-ES_tradnl"/>
        </w:rPr>
        <w:footnoteReference w:id="2"/>
      </w:r>
      <w:r w:rsidRPr="00447994">
        <w:rPr>
          <w:lang w:val="es-ES_tradnl"/>
        </w:rPr>
        <w:t>;</w:t>
      </w:r>
    </w:p>
    <w:p w14:paraId="33D091C8" w14:textId="77777777" w:rsidR="00F438FC" w:rsidRPr="00447994" w:rsidRDefault="00F438FC">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Alienta</w:t>
      </w:r>
      <w:r w:rsidRPr="00447994">
        <w:rPr>
          <w:lang w:val="es-ES_tradnl"/>
        </w:rPr>
        <w:t xml:space="preserve"> a las Partes y otros interesados a que sigan adoptando medidas que fomenten la aplicación de la hoja de ruta;</w:t>
      </w:r>
    </w:p>
    <w:p w14:paraId="63756B6A" w14:textId="77777777" w:rsidR="00F438FC" w:rsidRPr="00447994" w:rsidRDefault="00F438FC">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 en función de los recursos disponibles, emprenda actividades de capacitación y creación de capacidad para ayudar a las Partes a adoptar medidas basadas en datos científicos al aplicar los Convenios de Basilea, Estocolmo y Rotterdam;</w:t>
      </w:r>
    </w:p>
    <w:p w14:paraId="2AA69F78" w14:textId="77777777" w:rsidR="00F438FC" w:rsidRPr="00447994" w:rsidRDefault="00F438FC">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Solicita también</w:t>
      </w:r>
      <w:r w:rsidRPr="00447994">
        <w:rPr>
          <w:lang w:val="es-ES_tradnl"/>
        </w:rPr>
        <w:t xml:space="preserve"> a la Secretaría que prosiga la cooperación y coordinación con el Programa de las Naciones Unidas para el Medio Ambiente y, cuando proceda, con otras organizaciones, órganos científicos e interesados pertinentes para fortalecer la interfaz ciencia</w:t>
      </w:r>
      <w:r w:rsidRPr="00447994">
        <w:rPr>
          <w:lang w:val="es-ES_tradnl"/>
        </w:rPr>
        <w:noBreakHyphen/>
        <w:t>política, especialmente en el contexto de la aplicación de la resolución 5/8 de la Asamblea de las Naciones Unidas sobre el Medio Ambiente, relativa a un grupo científico</w:t>
      </w:r>
      <w:r w:rsidRPr="00447994">
        <w:rPr>
          <w:lang w:val="es-ES_tradnl"/>
        </w:rPr>
        <w:noBreakHyphen/>
        <w:t xml:space="preserve">normativo para seguir contribuyendo a la gestión racional de los productos químicos y los desechos y evitar la contaminación, y que informe a la Conferencia de las Partes, en su 16ª reunión, sobre la aplicación de la presente decisión. </w:t>
      </w:r>
      <w:bookmarkStart w:id="0" w:name="_Hlk530655600"/>
      <w:bookmarkEnd w:id="0"/>
    </w:p>
    <w:p w14:paraId="5E5F9B2A" w14:textId="1C291961" w:rsidR="00F935A6" w:rsidRPr="00AD56CA" w:rsidRDefault="00F935A6" w:rsidP="00F438FC">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70F23" w14:textId="77777777" w:rsidR="00A61686" w:rsidRDefault="00A61686" w:rsidP="00162093">
      <w:r>
        <w:separator/>
      </w:r>
    </w:p>
  </w:endnote>
  <w:endnote w:type="continuationSeparator" w:id="0">
    <w:p w14:paraId="5008D020" w14:textId="77777777" w:rsidR="00A61686" w:rsidRDefault="00A61686"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099E4E" w14:textId="77777777" w:rsidR="00A61686" w:rsidRDefault="00A61686" w:rsidP="00162093">
      <w:r>
        <w:separator/>
      </w:r>
    </w:p>
  </w:footnote>
  <w:footnote w:type="continuationSeparator" w:id="0">
    <w:p w14:paraId="360B44BC" w14:textId="77777777" w:rsidR="00A61686" w:rsidRDefault="00A61686" w:rsidP="00162093">
      <w:r>
        <w:continuationSeparator/>
      </w:r>
    </w:p>
  </w:footnote>
  <w:footnote w:id="1">
    <w:p w14:paraId="28DCFABE" w14:textId="77777777" w:rsidR="00F438FC" w:rsidRPr="00122920" w:rsidRDefault="00F438FC" w:rsidP="00F438FC">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UNEP/CHW.14/INF/40-UNEP/FAO/RC/COP.9/INF/35-UNEP/POPS/COP.9/INF/44.</w:t>
      </w:r>
    </w:p>
  </w:footnote>
  <w:footnote w:id="2">
    <w:p w14:paraId="408C077E" w14:textId="77777777" w:rsidR="00F438FC" w:rsidRPr="00122920" w:rsidRDefault="00F438FC" w:rsidP="00F438FC">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UNEP/CHW.15/25-UNEP/FAO/RC/COP.10/21-UNEP/POPS/COP.10/25.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745228"/>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9244946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0359"/>
    <w:rsid w:val="007B69C9"/>
    <w:rsid w:val="00806D82"/>
    <w:rsid w:val="00836B73"/>
    <w:rsid w:val="009808FC"/>
    <w:rsid w:val="00A077D7"/>
    <w:rsid w:val="00A20275"/>
    <w:rsid w:val="00A33A0D"/>
    <w:rsid w:val="00A61686"/>
    <w:rsid w:val="00A83FA0"/>
    <w:rsid w:val="00AD56CA"/>
    <w:rsid w:val="00B437F7"/>
    <w:rsid w:val="00B909A9"/>
    <w:rsid w:val="00C803C5"/>
    <w:rsid w:val="00C84536"/>
    <w:rsid w:val="00D07464"/>
    <w:rsid w:val="00E066A0"/>
    <w:rsid w:val="00E13BF6"/>
    <w:rsid w:val="00EB7CEF"/>
    <w:rsid w:val="00F438FC"/>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2023-05-22T13:35:00Z</dcterms:created>
  <dcterms:modified xsi:type="dcterms:W3CDTF">2023-05-22T13:35:00Z</dcterms:modified>
</cp:coreProperties>
</file>