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EFE3B" w14:textId="77777777" w:rsidR="00FC11E6" w:rsidRPr="002A632F" w:rsidRDefault="00FC11E6" w:rsidP="00FC11E6">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301D42">
        <w:rPr>
          <w:rFonts w:eastAsia="SimHei"/>
          <w:bCs/>
          <w:sz w:val="32"/>
          <w:szCs w:val="32"/>
          <w:lang w:val="zh-CN" w:eastAsia="zh-CN"/>
        </w:rPr>
        <w:tab/>
        <w:t>BC-15/3</w:t>
      </w:r>
      <w:r w:rsidRPr="00301D42">
        <w:rPr>
          <w:rFonts w:eastAsia="SimHei"/>
          <w:bCs/>
          <w:sz w:val="32"/>
          <w:szCs w:val="32"/>
          <w:lang w:val="zh-CN" w:eastAsia="zh-CN"/>
        </w:rPr>
        <w:t>：战略框架</w:t>
      </w:r>
    </w:p>
    <w:p w14:paraId="62CBCF1C" w14:textId="77777777" w:rsidR="00FC11E6" w:rsidRPr="00301D42" w:rsidRDefault="00FC11E6" w:rsidP="00FC11E6">
      <w:pPr>
        <w:pStyle w:val="Normal-pool"/>
        <w:spacing w:after="120"/>
        <w:ind w:left="1247" w:firstLine="624"/>
        <w:jc w:val="both"/>
        <w:rPr>
          <w:rFonts w:ascii="KaiTi" w:eastAsia="KaiTi" w:hAnsi="KaiTi"/>
          <w:i/>
          <w:iCs/>
          <w:sz w:val="24"/>
          <w:szCs w:val="24"/>
          <w:lang w:eastAsia="zh-CN"/>
        </w:rPr>
      </w:pPr>
      <w:r w:rsidRPr="00301D42">
        <w:rPr>
          <w:rFonts w:ascii="KaiTi" w:eastAsia="KaiTi" w:hAnsi="KaiTi"/>
          <w:sz w:val="24"/>
          <w:szCs w:val="24"/>
          <w:lang w:val="zh-CN" w:eastAsia="zh-CN"/>
        </w:rPr>
        <w:t>缔约方大会，</w:t>
      </w:r>
    </w:p>
    <w:p w14:paraId="3FD54F6C" w14:textId="77777777" w:rsidR="00FC11E6" w:rsidRPr="00301D42" w:rsidRDefault="00FC11E6" w:rsidP="00FC11E6">
      <w:pPr>
        <w:pStyle w:val="CH2"/>
        <w:keepNext w:val="0"/>
        <w:keepLines w:val="0"/>
        <w:tabs>
          <w:tab w:val="left" w:pos="1814"/>
          <w:tab w:val="left" w:pos="2381"/>
          <w:tab w:val="left" w:pos="2948"/>
          <w:tab w:val="left" w:pos="3515"/>
          <w:tab w:val="left" w:pos="4082"/>
        </w:tabs>
        <w:spacing w:before="120"/>
        <w:ind w:firstLine="0"/>
        <w:jc w:val="center"/>
        <w:rPr>
          <w:rFonts w:ascii="SimHei" w:eastAsia="SimHei"/>
          <w:bCs/>
          <w:sz w:val="28"/>
          <w:szCs w:val="28"/>
          <w:lang w:val="zh-CN" w:eastAsia="zh-CN"/>
        </w:rPr>
      </w:pPr>
      <w:r w:rsidRPr="00301D42">
        <w:rPr>
          <w:rFonts w:ascii="SimHei" w:eastAsia="SimHei"/>
          <w:bCs/>
          <w:sz w:val="28"/>
          <w:szCs w:val="28"/>
          <w:lang w:val="zh-CN" w:eastAsia="zh-CN"/>
        </w:rPr>
        <w:t>一</w:t>
      </w:r>
    </w:p>
    <w:p w14:paraId="7554C270" w14:textId="77777777" w:rsidR="00FC11E6" w:rsidRPr="00301D42" w:rsidRDefault="00FC11E6" w:rsidP="00FC11E6">
      <w:pPr>
        <w:pStyle w:val="CH2"/>
        <w:keepNext w:val="0"/>
        <w:keepLines w:val="0"/>
        <w:tabs>
          <w:tab w:val="left" w:pos="1814"/>
          <w:tab w:val="left" w:pos="2381"/>
          <w:tab w:val="left" w:pos="2948"/>
          <w:tab w:val="left" w:pos="3515"/>
          <w:tab w:val="left" w:pos="4082"/>
        </w:tabs>
        <w:spacing w:before="120"/>
        <w:ind w:firstLine="0"/>
        <w:jc w:val="center"/>
        <w:rPr>
          <w:rFonts w:ascii="SimHei" w:eastAsia="SimHei"/>
          <w:bCs/>
          <w:sz w:val="28"/>
          <w:szCs w:val="28"/>
          <w:lang w:val="zh-CN" w:eastAsia="zh-CN"/>
        </w:rPr>
      </w:pPr>
      <w:r w:rsidRPr="00301D42">
        <w:rPr>
          <w:rFonts w:ascii="SimHei" w:eastAsia="SimHei"/>
          <w:bCs/>
          <w:sz w:val="28"/>
          <w:szCs w:val="28"/>
          <w:lang w:val="zh-CN" w:eastAsia="zh-CN"/>
        </w:rPr>
        <w:t>战略框架</w:t>
      </w:r>
    </w:p>
    <w:p w14:paraId="4FB44B95" w14:textId="77777777" w:rsidR="00FC11E6" w:rsidRPr="002A632F" w:rsidRDefault="00FC11E6" w:rsidP="00FC11E6">
      <w:pPr>
        <w:pStyle w:val="Normal-pool"/>
        <w:spacing w:after="120"/>
        <w:ind w:left="1247" w:firstLine="624"/>
        <w:jc w:val="both"/>
        <w:rPr>
          <w:rFonts w:eastAsia="SimSun"/>
          <w:i/>
          <w:sz w:val="24"/>
          <w:szCs w:val="24"/>
          <w:lang w:eastAsia="zh-CN"/>
        </w:rPr>
      </w:pPr>
      <w:r w:rsidRPr="00866584">
        <w:rPr>
          <w:rFonts w:ascii="KaiTi" w:eastAsia="KaiTi" w:hAnsi="KaiTi"/>
          <w:sz w:val="24"/>
          <w:szCs w:val="24"/>
          <w:lang w:val="zh-CN" w:eastAsia="zh-CN"/>
        </w:rPr>
        <w:t>意识到</w:t>
      </w:r>
      <w:r w:rsidRPr="002A632F">
        <w:rPr>
          <w:rFonts w:eastAsia="SimSun"/>
          <w:sz w:val="24"/>
          <w:szCs w:val="24"/>
          <w:lang w:val="zh-CN" w:eastAsia="zh-CN"/>
        </w:rPr>
        <w:t>关于</w:t>
      </w:r>
      <w:r w:rsidRPr="002A632F">
        <w:rPr>
          <w:rFonts w:eastAsia="SimSun"/>
          <w:sz w:val="24"/>
          <w:szCs w:val="24"/>
          <w:lang w:val="zh-CN" w:eastAsia="zh-CN"/>
        </w:rPr>
        <w:t>2012–2021</w:t>
      </w:r>
      <w:r w:rsidRPr="002A632F">
        <w:rPr>
          <w:rFonts w:eastAsia="SimSun"/>
          <w:sz w:val="24"/>
          <w:szCs w:val="24"/>
          <w:lang w:val="zh-CN" w:eastAsia="zh-CN"/>
        </w:rPr>
        <w:t>年期间《控制危险废物越境转移及其处置巴塞尔公约》执行工作战略框架终期评价报告</w:t>
      </w:r>
      <w:r w:rsidRPr="002A632F">
        <w:rPr>
          <w:rFonts w:eastAsia="SimSun"/>
          <w:iCs/>
          <w:sz w:val="24"/>
          <w:szCs w:val="24"/>
          <w:vertAlign w:val="superscript"/>
          <w:lang w:val="zh-CN"/>
        </w:rPr>
        <w:footnoteReference w:id="1"/>
      </w:r>
      <w:r w:rsidRPr="002A632F">
        <w:rPr>
          <w:rFonts w:eastAsia="SimSun"/>
          <w:sz w:val="24"/>
          <w:szCs w:val="24"/>
          <w:lang w:val="zh-CN" w:eastAsia="zh-CN"/>
        </w:rPr>
        <w:t>中有关缔约方大会第十五次会议议程具体项目的建议已在缔约方大会该次会议通过的有关决定中述及，并体现在《巴塞尔公约》</w:t>
      </w:r>
      <w:r w:rsidRPr="002A632F">
        <w:rPr>
          <w:rFonts w:eastAsia="SimSun"/>
          <w:sz w:val="24"/>
          <w:szCs w:val="24"/>
          <w:lang w:val="zh-CN" w:eastAsia="zh-CN"/>
        </w:rPr>
        <w:t>2022–2023</w:t>
      </w:r>
      <w:r w:rsidRPr="002A632F">
        <w:rPr>
          <w:rFonts w:eastAsia="SimSun"/>
          <w:sz w:val="24"/>
          <w:szCs w:val="24"/>
          <w:lang w:val="zh-CN" w:eastAsia="zh-CN"/>
        </w:rPr>
        <w:t>两年期工作方案和预算中，</w:t>
      </w:r>
    </w:p>
    <w:p w14:paraId="52C46793" w14:textId="77777777" w:rsidR="00FC11E6" w:rsidRPr="002A632F" w:rsidRDefault="00FC11E6" w:rsidP="00FC11E6">
      <w:pPr>
        <w:pStyle w:val="Normal-pool"/>
        <w:numPr>
          <w:ilvl w:val="0"/>
          <w:numId w:val="1"/>
        </w:numPr>
        <w:spacing w:after="120"/>
        <w:ind w:left="1247" w:firstLine="624"/>
        <w:jc w:val="both"/>
        <w:rPr>
          <w:rFonts w:eastAsia="SimSun"/>
          <w:i/>
          <w:sz w:val="24"/>
          <w:szCs w:val="24"/>
          <w:lang w:eastAsia="zh-CN"/>
        </w:rPr>
      </w:pPr>
      <w:bookmarkStart w:id="0" w:name="_Hlk106189483"/>
      <w:r w:rsidRPr="00866584">
        <w:rPr>
          <w:rFonts w:ascii="KaiTi" w:eastAsia="KaiTi" w:hAnsi="KaiTi"/>
          <w:sz w:val="24"/>
          <w:szCs w:val="24"/>
          <w:lang w:val="zh-CN" w:eastAsia="zh-CN"/>
        </w:rPr>
        <w:t>欢迎</w:t>
      </w:r>
      <w:r w:rsidRPr="002A632F">
        <w:rPr>
          <w:rFonts w:eastAsia="SimSun"/>
          <w:sz w:val="24"/>
          <w:szCs w:val="24"/>
          <w:lang w:val="zh-CN" w:eastAsia="zh-CN"/>
        </w:rPr>
        <w:t>2012–2021</w:t>
      </w:r>
      <w:r w:rsidRPr="002A632F">
        <w:rPr>
          <w:rFonts w:eastAsia="SimSun"/>
          <w:sz w:val="24"/>
          <w:szCs w:val="24"/>
          <w:lang w:val="zh-CN" w:eastAsia="zh-CN"/>
        </w:rPr>
        <w:t>年期间《控制危险废物越境转移及其处置巴塞尔公约》执行工作战略框架终期评价报告；</w:t>
      </w:r>
      <w:r w:rsidRPr="002A632F">
        <w:rPr>
          <w:rFonts w:eastAsia="SimSun"/>
          <w:iCs/>
          <w:sz w:val="24"/>
          <w:szCs w:val="24"/>
          <w:vertAlign w:val="superscript"/>
          <w:lang w:val="zh-CN"/>
        </w:rPr>
        <w:footnoteReference w:id="2"/>
      </w:r>
    </w:p>
    <w:p w14:paraId="53C64113"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注意到</w:t>
      </w:r>
      <w:r w:rsidRPr="002A632F">
        <w:rPr>
          <w:rFonts w:eastAsia="SimSun"/>
          <w:sz w:val="24"/>
          <w:szCs w:val="24"/>
          <w:lang w:val="zh-CN" w:eastAsia="zh-CN"/>
        </w:rPr>
        <w:t>本决定第</w:t>
      </w:r>
      <w:r w:rsidRPr="002A632F">
        <w:rPr>
          <w:rFonts w:eastAsia="SimSun"/>
          <w:sz w:val="24"/>
          <w:szCs w:val="24"/>
          <w:lang w:val="zh-CN" w:eastAsia="zh-CN"/>
        </w:rPr>
        <w:t>1</w:t>
      </w:r>
      <w:r w:rsidRPr="002A632F">
        <w:rPr>
          <w:rFonts w:eastAsia="SimSun"/>
          <w:sz w:val="24"/>
          <w:szCs w:val="24"/>
          <w:lang w:val="zh-CN" w:eastAsia="zh-CN"/>
        </w:rPr>
        <w:t>段提到的报告缺乏数据并因此存在局限性，特别是缔约方对基线和终期评价问卷的答复率低、缔约方向秘书处提交的年度国家报告数量少的问题，以及秘书处和</w:t>
      </w:r>
      <w:r w:rsidRPr="002A632F">
        <w:rPr>
          <w:rFonts w:eastAsia="SimSun"/>
          <w:sz w:val="24"/>
          <w:szCs w:val="24"/>
          <w:lang w:val="zh-CN" w:eastAsia="zh-CN"/>
        </w:rPr>
        <w:t>BC-13/1</w:t>
      </w:r>
      <w:r w:rsidRPr="002A632F">
        <w:rPr>
          <w:rFonts w:eastAsia="SimSun"/>
          <w:sz w:val="24"/>
          <w:szCs w:val="24"/>
          <w:lang w:val="zh-CN" w:eastAsia="zh-CN"/>
        </w:rPr>
        <w:t>号决定第</w:t>
      </w:r>
      <w:r w:rsidRPr="002A632F">
        <w:rPr>
          <w:rFonts w:eastAsia="SimSun"/>
          <w:sz w:val="24"/>
          <w:szCs w:val="24"/>
          <w:lang w:val="zh-CN" w:eastAsia="zh-CN"/>
        </w:rPr>
        <w:t>6</w:t>
      </w:r>
      <w:r w:rsidRPr="002A632F">
        <w:rPr>
          <w:rFonts w:eastAsia="SimSun"/>
          <w:sz w:val="24"/>
          <w:szCs w:val="24"/>
          <w:lang w:val="zh-CN" w:eastAsia="zh-CN"/>
        </w:rPr>
        <w:t>段设立的小型闭会期间工作组在编写终期评价报告时遇到的其他障碍，包括战略框架的目标、目的和指标之间缺乏一致性；</w:t>
      </w:r>
    </w:p>
    <w:p w14:paraId="77BB6B76"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欢迎</w:t>
      </w:r>
      <w:r w:rsidRPr="002A632F">
        <w:rPr>
          <w:rFonts w:eastAsia="SimSun"/>
          <w:sz w:val="24"/>
          <w:szCs w:val="24"/>
          <w:lang w:val="zh-CN" w:eastAsia="zh-CN"/>
        </w:rPr>
        <w:t>秘书处和小型闭会期间工作组努力通过查明和使用更多信息来源，以更全面地了解在战略框架下取得的进展，从而减轻缺乏数据的影响，并缓解在设置战略框架的目标、目的和指标时没有界定信息来源的问题；</w:t>
      </w:r>
    </w:p>
    <w:p w14:paraId="6C168DD8"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bookmarkStart w:id="2" w:name="_Hlk106786926"/>
      <w:bookmarkEnd w:id="0"/>
      <w:r w:rsidRPr="00866584">
        <w:rPr>
          <w:rFonts w:ascii="KaiTi" w:eastAsia="KaiTi" w:hAnsi="KaiTi"/>
          <w:sz w:val="24"/>
          <w:szCs w:val="24"/>
          <w:lang w:val="zh-CN" w:eastAsia="zh-CN"/>
        </w:rPr>
        <w:t>决定</w:t>
      </w:r>
      <w:r w:rsidRPr="002A632F">
        <w:rPr>
          <w:rFonts w:eastAsia="SimSun"/>
          <w:sz w:val="24"/>
          <w:szCs w:val="24"/>
          <w:lang w:val="zh-CN" w:eastAsia="zh-CN"/>
        </w:rPr>
        <w:t>结合第十五次会议通过的各项决定所体现的战略框架终期评价报告的主要结果、结论和建议，以及在编写报告过程中吸取的经验教训，</w:t>
      </w:r>
      <w:r w:rsidRPr="002A632F">
        <w:rPr>
          <w:rFonts w:eastAsia="SimSun"/>
          <w:sz w:val="24"/>
          <w:szCs w:val="24"/>
          <w:vertAlign w:val="superscript"/>
          <w:lang w:val="zh-CN"/>
        </w:rPr>
        <w:footnoteReference w:id="3"/>
      </w:r>
      <w:r>
        <w:rPr>
          <w:rFonts w:eastAsia="SimSun" w:hint="eastAsia"/>
          <w:sz w:val="24"/>
          <w:szCs w:val="24"/>
          <w:lang w:val="zh-CN" w:eastAsia="zh-CN"/>
        </w:rPr>
        <w:t xml:space="preserve"> </w:t>
      </w:r>
      <w:r w:rsidRPr="002A632F">
        <w:rPr>
          <w:rFonts w:eastAsia="SimSun"/>
          <w:sz w:val="24"/>
          <w:szCs w:val="24"/>
          <w:lang w:val="zh-CN" w:eastAsia="zh-CN"/>
        </w:rPr>
        <w:t>特别是与技术援助、能力建设、技术转让与合作有关的经验教训，酌情改进</w:t>
      </w:r>
      <w:r w:rsidRPr="002A632F">
        <w:rPr>
          <w:rFonts w:eastAsia="SimSun"/>
          <w:sz w:val="24"/>
          <w:szCs w:val="24"/>
          <w:lang w:val="zh-CN" w:eastAsia="zh-CN"/>
        </w:rPr>
        <w:t>2012–2021</w:t>
      </w:r>
      <w:r w:rsidRPr="002A632F">
        <w:rPr>
          <w:rFonts w:eastAsia="SimSun"/>
          <w:sz w:val="24"/>
          <w:szCs w:val="24"/>
          <w:lang w:val="zh-CN" w:eastAsia="zh-CN"/>
        </w:rPr>
        <w:t>年期间战略框架，包括通过加强和协调各区域中心的行动；</w:t>
      </w:r>
      <w:bookmarkStart w:id="3" w:name="_Hlk106786988"/>
      <w:bookmarkEnd w:id="3"/>
    </w:p>
    <w:p w14:paraId="384C7A9A"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bookmarkStart w:id="4" w:name="_Hlk106782587"/>
      <w:bookmarkEnd w:id="2"/>
      <w:r w:rsidRPr="00866584">
        <w:rPr>
          <w:rFonts w:ascii="KaiTi" w:eastAsia="KaiTi" w:hAnsi="KaiTi"/>
          <w:sz w:val="24"/>
          <w:szCs w:val="24"/>
          <w:lang w:val="zh-CN" w:eastAsia="zh-CN"/>
        </w:rPr>
        <w:t>又决定</w:t>
      </w:r>
      <w:r w:rsidRPr="002A632F">
        <w:rPr>
          <w:rFonts w:eastAsia="SimSun"/>
          <w:sz w:val="24"/>
          <w:szCs w:val="24"/>
          <w:lang w:val="zh-CN" w:eastAsia="zh-CN"/>
        </w:rPr>
        <w:t>小型闭会期间工作组将继续开展工作，并向所有邀请联合国五个区域组派代表出席的缔约方以及向观察员开放，其中包括巴塞尔公约区域和协调中心；</w:t>
      </w:r>
    </w:p>
    <w:bookmarkEnd w:id="4"/>
    <w:p w14:paraId="69082568" w14:textId="77777777" w:rsidR="00FC11E6" w:rsidRPr="002A632F" w:rsidRDefault="00FC11E6" w:rsidP="00FC11E6">
      <w:pPr>
        <w:pStyle w:val="Normal-pool"/>
        <w:numPr>
          <w:ilvl w:val="0"/>
          <w:numId w:val="1"/>
        </w:numPr>
        <w:spacing w:after="120"/>
        <w:ind w:left="1247" w:firstLine="624"/>
        <w:jc w:val="both"/>
        <w:rPr>
          <w:rFonts w:eastAsia="SimSun"/>
          <w:bCs/>
          <w:iCs/>
          <w:sz w:val="24"/>
          <w:szCs w:val="24"/>
          <w:u w:val="single"/>
          <w:lang w:eastAsia="zh-CN"/>
        </w:rPr>
      </w:pPr>
      <w:r w:rsidRPr="00866584">
        <w:rPr>
          <w:rFonts w:ascii="KaiTi" w:eastAsia="KaiTi" w:hAnsi="KaiTi"/>
          <w:sz w:val="24"/>
          <w:szCs w:val="24"/>
          <w:lang w:val="zh-CN" w:eastAsia="zh-CN"/>
        </w:rPr>
        <w:t>还决定</w:t>
      </w:r>
      <w:r w:rsidRPr="002A632F">
        <w:rPr>
          <w:rFonts w:eastAsia="SimSun"/>
          <w:sz w:val="24"/>
          <w:szCs w:val="24"/>
          <w:lang w:val="zh-CN" w:eastAsia="zh-CN"/>
        </w:rPr>
        <w:t>小型闭会期间工作组将在在资源允许的情况下至少举行一次面对面会议，并且也将以电子方式运作；</w:t>
      </w:r>
    </w:p>
    <w:p w14:paraId="78900136" w14:textId="77777777" w:rsidR="00FC11E6" w:rsidRPr="002A632F" w:rsidRDefault="00FC11E6" w:rsidP="00FC11E6">
      <w:pPr>
        <w:pStyle w:val="Normal-pool"/>
        <w:numPr>
          <w:ilvl w:val="0"/>
          <w:numId w:val="1"/>
        </w:numPr>
        <w:spacing w:after="120"/>
        <w:ind w:left="1247" w:firstLine="624"/>
        <w:jc w:val="both"/>
        <w:rPr>
          <w:rFonts w:eastAsia="SimSun"/>
          <w:i/>
          <w:iCs/>
          <w:sz w:val="24"/>
          <w:szCs w:val="24"/>
          <w:lang w:eastAsia="zh-CN"/>
        </w:rPr>
      </w:pPr>
      <w:r w:rsidRPr="00866584">
        <w:rPr>
          <w:rFonts w:ascii="KaiTi" w:eastAsia="KaiTi" w:hAnsi="KaiTi"/>
          <w:sz w:val="24"/>
          <w:szCs w:val="24"/>
          <w:lang w:val="zh-CN" w:eastAsia="zh-CN"/>
        </w:rPr>
        <w:t>表示赞赏</w:t>
      </w:r>
      <w:r w:rsidRPr="002A632F">
        <w:rPr>
          <w:rFonts w:eastAsia="SimSun"/>
          <w:sz w:val="24"/>
          <w:szCs w:val="24"/>
          <w:lang w:val="zh-CN" w:eastAsia="zh-CN"/>
        </w:rPr>
        <w:t>加拿大同意担任本决定第</w:t>
      </w:r>
      <w:r w:rsidRPr="002A632F">
        <w:rPr>
          <w:rFonts w:eastAsia="SimSun"/>
          <w:sz w:val="24"/>
          <w:szCs w:val="24"/>
          <w:lang w:val="zh-CN" w:eastAsia="zh-CN"/>
        </w:rPr>
        <w:t>4</w:t>
      </w:r>
      <w:r w:rsidRPr="002A632F">
        <w:rPr>
          <w:rFonts w:eastAsia="SimSun"/>
          <w:sz w:val="24"/>
          <w:szCs w:val="24"/>
          <w:lang w:val="zh-CN" w:eastAsia="zh-CN"/>
        </w:rPr>
        <w:t>段所述活动的牵头国；</w:t>
      </w:r>
    </w:p>
    <w:p w14:paraId="478B6D2D" w14:textId="77777777" w:rsidR="00FC11E6" w:rsidRPr="002A632F" w:rsidRDefault="00FC11E6" w:rsidP="00FC11E6">
      <w:pPr>
        <w:pStyle w:val="Normal-pool"/>
        <w:numPr>
          <w:ilvl w:val="0"/>
          <w:numId w:val="1"/>
        </w:numPr>
        <w:spacing w:after="120"/>
        <w:ind w:left="1247" w:firstLine="624"/>
        <w:jc w:val="both"/>
        <w:rPr>
          <w:rFonts w:eastAsia="SimSun"/>
          <w:i/>
          <w:iCs/>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小型闭会期间工作组依照本决定第</w:t>
      </w:r>
      <w:r w:rsidRPr="002A632F">
        <w:rPr>
          <w:rFonts w:eastAsia="SimSun"/>
          <w:sz w:val="24"/>
          <w:szCs w:val="24"/>
          <w:lang w:val="zh-CN" w:eastAsia="zh-CN"/>
        </w:rPr>
        <w:t>4</w:t>
      </w:r>
      <w:r w:rsidRPr="002A632F">
        <w:rPr>
          <w:rFonts w:eastAsia="SimSun"/>
          <w:sz w:val="24"/>
          <w:szCs w:val="24"/>
          <w:lang w:val="zh-CN" w:eastAsia="zh-CN"/>
        </w:rPr>
        <w:t>段：</w:t>
      </w:r>
    </w:p>
    <w:p w14:paraId="4AE83B3A" w14:textId="77777777" w:rsidR="00FC11E6" w:rsidRPr="002A632F" w:rsidRDefault="00FC11E6" w:rsidP="00FC11E6">
      <w:pPr>
        <w:pStyle w:val="Normal-pool"/>
        <w:numPr>
          <w:ilvl w:val="0"/>
          <w:numId w:val="2"/>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拟定结论和建议，以酌情改进</w:t>
      </w:r>
      <w:r w:rsidRPr="002A632F">
        <w:rPr>
          <w:rFonts w:eastAsia="SimSun"/>
          <w:sz w:val="24"/>
          <w:szCs w:val="24"/>
          <w:lang w:val="zh-CN" w:eastAsia="zh-CN"/>
        </w:rPr>
        <w:t>2012–2021</w:t>
      </w:r>
      <w:r w:rsidRPr="002A632F">
        <w:rPr>
          <w:rFonts w:eastAsia="SimSun"/>
          <w:sz w:val="24"/>
          <w:szCs w:val="24"/>
          <w:lang w:val="zh-CN" w:eastAsia="zh-CN"/>
        </w:rPr>
        <w:t>年期间战略框架；</w:t>
      </w:r>
    </w:p>
    <w:p w14:paraId="4A34FEC8" w14:textId="77777777" w:rsidR="00FC11E6" w:rsidRPr="002A632F" w:rsidRDefault="00FC11E6" w:rsidP="00FC11E6">
      <w:pPr>
        <w:pStyle w:val="Normal-pool"/>
        <w:numPr>
          <w:ilvl w:val="0"/>
          <w:numId w:val="2"/>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lastRenderedPageBreak/>
        <w:t>提交一份结论和建议草案，供不限成员名额工作组第十三次会议审议；</w:t>
      </w:r>
    </w:p>
    <w:p w14:paraId="6E1F08E8" w14:textId="77777777" w:rsidR="00FC11E6" w:rsidRPr="002A632F" w:rsidRDefault="00FC11E6" w:rsidP="00FC11E6">
      <w:pPr>
        <w:pStyle w:val="Normal-pool"/>
        <w:numPr>
          <w:ilvl w:val="0"/>
          <w:numId w:val="2"/>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结合不限成员名额工作组第十三次会议的成果，向缔约方大会第十六次会议提出建议；</w:t>
      </w:r>
    </w:p>
    <w:p w14:paraId="37A5ACB6" w14:textId="77777777" w:rsidR="00FC11E6" w:rsidRPr="00866584" w:rsidRDefault="00FC11E6" w:rsidP="00FC11E6">
      <w:pPr>
        <w:pStyle w:val="CH2"/>
        <w:ind w:firstLine="0"/>
        <w:jc w:val="center"/>
        <w:rPr>
          <w:rFonts w:ascii="SimHei" w:eastAsia="SimHei"/>
          <w:sz w:val="28"/>
          <w:szCs w:val="28"/>
          <w:lang w:eastAsia="zh-CN"/>
        </w:rPr>
      </w:pPr>
      <w:r w:rsidRPr="00866584">
        <w:rPr>
          <w:rFonts w:ascii="SimHei" w:eastAsia="SimHei" w:hint="eastAsia"/>
          <w:bCs/>
          <w:sz w:val="28"/>
          <w:szCs w:val="28"/>
          <w:lang w:val="zh-CN" w:eastAsia="zh-CN"/>
        </w:rPr>
        <w:t>二</w:t>
      </w:r>
    </w:p>
    <w:p w14:paraId="69DF827A" w14:textId="77777777" w:rsidR="00FC11E6" w:rsidRPr="00866584" w:rsidRDefault="00FC11E6" w:rsidP="00FC11E6">
      <w:pPr>
        <w:pStyle w:val="CH2"/>
        <w:spacing w:before="80"/>
        <w:ind w:firstLine="0"/>
        <w:jc w:val="center"/>
        <w:rPr>
          <w:rFonts w:ascii="SimHei" w:eastAsia="SimHei"/>
          <w:sz w:val="28"/>
          <w:szCs w:val="28"/>
          <w:lang w:eastAsia="zh-CN"/>
        </w:rPr>
      </w:pPr>
      <w:r w:rsidRPr="00866584">
        <w:rPr>
          <w:rFonts w:ascii="SimHei" w:eastAsia="SimHei" w:hint="eastAsia"/>
          <w:bCs/>
          <w:sz w:val="28"/>
          <w:szCs w:val="28"/>
          <w:lang w:val="zh-CN" w:eastAsia="zh-CN"/>
        </w:rPr>
        <w:t>努力改进事先知情同意程序的运作</w:t>
      </w:r>
    </w:p>
    <w:p w14:paraId="3E9D83A6"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proofErr w:type="gramStart"/>
      <w:r w:rsidRPr="00866584">
        <w:rPr>
          <w:rFonts w:ascii="KaiTi" w:eastAsia="KaiTi" w:hAnsi="KaiTi"/>
          <w:sz w:val="24"/>
          <w:szCs w:val="24"/>
          <w:lang w:val="zh-CN" w:eastAsia="zh-CN"/>
        </w:rPr>
        <w:t>确认</w:t>
      </w:r>
      <w:r w:rsidRPr="002A632F">
        <w:rPr>
          <w:rFonts w:eastAsia="SimSun"/>
          <w:sz w:val="24"/>
          <w:szCs w:val="24"/>
          <w:lang w:val="zh-CN" w:eastAsia="zh-CN"/>
        </w:rPr>
        <w:t>自</w:t>
      </w:r>
      <w:proofErr w:type="gramEnd"/>
      <w:r w:rsidRPr="002A632F">
        <w:rPr>
          <w:rFonts w:eastAsia="SimSun"/>
          <w:sz w:val="24"/>
          <w:szCs w:val="24"/>
          <w:lang w:val="zh-CN" w:eastAsia="zh-CN"/>
        </w:rPr>
        <w:t>《巴塞尔公约》生效以来，某些缔约方已成功运用了事先知情同意程序；</w:t>
      </w:r>
    </w:p>
    <w:p w14:paraId="3BD03E6A"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注意到</w:t>
      </w:r>
      <w:r w:rsidRPr="002A632F">
        <w:rPr>
          <w:rFonts w:eastAsia="SimSun"/>
          <w:sz w:val="24"/>
          <w:szCs w:val="24"/>
          <w:lang w:val="zh-CN" w:eastAsia="zh-CN"/>
        </w:rPr>
        <w:t>已运用事先知情同意程序的缔约方可能久而久之形成了运用该程序的最佳做法，其他缔约方在实施该程序时可能受益于此；</w:t>
      </w:r>
    </w:p>
    <w:p w14:paraId="3EF72A72"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r w:rsidRPr="002A632F">
        <w:rPr>
          <w:rFonts w:eastAsia="SimSun"/>
          <w:sz w:val="24"/>
          <w:szCs w:val="24"/>
          <w:lang w:val="zh-CN" w:eastAsia="zh-CN"/>
        </w:rPr>
        <w:t>然而，</w:t>
      </w:r>
      <w:r w:rsidRPr="00866584">
        <w:rPr>
          <w:rFonts w:ascii="KaiTi" w:eastAsia="KaiTi" w:hAnsi="KaiTi"/>
          <w:sz w:val="24"/>
          <w:szCs w:val="24"/>
          <w:lang w:val="zh-CN" w:eastAsia="zh-CN"/>
        </w:rPr>
        <w:t>关切地注意到</w:t>
      </w:r>
      <w:r w:rsidRPr="002A632F">
        <w:rPr>
          <w:rFonts w:eastAsia="SimSun"/>
          <w:sz w:val="24"/>
          <w:szCs w:val="24"/>
          <w:lang w:val="zh-CN" w:eastAsia="zh-CN"/>
        </w:rPr>
        <w:t>，对出口、过境和进口缔约方，特别是岛屿国家和发展中国家而言，实施事先知情同意程序方面的挑战日益妨碍危险废物和其他废物的越境转移及其无害环境管理；</w:t>
      </w:r>
    </w:p>
    <w:p w14:paraId="2B242B43" w14:textId="77777777" w:rsidR="00FC11E6" w:rsidRPr="002A632F" w:rsidRDefault="00FC11E6" w:rsidP="00FC11E6">
      <w:pPr>
        <w:pStyle w:val="Normal-pool"/>
        <w:numPr>
          <w:ilvl w:val="0"/>
          <w:numId w:val="1"/>
        </w:numPr>
        <w:spacing w:after="120"/>
        <w:ind w:left="1247" w:firstLine="624"/>
        <w:jc w:val="both"/>
        <w:rPr>
          <w:rFonts w:eastAsia="SimSun"/>
          <w:i/>
          <w:iCs/>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缔约方和观察员至迟于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11</w:t>
      </w:r>
      <w:r w:rsidRPr="002A632F">
        <w:rPr>
          <w:rFonts w:eastAsia="SimSun"/>
          <w:sz w:val="24"/>
          <w:szCs w:val="24"/>
          <w:lang w:val="zh-CN" w:eastAsia="zh-CN"/>
        </w:rPr>
        <w:t>月</w:t>
      </w:r>
      <w:r w:rsidRPr="002A632F">
        <w:rPr>
          <w:rFonts w:eastAsia="SimSun"/>
          <w:sz w:val="24"/>
          <w:szCs w:val="24"/>
          <w:lang w:val="zh-CN" w:eastAsia="zh-CN"/>
        </w:rPr>
        <w:t>30</w:t>
      </w:r>
      <w:r w:rsidRPr="002A632F">
        <w:rPr>
          <w:rFonts w:eastAsia="SimSun"/>
          <w:sz w:val="24"/>
          <w:szCs w:val="24"/>
          <w:lang w:val="zh-CN" w:eastAsia="zh-CN"/>
        </w:rPr>
        <w:t>日向秘书处提交资料，说明实施事先知情同意程序方面的挑战，以及改进程序运作的最佳做法、可能办法、举措和意见，同时认识到发展中国家在执行事先知情同意程序上面临着日益增多的挑战，这些国家需要进一步的财政和技术援助以及能力建设，以应对这些挑战；</w:t>
      </w:r>
      <w:r w:rsidRPr="002A632F">
        <w:rPr>
          <w:rFonts w:eastAsia="SimSun"/>
          <w:sz w:val="24"/>
          <w:szCs w:val="24"/>
          <w:vertAlign w:val="superscript"/>
          <w:lang w:val="zh-CN"/>
        </w:rPr>
        <w:footnoteReference w:id="4"/>
      </w:r>
    </w:p>
    <w:p w14:paraId="259C66A2"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秘书处在公约网站上公布根据本决定第</w:t>
      </w:r>
      <w:r w:rsidRPr="002A632F">
        <w:rPr>
          <w:rFonts w:eastAsia="SimSun"/>
          <w:sz w:val="24"/>
          <w:szCs w:val="24"/>
          <w:lang w:val="zh-CN" w:eastAsia="zh-CN"/>
        </w:rPr>
        <w:t>12</w:t>
      </w:r>
      <w:r w:rsidRPr="002A632F">
        <w:rPr>
          <w:rFonts w:eastAsia="SimSun"/>
          <w:sz w:val="24"/>
          <w:szCs w:val="24"/>
          <w:lang w:val="zh-CN" w:eastAsia="zh-CN"/>
        </w:rPr>
        <w:t>段收到的资料，并在资源允许的情况下对收到的资料进行汇编和综合，供不限成员名额工作组第十三次会议审议；</w:t>
      </w:r>
    </w:p>
    <w:p w14:paraId="7C1A1EA7" w14:textId="77777777" w:rsidR="00FC11E6" w:rsidRPr="002A632F" w:rsidRDefault="00FC11E6" w:rsidP="00FC11E6">
      <w:pPr>
        <w:pStyle w:val="Normal-pool"/>
        <w:numPr>
          <w:ilvl w:val="0"/>
          <w:numId w:val="1"/>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不限成员名额工作组第十三次会议在审议本决定第</w:t>
      </w:r>
      <w:r w:rsidRPr="002A632F">
        <w:rPr>
          <w:rFonts w:eastAsia="SimSun"/>
          <w:sz w:val="24"/>
          <w:szCs w:val="24"/>
          <w:lang w:val="zh-CN" w:eastAsia="zh-CN"/>
        </w:rPr>
        <w:t>13</w:t>
      </w:r>
      <w:r w:rsidRPr="002A632F">
        <w:rPr>
          <w:rFonts w:eastAsia="SimSun"/>
          <w:sz w:val="24"/>
          <w:szCs w:val="24"/>
          <w:lang w:val="zh-CN" w:eastAsia="zh-CN"/>
        </w:rPr>
        <w:t>段所述的资料汇编和综合的基础上，拟定建议草案，供缔约方大会第十六次会议审议。</w:t>
      </w:r>
    </w:p>
    <w:p w14:paraId="53A24FD6" w14:textId="2538D01D" w:rsidR="00F935A6" w:rsidRPr="00FC11E6" w:rsidRDefault="00F935A6" w:rsidP="00FC11E6">
      <w:pPr>
        <w:pStyle w:val="Normal-pool"/>
        <w:jc w:val="both"/>
        <w:rPr>
          <w:rFonts w:eastAsia="SimSun"/>
          <w:sz w:val="24"/>
          <w:szCs w:val="24"/>
          <w:lang w:eastAsia="zh-CN"/>
        </w:rPr>
      </w:pPr>
    </w:p>
    <w:sectPr w:rsidR="00F935A6" w:rsidRPr="00FC11E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78B080" w14:textId="77777777" w:rsidR="00860FDA" w:rsidRDefault="00860FDA" w:rsidP="00FC11E6">
      <w:pPr>
        <w:spacing w:after="0" w:line="240" w:lineRule="auto"/>
      </w:pPr>
      <w:r>
        <w:separator/>
      </w:r>
    </w:p>
  </w:endnote>
  <w:endnote w:type="continuationSeparator" w:id="0">
    <w:p w14:paraId="0D04684F" w14:textId="77777777" w:rsidR="00860FDA" w:rsidRDefault="00860FDA"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DA00E" w14:textId="77777777" w:rsidR="00860FDA" w:rsidRDefault="00860FDA" w:rsidP="00FC11E6">
      <w:pPr>
        <w:spacing w:after="0" w:line="240" w:lineRule="auto"/>
      </w:pPr>
      <w:r>
        <w:separator/>
      </w:r>
    </w:p>
  </w:footnote>
  <w:footnote w:type="continuationSeparator" w:id="0">
    <w:p w14:paraId="1D826DDA" w14:textId="77777777" w:rsidR="00860FDA" w:rsidRDefault="00860FDA" w:rsidP="00FC11E6">
      <w:pPr>
        <w:spacing w:after="0" w:line="240" w:lineRule="auto"/>
      </w:pPr>
      <w:r>
        <w:continuationSeparator/>
      </w:r>
    </w:p>
  </w:footnote>
  <w:footnote w:id="1">
    <w:p w14:paraId="370E5E3F" w14:textId="77777777" w:rsidR="00FC11E6" w:rsidRPr="009A66B1" w:rsidRDefault="00FC11E6" w:rsidP="00FC11E6">
      <w:pPr>
        <w:pStyle w:val="Normal-pool"/>
        <w:spacing w:before="20" w:after="40"/>
        <w:ind w:left="1247"/>
        <w:rPr>
          <w:rFonts w:eastAsia="SimSun"/>
        </w:rPr>
      </w:pPr>
      <w:r w:rsidRPr="009A66B1">
        <w:rPr>
          <w:rFonts w:eastAsia="SimSun"/>
          <w:vertAlign w:val="superscript"/>
          <w:lang w:val="zh-CN"/>
        </w:rPr>
        <w:footnoteRef/>
      </w:r>
      <w:r w:rsidRPr="009A66B1">
        <w:rPr>
          <w:rFonts w:eastAsia="SimSun"/>
        </w:rPr>
        <w:t xml:space="preserve"> UNEP/CHW.15/INF/5</w:t>
      </w:r>
      <w:r w:rsidRPr="009A66B1">
        <w:rPr>
          <w:rFonts w:eastAsia="SimSun"/>
        </w:rPr>
        <w:t>，</w:t>
      </w:r>
      <w:r w:rsidRPr="009A66B1">
        <w:rPr>
          <w:rFonts w:eastAsia="SimSun"/>
          <w:lang w:val="zh-CN"/>
        </w:rPr>
        <w:t>附件</w:t>
      </w:r>
      <w:r w:rsidRPr="009A66B1">
        <w:rPr>
          <w:rFonts w:eastAsia="SimSun"/>
        </w:rPr>
        <w:t>；</w:t>
      </w:r>
      <w:r w:rsidRPr="009A66B1">
        <w:rPr>
          <w:rFonts w:eastAsia="SimSun"/>
        </w:rPr>
        <w:t xml:space="preserve"> UNEP/CHW.15/3/Add.1</w:t>
      </w:r>
      <w:r w:rsidRPr="009A66B1">
        <w:rPr>
          <w:rFonts w:eastAsia="SimSun"/>
        </w:rPr>
        <w:t>，</w:t>
      </w:r>
      <w:r w:rsidRPr="009A66B1">
        <w:rPr>
          <w:rFonts w:eastAsia="SimSun"/>
          <w:lang w:val="zh-CN"/>
        </w:rPr>
        <w:t>附件。</w:t>
      </w:r>
    </w:p>
  </w:footnote>
  <w:footnote w:id="2">
    <w:p w14:paraId="3D4261AA" w14:textId="77777777" w:rsidR="00FC11E6" w:rsidRPr="009A66B1" w:rsidRDefault="00FC11E6" w:rsidP="00FC11E6">
      <w:pPr>
        <w:pStyle w:val="Normal-pool"/>
        <w:spacing w:before="20" w:after="40"/>
        <w:ind w:left="1247"/>
        <w:rPr>
          <w:rFonts w:eastAsia="SimSun"/>
        </w:rPr>
      </w:pPr>
      <w:r w:rsidRPr="009A66B1">
        <w:rPr>
          <w:rFonts w:eastAsia="SimSun"/>
          <w:vertAlign w:val="superscript"/>
          <w:lang w:val="zh-CN"/>
        </w:rPr>
        <w:footnoteRef/>
      </w:r>
      <w:r w:rsidRPr="009A66B1">
        <w:rPr>
          <w:rFonts w:eastAsia="SimSun"/>
        </w:rPr>
        <w:t xml:space="preserve"> UNEP/CHW.15/INF/5</w:t>
      </w:r>
      <w:r w:rsidRPr="009A66B1">
        <w:rPr>
          <w:rFonts w:eastAsia="SimSun"/>
        </w:rPr>
        <w:t>，</w:t>
      </w:r>
      <w:r w:rsidRPr="009A66B1">
        <w:rPr>
          <w:rFonts w:eastAsia="SimSun"/>
          <w:lang w:val="zh-CN"/>
        </w:rPr>
        <w:t>附件。</w:t>
      </w:r>
      <w:bookmarkStart w:id="1" w:name="_Hlk106787034"/>
      <w:bookmarkEnd w:id="1"/>
    </w:p>
  </w:footnote>
  <w:footnote w:id="3">
    <w:p w14:paraId="36A99B3D" w14:textId="77777777" w:rsidR="00FC11E6" w:rsidRPr="0017351B" w:rsidRDefault="00FC11E6" w:rsidP="00FC11E6">
      <w:pPr>
        <w:pStyle w:val="Normal-pool"/>
        <w:spacing w:before="20" w:after="40"/>
        <w:ind w:left="1247"/>
        <w:rPr>
          <w:sz w:val="18"/>
          <w:szCs w:val="18"/>
        </w:rPr>
      </w:pPr>
      <w:r w:rsidRPr="009A66B1">
        <w:rPr>
          <w:rFonts w:eastAsia="SimSun"/>
          <w:vertAlign w:val="superscript"/>
          <w:lang w:val="zh-CN"/>
        </w:rPr>
        <w:footnoteRef/>
      </w:r>
      <w:r w:rsidRPr="009A66B1">
        <w:rPr>
          <w:rFonts w:eastAsia="SimSun"/>
        </w:rPr>
        <w:t xml:space="preserve"> </w:t>
      </w:r>
      <w:proofErr w:type="spellStart"/>
      <w:r w:rsidRPr="009A66B1">
        <w:rPr>
          <w:rFonts w:eastAsia="SimSun"/>
          <w:lang w:val="zh-CN"/>
        </w:rPr>
        <w:t>例如小型闭会期间工作组的会议报告和缔约方提交的材料</w:t>
      </w:r>
      <w:r w:rsidRPr="009A66B1">
        <w:rPr>
          <w:rFonts w:eastAsia="SimSun"/>
        </w:rPr>
        <w:t>，</w:t>
      </w:r>
      <w:r w:rsidRPr="009A66B1">
        <w:rPr>
          <w:rFonts w:eastAsia="SimSun"/>
          <w:lang w:val="zh-CN"/>
        </w:rPr>
        <w:t>可查阅</w:t>
      </w:r>
      <w:proofErr w:type="spellEnd"/>
      <w:r>
        <w:fldChar w:fldCharType="begin"/>
      </w:r>
      <w:r>
        <w:instrText xml:space="preserve"> HYPERLINK "http://www.basel.int/Implementation/StrategicFramework/Overview/tabid/3807/Default.aspx" </w:instrText>
      </w:r>
      <w:r>
        <w:fldChar w:fldCharType="separate"/>
      </w:r>
      <w:r w:rsidRPr="00676687">
        <w:rPr>
          <w:rStyle w:val="Hyperlink"/>
          <w:rFonts w:eastAsia="SimSun"/>
          <w:color w:val="0000FF"/>
        </w:rPr>
        <w:t>http://www.basel.int/Implementation/StrategicFramework/Overview/tabid/3807/Default.aspx</w:t>
      </w:r>
      <w:r>
        <w:rPr>
          <w:rStyle w:val="Hyperlink"/>
          <w:rFonts w:eastAsia="SimSun"/>
          <w:color w:val="0000FF"/>
          <w:lang w:val="en-GB"/>
        </w:rPr>
        <w:fldChar w:fldCharType="end"/>
      </w:r>
      <w:r w:rsidRPr="009A66B1">
        <w:rPr>
          <w:rFonts w:eastAsia="SimSun"/>
          <w:lang w:val="zh-CN"/>
        </w:rPr>
        <w:t>。</w:t>
      </w:r>
    </w:p>
  </w:footnote>
  <w:footnote w:id="4">
    <w:p w14:paraId="23B53CE4" w14:textId="77777777" w:rsidR="00FC11E6" w:rsidRPr="00552C8A" w:rsidRDefault="00FC11E6" w:rsidP="00FC11E6">
      <w:pPr>
        <w:pStyle w:val="Normal-pool"/>
        <w:spacing w:before="20" w:after="40"/>
        <w:ind w:left="1253"/>
        <w:rPr>
          <w:rFonts w:eastAsia="SimSun"/>
        </w:rPr>
      </w:pPr>
      <w:r w:rsidRPr="00552C8A">
        <w:rPr>
          <w:rStyle w:val="FootnoteReference"/>
          <w:lang w:val="zh-CN"/>
        </w:rPr>
        <w:footnoteRef/>
      </w:r>
      <w:r w:rsidRPr="00552C8A">
        <w:rPr>
          <w:rFonts w:eastAsia="SimSun"/>
        </w:rPr>
        <w:t xml:space="preserve"> http://www.brsmeas.org/Implementation/TechnicalAssistance/NeedsAssessment/tabid/4898/</w:t>
      </w:r>
      <w:r w:rsidRPr="00552C8A">
        <w:rPr>
          <w:rFonts w:eastAsia="SimSun"/>
        </w:rPr>
        <w:br/>
        <w:t>language/</w:t>
      </w:r>
      <w:proofErr w:type="spellStart"/>
      <w:r w:rsidRPr="00552C8A">
        <w:rPr>
          <w:rFonts w:eastAsia="SimSun"/>
        </w:rPr>
        <w:t>en</w:t>
      </w:r>
      <w:proofErr w:type="spellEnd"/>
      <w:r w:rsidRPr="00552C8A">
        <w:rPr>
          <w:rFonts w:eastAsia="SimSun"/>
        </w:rPr>
        <w:t>-US/Default.aspx</w:t>
      </w:r>
      <w:r w:rsidRPr="00552C8A">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0"/>
    <w:lvlOverride w:ilvl="0">
      <w:lvl w:ilvl="0" w:tplc="9260D008">
        <w:start w:val="1"/>
        <w:numFmt w:val="decimal"/>
        <w:lvlText w:val="%1."/>
        <w:lvlJc w:val="left"/>
        <w:pPr>
          <w:ind w:left="720" w:hanging="360"/>
        </w:pPr>
        <w:rPr>
          <w:i w:val="0"/>
          <w:iCs/>
        </w:rPr>
      </w:lvl>
    </w:lvlOverride>
  </w:num>
  <w:num w:numId="2" w16cid:durableId="1342774805">
    <w:abstractNumId w:val="1"/>
    <w:lvlOverride w:ilvl="0">
      <w:lvl w:ilvl="0" w:tplc="0B82E394">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836B73"/>
    <w:rsid w:val="00860FDA"/>
    <w:rsid w:val="00C84536"/>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jc w:val="both"/>
    </w:pPr>
    <w:rPr>
      <w:rFonts w:ascii="Times New Roman" w:eastAsia="SimSun" w:hAnsi="Times New Roman"/>
      <w:color w:val="000000"/>
      <w:spacing w:val="-5"/>
      <w:w w:val="130"/>
      <w:position w:val="-4"/>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197</Words>
  <Characters>1126</Characters>
  <Application>Microsoft Office Word</Application>
  <DocSecurity>0</DocSecurity>
  <Lines>9</Lines>
  <Paragraphs>2</Paragraphs>
  <ScaleCrop>false</ScaleCrop>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2023-04-25T09:39:00Z</dcterms:created>
  <dcterms:modified xsi:type="dcterms:W3CDTF">2023-04-25T09:40:00Z</dcterms:modified>
</cp:coreProperties>
</file>