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096E0" w14:textId="4ED60754" w:rsidR="002F3AE4" w:rsidRPr="00B831E7" w:rsidRDefault="002F3AE4" w:rsidP="002F3AE4">
      <w:pPr>
        <w:pStyle w:val="CH1"/>
      </w:pPr>
      <w:r>
        <w:tab/>
      </w:r>
      <w:r>
        <w:tab/>
      </w:r>
      <w:r w:rsidRPr="00B831E7">
        <w:t>BC-15/3: Strategic framework</w:t>
      </w:r>
    </w:p>
    <w:p w14:paraId="02B8EA58" w14:textId="77777777" w:rsidR="002F3AE4" w:rsidRPr="00B831E7" w:rsidRDefault="002F3AE4" w:rsidP="002F3AE4">
      <w:pPr>
        <w:pStyle w:val="Normal-pool"/>
        <w:spacing w:after="120"/>
        <w:ind w:left="1247" w:firstLine="624"/>
        <w:rPr>
          <w:i/>
          <w:iCs/>
        </w:rPr>
      </w:pPr>
      <w:r w:rsidRPr="00B831E7">
        <w:rPr>
          <w:i/>
          <w:iCs/>
        </w:rPr>
        <w:t>The Conference of the Parties,</w:t>
      </w:r>
    </w:p>
    <w:p w14:paraId="0B02D2B7" w14:textId="77777777" w:rsidR="002F3AE4" w:rsidRPr="00B831E7" w:rsidRDefault="002F3AE4" w:rsidP="002F3AE4">
      <w:pPr>
        <w:pStyle w:val="CH2"/>
        <w:ind w:firstLine="0"/>
        <w:jc w:val="center"/>
        <w:rPr>
          <w:lang w:eastAsia="en-CA"/>
        </w:rPr>
      </w:pPr>
      <w:r w:rsidRPr="00B831E7">
        <w:rPr>
          <w:lang w:eastAsia="en-CA"/>
        </w:rPr>
        <w:t>I</w:t>
      </w:r>
    </w:p>
    <w:p w14:paraId="065A786C" w14:textId="77777777" w:rsidR="002F3AE4" w:rsidRPr="00B831E7" w:rsidRDefault="002F3AE4" w:rsidP="002F3AE4">
      <w:pPr>
        <w:pStyle w:val="CH2"/>
        <w:spacing w:before="80"/>
        <w:ind w:firstLine="0"/>
        <w:jc w:val="center"/>
        <w:rPr>
          <w:i/>
          <w:iCs/>
        </w:rPr>
      </w:pPr>
      <w:r w:rsidRPr="00B831E7">
        <w:rPr>
          <w:lang w:eastAsia="fr-FR"/>
        </w:rPr>
        <w:t>Strategic framework</w:t>
      </w:r>
    </w:p>
    <w:p w14:paraId="57CA8BB5" w14:textId="77777777" w:rsidR="002F3AE4" w:rsidRPr="00B831E7" w:rsidRDefault="002F3AE4" w:rsidP="002F3AE4">
      <w:pPr>
        <w:pStyle w:val="Normal-pool"/>
        <w:spacing w:after="120"/>
        <w:ind w:left="1247" w:firstLine="624"/>
        <w:rPr>
          <w:i/>
        </w:rPr>
      </w:pPr>
      <w:r w:rsidRPr="00B831E7">
        <w:rPr>
          <w:i/>
        </w:rPr>
        <w:t>Mindful</w:t>
      </w:r>
      <w:r w:rsidRPr="00B831E7">
        <w:t xml:space="preserve"> that the recommendations in the report on the final evaluation of the strategic framework for the implementation of the Basel Convention </w:t>
      </w:r>
      <w:r w:rsidRPr="00B831E7">
        <w:rPr>
          <w:iCs/>
        </w:rPr>
        <w:t xml:space="preserve">on the Control of Transboundary Movements of Hazardous Wastes and Their Disposal </w:t>
      </w:r>
      <w:r w:rsidRPr="00B831E7">
        <w:t>for the period 2012–2021</w:t>
      </w:r>
      <w:r w:rsidRPr="00B831E7">
        <w:rPr>
          <w:iCs/>
          <w:szCs w:val="18"/>
          <w:vertAlign w:val="superscript"/>
        </w:rPr>
        <w:footnoteReference w:id="1"/>
      </w:r>
      <w:r w:rsidRPr="00B831E7">
        <w:t xml:space="preserve"> that pertain to specific items on </w:t>
      </w:r>
      <w:r w:rsidRPr="00B831E7">
        <w:rPr>
          <w:iCs/>
        </w:rPr>
        <w:t>the</w:t>
      </w:r>
      <w:r w:rsidRPr="00B831E7">
        <w:t xml:space="preserve"> agenda of the fifteenth meeting of the Conference of the Parties are addressed in the relevant decisions adopted by the Conference of the Parties at that meeting and reflected in the programme of work and budget for the Basel Convention for the biennium 2022–2023,</w:t>
      </w:r>
    </w:p>
    <w:p w14:paraId="105E9074"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rPr>
          <w:i/>
        </w:rPr>
      </w:pPr>
      <w:bookmarkStart w:id="0" w:name="_Hlk106189483"/>
      <w:r w:rsidRPr="00B831E7">
        <w:rPr>
          <w:i/>
          <w:iCs/>
        </w:rPr>
        <w:t>Welcomes</w:t>
      </w:r>
      <w:r w:rsidRPr="00B831E7">
        <w:rPr>
          <w:i/>
        </w:rPr>
        <w:t xml:space="preserve"> </w:t>
      </w:r>
      <w:r w:rsidRPr="00B831E7">
        <w:t xml:space="preserve">the report on the final evaluation of the strategic framework for the implementation of the Basel Convention </w:t>
      </w:r>
      <w:r w:rsidRPr="00B831E7">
        <w:rPr>
          <w:iCs/>
        </w:rPr>
        <w:t xml:space="preserve">on the Control of Transboundary Movements of Hazardous Wastes and Their Disposal </w:t>
      </w:r>
      <w:r w:rsidRPr="00B831E7">
        <w:t>for the period 2012–2021</w:t>
      </w:r>
      <w:r w:rsidRPr="00B831E7">
        <w:rPr>
          <w:iCs/>
        </w:rPr>
        <w:t>;</w:t>
      </w:r>
      <w:r w:rsidRPr="00B831E7">
        <w:rPr>
          <w:iCs/>
          <w:szCs w:val="18"/>
          <w:vertAlign w:val="superscript"/>
        </w:rPr>
        <w:footnoteReference w:id="2"/>
      </w:r>
    </w:p>
    <w:p w14:paraId="16D85BBB"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pPr>
      <w:r w:rsidRPr="00B831E7">
        <w:rPr>
          <w:i/>
          <w:iCs/>
        </w:rPr>
        <w:t xml:space="preserve">Notes </w:t>
      </w:r>
      <w:r w:rsidRPr="00B831E7">
        <w:t>the lack of data and consequent limitations of the report mentioned in paragraph 1 of the present decision, related in particular to the low rate of response by Parties to the baseline and final evaluation questionnaires and the low level of submission to the Secretariat of annual national reports by Parties, as well as other obstacles encountered by the Secretariat and the small intersessional working group established in paragraph 6 of decision BC-13/1 in preparing the final evaluation, including the lack of consistency between the objectives, goals and indicators of the strategic framework;</w:t>
      </w:r>
    </w:p>
    <w:p w14:paraId="0543C125"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pPr>
      <w:r w:rsidRPr="00B831E7">
        <w:rPr>
          <w:i/>
          <w:iCs/>
        </w:rPr>
        <w:t xml:space="preserve">Welcomes </w:t>
      </w:r>
      <w:r w:rsidRPr="00B831E7">
        <w:t xml:space="preserve">the efforts by the Secretariat and the small intersessional working group to mitigate both the impact of the lack of data and the fact that information sources were not defined at the time of the setting of the objectives, goals and indicators of the strategic framework by identifying and using additional information sources in order to obtain a more complete picture of the progress achieved under the strategic </w:t>
      </w:r>
      <w:proofErr w:type="gramStart"/>
      <w:r w:rsidRPr="00B831E7">
        <w:t>framework;</w:t>
      </w:r>
      <w:proofErr w:type="gramEnd"/>
      <w:r w:rsidRPr="00B831E7">
        <w:t xml:space="preserve"> </w:t>
      </w:r>
    </w:p>
    <w:p w14:paraId="1355625D"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pPr>
      <w:bookmarkStart w:id="2" w:name="_Hlk106786926"/>
      <w:bookmarkEnd w:id="0"/>
      <w:r w:rsidRPr="00B831E7">
        <w:rPr>
          <w:i/>
          <w:iCs/>
        </w:rPr>
        <w:t>Decides</w:t>
      </w:r>
      <w:r w:rsidRPr="00B831E7">
        <w:rPr>
          <w:i/>
        </w:rPr>
        <w:t xml:space="preserve"> </w:t>
      </w:r>
      <w:r w:rsidRPr="00B831E7">
        <w:t>to improve, as appropriate, the strategic framework for the period 2012–2021</w:t>
      </w:r>
      <w:bookmarkStart w:id="3" w:name="_Hlk106786988"/>
      <w:r w:rsidRPr="00B831E7">
        <w:t xml:space="preserve">, taking into account the main findings, conclusions and recommendations of the report on the final evaluation of the strategic framework </w:t>
      </w:r>
      <w:bookmarkEnd w:id="3"/>
      <w:r w:rsidRPr="00B831E7">
        <w:t>as reflected in the decisions adopted at its fifteenth meeting and on the lessons learned in the preparation of the report,</w:t>
      </w:r>
      <w:r w:rsidRPr="00B831E7">
        <w:rPr>
          <w:vertAlign w:val="superscript"/>
        </w:rPr>
        <w:footnoteReference w:id="3"/>
      </w:r>
      <w:r w:rsidRPr="00B831E7">
        <w:rPr>
          <w:vertAlign w:val="superscript"/>
        </w:rPr>
        <w:t xml:space="preserve"> </w:t>
      </w:r>
      <w:r w:rsidRPr="00B831E7">
        <w:t>especially those pertaining to technical assistance, capacity</w:t>
      </w:r>
      <w:r w:rsidRPr="00B831E7">
        <w:noBreakHyphen/>
        <w:t>building, technology transfer and cooperation, including through strengthened and coordinated actions of regional centres;</w:t>
      </w:r>
    </w:p>
    <w:p w14:paraId="4DAB4CEC"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pPr>
      <w:bookmarkStart w:id="4" w:name="_Hlk106782587"/>
      <w:bookmarkEnd w:id="2"/>
      <w:r w:rsidRPr="00B831E7">
        <w:rPr>
          <w:i/>
          <w:iCs/>
        </w:rPr>
        <w:t xml:space="preserve">Also decides </w:t>
      </w:r>
      <w:r w:rsidRPr="00B831E7">
        <w:t xml:space="preserve">that the small intersessional working group will continue its work and be open to all Parties inviting representation of the five regional groups of the United Nations, and to observers, including the Basel Convention regional and coordinating </w:t>
      </w:r>
      <w:proofErr w:type="gramStart"/>
      <w:r w:rsidRPr="00B831E7">
        <w:t>centres;</w:t>
      </w:r>
      <w:proofErr w:type="gramEnd"/>
      <w:r w:rsidRPr="00B831E7">
        <w:t xml:space="preserve"> </w:t>
      </w:r>
    </w:p>
    <w:bookmarkEnd w:id="4"/>
    <w:p w14:paraId="3FB2C9FC"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rPr>
          <w:bCs/>
          <w:iCs/>
          <w:u w:val="single"/>
        </w:rPr>
      </w:pPr>
      <w:r w:rsidRPr="00B831E7">
        <w:rPr>
          <w:i/>
          <w:iCs/>
        </w:rPr>
        <w:t xml:space="preserve">Further decides </w:t>
      </w:r>
      <w:r w:rsidRPr="00B831E7">
        <w:t>that the small intersessional working group will hold at least one face</w:t>
      </w:r>
      <w:r w:rsidRPr="00B831E7">
        <w:noBreakHyphen/>
        <w:t>to</w:t>
      </w:r>
      <w:r w:rsidRPr="00B831E7">
        <w:noBreakHyphen/>
        <w:t xml:space="preserve">face meeting, subject to the availability of resources, and will also work by electronic </w:t>
      </w:r>
      <w:proofErr w:type="gramStart"/>
      <w:r w:rsidRPr="00B831E7">
        <w:t>means;</w:t>
      </w:r>
      <w:proofErr w:type="gramEnd"/>
    </w:p>
    <w:p w14:paraId="48FB90A1"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rPr>
          <w:i/>
          <w:iCs/>
        </w:rPr>
      </w:pPr>
      <w:r w:rsidRPr="00B831E7">
        <w:rPr>
          <w:i/>
          <w:iCs/>
        </w:rPr>
        <w:t xml:space="preserve">Expresses its appreciation </w:t>
      </w:r>
      <w:r w:rsidRPr="00B831E7">
        <w:t xml:space="preserve">to Canada for agreeing to serve as a lead country for the activities identified in paragraph 4 of the present </w:t>
      </w:r>
      <w:proofErr w:type="gramStart"/>
      <w:r w:rsidRPr="00B831E7">
        <w:t>decision;</w:t>
      </w:r>
      <w:proofErr w:type="gramEnd"/>
    </w:p>
    <w:p w14:paraId="75E84049"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rPr>
          <w:i/>
          <w:iCs/>
        </w:rPr>
      </w:pPr>
      <w:r w:rsidRPr="00B831E7">
        <w:rPr>
          <w:bCs/>
          <w:i/>
        </w:rPr>
        <w:t>Requests</w:t>
      </w:r>
      <w:r w:rsidRPr="00B831E7">
        <w:rPr>
          <w:bCs/>
          <w:iCs/>
        </w:rPr>
        <w:t xml:space="preserve"> the small intersessional </w:t>
      </w:r>
      <w:r w:rsidRPr="00B831E7">
        <w:t>working</w:t>
      </w:r>
      <w:r w:rsidRPr="00B831E7">
        <w:rPr>
          <w:bCs/>
          <w:iCs/>
        </w:rPr>
        <w:t xml:space="preserve"> group, pursuant to paragraph 4 of the present decision, to:</w:t>
      </w:r>
    </w:p>
    <w:p w14:paraId="69F71B84" w14:textId="77777777" w:rsidR="002F3AE4" w:rsidRPr="00B831E7" w:rsidRDefault="002F3AE4" w:rsidP="002F3AE4">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lastRenderedPageBreak/>
        <w:t>Develop findings and recommendations to improve, as appropriate, the strategic framework for the period 2012–</w:t>
      </w:r>
      <w:proofErr w:type="gramStart"/>
      <w:r w:rsidRPr="00B831E7">
        <w:t>2021;</w:t>
      </w:r>
      <w:proofErr w:type="gramEnd"/>
      <w:r w:rsidRPr="00B831E7">
        <w:t xml:space="preserve"> </w:t>
      </w:r>
    </w:p>
    <w:p w14:paraId="47E77F7A" w14:textId="77777777" w:rsidR="002F3AE4" w:rsidRPr="00B831E7" w:rsidRDefault="002F3AE4" w:rsidP="002F3AE4">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t>Present a draft of its findings and recommendations for consideration by the Open</w:t>
      </w:r>
      <w:r w:rsidRPr="00B831E7">
        <w:noBreakHyphen/>
        <w:t xml:space="preserve">ended Working Group at its thirteenth </w:t>
      </w:r>
      <w:proofErr w:type="gramStart"/>
      <w:r w:rsidRPr="00B831E7">
        <w:t>meeting;</w:t>
      </w:r>
      <w:proofErr w:type="gramEnd"/>
      <w:r w:rsidRPr="00B831E7">
        <w:t xml:space="preserve"> </w:t>
      </w:r>
    </w:p>
    <w:p w14:paraId="17125413" w14:textId="77777777" w:rsidR="002F3AE4" w:rsidRPr="00B831E7" w:rsidRDefault="002F3AE4" w:rsidP="002F3AE4">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t xml:space="preserve">Present recommendations to the Conference of the Parties at its sixteenth meeting, taking into account the outcome of the thirteenth meeting of the Open-ended Working </w:t>
      </w:r>
      <w:proofErr w:type="gramStart"/>
      <w:r w:rsidRPr="00B831E7">
        <w:t>Group;</w:t>
      </w:r>
      <w:proofErr w:type="gramEnd"/>
    </w:p>
    <w:p w14:paraId="35300DD5" w14:textId="77777777" w:rsidR="002F3AE4" w:rsidRPr="00B831E7" w:rsidRDefault="002F3AE4" w:rsidP="002F3AE4">
      <w:pPr>
        <w:pStyle w:val="CH2"/>
        <w:ind w:firstLine="0"/>
        <w:jc w:val="center"/>
        <w:rPr>
          <w:lang w:eastAsia="en-CA"/>
        </w:rPr>
      </w:pPr>
      <w:r w:rsidRPr="00B831E7">
        <w:rPr>
          <w:lang w:eastAsia="en-CA"/>
        </w:rPr>
        <w:t>II</w:t>
      </w:r>
    </w:p>
    <w:p w14:paraId="0F8F6F4F" w14:textId="77777777" w:rsidR="002F3AE4" w:rsidRPr="00B831E7" w:rsidRDefault="002F3AE4" w:rsidP="002F3AE4">
      <w:pPr>
        <w:pStyle w:val="CH2"/>
        <w:spacing w:before="80"/>
        <w:ind w:firstLine="0"/>
        <w:jc w:val="center"/>
      </w:pPr>
      <w:r w:rsidRPr="00B831E7">
        <w:t>Work to improve the functioning of the prior informed consent procedure</w:t>
      </w:r>
    </w:p>
    <w:p w14:paraId="0CADF5C1"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pPr>
      <w:r w:rsidRPr="00B831E7">
        <w:rPr>
          <w:i/>
          <w:iCs/>
        </w:rPr>
        <w:t>Recognizes</w:t>
      </w:r>
      <w:r w:rsidRPr="00B831E7">
        <w:t xml:space="preserve"> that the prior informed consent procedure has been successfully used by some Parties to the Basel Convention since its entry into </w:t>
      </w:r>
      <w:proofErr w:type="gramStart"/>
      <w:r w:rsidRPr="00B831E7">
        <w:t>force;</w:t>
      </w:r>
      <w:proofErr w:type="gramEnd"/>
    </w:p>
    <w:p w14:paraId="08B9AE9B"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pPr>
      <w:r w:rsidRPr="00B831E7">
        <w:rPr>
          <w:i/>
          <w:iCs/>
        </w:rPr>
        <w:t>Notes</w:t>
      </w:r>
      <w:r w:rsidRPr="00B831E7">
        <w:t xml:space="preserve"> that the Parties having used the prior informed consent procedure may, over time, have developed best practices for its use that could benefit other Parties in their implementation of the </w:t>
      </w:r>
      <w:proofErr w:type="gramStart"/>
      <w:r w:rsidRPr="00B831E7">
        <w:t>procedure;</w:t>
      </w:r>
      <w:proofErr w:type="gramEnd"/>
    </w:p>
    <w:p w14:paraId="566C1A58"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pPr>
      <w:r w:rsidRPr="00B831E7">
        <w:rPr>
          <w:i/>
          <w:iCs/>
          <w:lang w:eastAsia="fr-FR"/>
        </w:rPr>
        <w:t>Notes with concern,</w:t>
      </w:r>
      <w:r w:rsidRPr="00B831E7">
        <w:rPr>
          <w:i/>
          <w:iCs/>
        </w:rPr>
        <w:t xml:space="preserve"> </w:t>
      </w:r>
      <w:r w:rsidRPr="00B831E7">
        <w:t>however,</w:t>
      </w:r>
      <w:r w:rsidRPr="00B831E7">
        <w:rPr>
          <w:iCs/>
          <w:lang w:eastAsia="fr-FR"/>
        </w:rPr>
        <w:t xml:space="preserve"> that challenges in the implementation of the </w:t>
      </w:r>
      <w:r w:rsidRPr="00B831E7">
        <w:t>prior informed consent</w:t>
      </w:r>
      <w:r w:rsidRPr="00B831E7">
        <w:rPr>
          <w:iCs/>
          <w:lang w:eastAsia="fr-FR"/>
        </w:rPr>
        <w:t xml:space="preserve"> procedure increasingly hinder the transboundary movement of hazardous and other wastes and their </w:t>
      </w:r>
      <w:r w:rsidRPr="00B831E7">
        <w:t xml:space="preserve">environmentally sound management, for exporting, transit and importing Parties, especially for island countries and developing </w:t>
      </w:r>
      <w:proofErr w:type="gramStart"/>
      <w:r w:rsidRPr="00B831E7">
        <w:t>countries;</w:t>
      </w:r>
      <w:proofErr w:type="gramEnd"/>
      <w:r w:rsidRPr="00B831E7">
        <w:t xml:space="preserve"> </w:t>
      </w:r>
    </w:p>
    <w:p w14:paraId="0C3B77FD"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rPr>
          <w:i/>
          <w:iCs/>
        </w:rPr>
      </w:pPr>
      <w:r w:rsidRPr="00B831E7">
        <w:rPr>
          <w:i/>
          <w:iCs/>
        </w:rPr>
        <w:t xml:space="preserve">Invites </w:t>
      </w:r>
      <w:r w:rsidRPr="00B831E7">
        <w:t>Parties and observers to submit to the Secretariat, by 30 November 2022, information on challenges in the implementation of the prior informed consent procedure and on best practices, possible approaches, initiatives and views to improve the functioning of the procedure, recognizing that developing countries face increasing challenges in implementation of the prior informed consent procedure and that they need further financial and technical assistance and capacity</w:t>
      </w:r>
      <w:r w:rsidRPr="00B831E7">
        <w:noBreakHyphen/>
        <w:t>building to address those challenges;</w:t>
      </w:r>
      <w:r w:rsidRPr="00B831E7">
        <w:rPr>
          <w:vertAlign w:val="superscript"/>
        </w:rPr>
        <w:footnoteReference w:id="4"/>
      </w:r>
    </w:p>
    <w:p w14:paraId="6076EC77"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pPr>
      <w:r w:rsidRPr="00B831E7">
        <w:rPr>
          <w:i/>
          <w:iCs/>
        </w:rPr>
        <w:t xml:space="preserve">Requests </w:t>
      </w:r>
      <w:r w:rsidRPr="00B831E7">
        <w:t xml:space="preserve">the Secretariat to make available the information received pursuant to paragraph 12 of the present decision on the website of the Convention and to prepare a compilation and synthesis of the information received, subject to the availability of resources, for consideration by the Open-ended Working Group at its thirteenth </w:t>
      </w:r>
      <w:proofErr w:type="gramStart"/>
      <w:r w:rsidRPr="00B831E7">
        <w:t>meeting;</w:t>
      </w:r>
      <w:proofErr w:type="gramEnd"/>
    </w:p>
    <w:p w14:paraId="4D5A7CFA" w14:textId="77777777" w:rsidR="002F3AE4" w:rsidRPr="00B831E7" w:rsidRDefault="002F3AE4" w:rsidP="002F3AE4">
      <w:pPr>
        <w:pStyle w:val="Normal-pool"/>
        <w:numPr>
          <w:ilvl w:val="0"/>
          <w:numId w:val="1"/>
        </w:numPr>
        <w:tabs>
          <w:tab w:val="clear" w:pos="2381"/>
          <w:tab w:val="clear" w:pos="2948"/>
          <w:tab w:val="clear" w:pos="3515"/>
          <w:tab w:val="clear" w:pos="4082"/>
        </w:tabs>
        <w:spacing w:after="120"/>
        <w:ind w:left="1247" w:firstLine="624"/>
      </w:pPr>
      <w:r w:rsidRPr="00B831E7">
        <w:rPr>
          <w:i/>
          <w:iCs/>
        </w:rPr>
        <w:t xml:space="preserve">Requests </w:t>
      </w:r>
      <w:r w:rsidRPr="00B831E7">
        <w:t xml:space="preserve">the Open-ended Working Group at its thirteenth meeting, </w:t>
      </w:r>
      <w:proofErr w:type="gramStart"/>
      <w:r w:rsidRPr="00B831E7">
        <w:t>on the basis of</w:t>
      </w:r>
      <w:proofErr w:type="gramEnd"/>
      <w:r w:rsidRPr="00B831E7">
        <w:t xml:space="preserve"> its consideration of the compilation and synthesis of information referred to in paragraph 13 of the present decision, to develop draft recommendations for consideration by the Conference of the Parties at its sixteenth meeting.</w:t>
      </w:r>
    </w:p>
    <w:p w14:paraId="034225D5" w14:textId="57EAF4F2" w:rsidR="00F935A6" w:rsidRPr="002F3AE4" w:rsidRDefault="00F935A6" w:rsidP="002F3AE4">
      <w:pPr>
        <w:spacing w:after="120"/>
        <w:rPr>
          <w:rFonts w:eastAsia="Times New Roman"/>
          <w:lang w:val="en-GB"/>
        </w:rPr>
      </w:pPr>
    </w:p>
    <w:sectPr w:rsidR="00F935A6" w:rsidRPr="002F3AE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BDBE8" w14:textId="77777777" w:rsidR="009900F1" w:rsidRDefault="009900F1" w:rsidP="002F3AE4">
      <w:r>
        <w:separator/>
      </w:r>
    </w:p>
  </w:endnote>
  <w:endnote w:type="continuationSeparator" w:id="0">
    <w:p w14:paraId="00A4E7CA" w14:textId="77777777" w:rsidR="009900F1" w:rsidRDefault="009900F1" w:rsidP="002F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D47C2" w14:textId="77777777" w:rsidR="009900F1" w:rsidRDefault="009900F1" w:rsidP="002F3AE4">
      <w:r>
        <w:separator/>
      </w:r>
    </w:p>
  </w:footnote>
  <w:footnote w:type="continuationSeparator" w:id="0">
    <w:p w14:paraId="7B8C4087" w14:textId="77777777" w:rsidR="009900F1" w:rsidRDefault="009900F1" w:rsidP="002F3AE4">
      <w:r>
        <w:continuationSeparator/>
      </w:r>
    </w:p>
  </w:footnote>
  <w:footnote w:id="1">
    <w:p w14:paraId="0309C3E1" w14:textId="77777777" w:rsidR="002F3AE4" w:rsidRPr="000629DC" w:rsidRDefault="002F3AE4" w:rsidP="002F3AE4">
      <w:pPr>
        <w:pStyle w:val="Footnote-Text"/>
        <w:rPr>
          <w:szCs w:val="18"/>
        </w:rPr>
      </w:pPr>
      <w:r w:rsidRPr="000629DC">
        <w:rPr>
          <w:szCs w:val="18"/>
          <w:vertAlign w:val="superscript"/>
        </w:rPr>
        <w:footnoteRef/>
      </w:r>
      <w:r w:rsidRPr="000629DC">
        <w:rPr>
          <w:szCs w:val="18"/>
        </w:rPr>
        <w:t xml:space="preserve"> UNEP/CHW.15/INF/5, annex, and UNEP/CHW.15/3/Add.1, annex. </w:t>
      </w:r>
    </w:p>
  </w:footnote>
  <w:footnote w:id="2">
    <w:p w14:paraId="28AC436A" w14:textId="77777777" w:rsidR="002F3AE4" w:rsidRPr="000629DC" w:rsidRDefault="002F3AE4" w:rsidP="002F3AE4">
      <w:pPr>
        <w:pStyle w:val="Footnote-Text"/>
        <w:rPr>
          <w:szCs w:val="18"/>
        </w:rPr>
      </w:pPr>
      <w:r w:rsidRPr="000629DC">
        <w:rPr>
          <w:szCs w:val="18"/>
          <w:vertAlign w:val="superscript"/>
        </w:rPr>
        <w:footnoteRef/>
      </w:r>
      <w:r w:rsidRPr="000629DC">
        <w:rPr>
          <w:szCs w:val="18"/>
        </w:rPr>
        <w:t xml:space="preserve"> </w:t>
      </w:r>
      <w:bookmarkStart w:id="1" w:name="_Hlk106787034"/>
      <w:r w:rsidRPr="000629DC">
        <w:rPr>
          <w:szCs w:val="18"/>
        </w:rPr>
        <w:t>UNEP/CHW.15/INF/5, annex</w:t>
      </w:r>
      <w:bookmarkEnd w:id="1"/>
      <w:r w:rsidRPr="000629DC">
        <w:rPr>
          <w:szCs w:val="18"/>
        </w:rPr>
        <w:t xml:space="preserve">. </w:t>
      </w:r>
    </w:p>
  </w:footnote>
  <w:footnote w:id="3">
    <w:p w14:paraId="73A30795" w14:textId="77777777" w:rsidR="002F3AE4" w:rsidRPr="000629DC" w:rsidRDefault="002F3AE4" w:rsidP="002F3AE4">
      <w:pPr>
        <w:pStyle w:val="Footnote-Text"/>
        <w:rPr>
          <w:szCs w:val="18"/>
        </w:rPr>
      </w:pPr>
      <w:r w:rsidRPr="000629DC">
        <w:rPr>
          <w:szCs w:val="18"/>
          <w:vertAlign w:val="superscript"/>
        </w:rPr>
        <w:footnoteRef/>
      </w:r>
      <w:r w:rsidRPr="000629DC">
        <w:rPr>
          <w:szCs w:val="18"/>
        </w:rPr>
        <w:t xml:space="preserve"> For example, the reports of meetings of the small intersessional working group and submissions from Parties, which are available at </w:t>
      </w:r>
      <w:hyperlink r:id="rId1" w:history="1">
        <w:r w:rsidRPr="000629DC">
          <w:rPr>
            <w:rStyle w:val="Hyperlink"/>
            <w:szCs w:val="18"/>
          </w:rPr>
          <w:t>http://www.basel.int/Implementation/StrategicFramework/Overview/tabid/3807/Default.aspx</w:t>
        </w:r>
      </w:hyperlink>
      <w:r w:rsidRPr="000629DC">
        <w:rPr>
          <w:szCs w:val="18"/>
        </w:rPr>
        <w:t>.</w:t>
      </w:r>
      <w:r w:rsidRPr="000629DC" w:rsidDel="005B26C8">
        <w:rPr>
          <w:szCs w:val="18"/>
        </w:rPr>
        <w:t xml:space="preserve"> </w:t>
      </w:r>
    </w:p>
  </w:footnote>
  <w:footnote w:id="4">
    <w:p w14:paraId="5066DA4F" w14:textId="77777777" w:rsidR="002F3AE4" w:rsidRPr="000629DC" w:rsidRDefault="002F3AE4" w:rsidP="002F3AE4">
      <w:pPr>
        <w:pStyle w:val="Footnote-Text"/>
        <w:rPr>
          <w:szCs w:val="18"/>
        </w:rPr>
      </w:pPr>
      <w:r w:rsidRPr="000629DC">
        <w:rPr>
          <w:rStyle w:val="FootnoteReference"/>
        </w:rPr>
        <w:footnoteRef/>
      </w:r>
      <w:r w:rsidRPr="000629DC">
        <w:rPr>
          <w:szCs w:val="18"/>
        </w:rPr>
        <w:t xml:space="preserve"> http://www.brsmeas.org/Implementation/TechnicalAssistance/NeedsAssessment/tabid/4898/language/en-US/Default.aspx.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9263480">
    <w:abstractNumId w:val="0"/>
  </w:num>
  <w:num w:numId="2" w16cid:durableId="2025814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AE4"/>
    <w:rsid w:val="002F3AE4"/>
    <w:rsid w:val="00836B73"/>
    <w:rsid w:val="009900F1"/>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C23AF"/>
  <w15:chartTrackingRefBased/>
  <w15:docId w15:val="{C2319BD4-75E5-4A3A-9F52-E4C572CC8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F3AE4"/>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CH2"/>
    <w:qFormat/>
    <w:rsid w:val="002F3AE4"/>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qFormat/>
    <w:rsid w:val="002F3AE4"/>
    <w:pPr>
      <w:keepNext/>
      <w:keepLines/>
      <w:tabs>
        <w:tab w:val="clear" w:pos="624"/>
        <w:tab w:val="right" w:pos="851"/>
      </w:tabs>
      <w:suppressAutoHyphens/>
      <w:spacing w:before="240" w:after="120"/>
      <w:ind w:left="1247" w:right="284" w:hanging="1247"/>
    </w:pPr>
    <w:rPr>
      <w:b/>
      <w:sz w:val="24"/>
      <w:szCs w:val="24"/>
    </w:rPr>
  </w:style>
  <w:style w:type="paragraph" w:customStyle="1" w:styleId="Normal-pool">
    <w:name w:val="Normal-pool"/>
    <w:link w:val="Normal-poolChar"/>
    <w:qFormat/>
    <w:rsid w:val="002F3AE4"/>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styleId="Hyperlink">
    <w:name w:val="Hyperlink"/>
    <w:uiPriority w:val="99"/>
    <w:rsid w:val="002F3AE4"/>
    <w:rPr>
      <w:rFonts w:ascii="Times New Roman" w:hAnsi="Times New Roman"/>
      <w:color w:val="0000FF"/>
      <w:sz w:val="20"/>
      <w:szCs w:val="20"/>
      <w:u w:val="single"/>
      <w:lang w:val="en-US"/>
    </w:rPr>
  </w:style>
  <w:style w:type="paragraph" w:customStyle="1" w:styleId="Footnote-Text">
    <w:name w:val="Footnote-Text"/>
    <w:basedOn w:val="Normal-pool"/>
    <w:rsid w:val="002F3AE4"/>
    <w:pPr>
      <w:spacing w:before="20" w:after="40"/>
      <w:ind w:left="1247"/>
    </w:pPr>
    <w:rPr>
      <w:sz w:val="18"/>
    </w:rPr>
  </w:style>
  <w:style w:type="character" w:customStyle="1" w:styleId="Normal-poolChar">
    <w:name w:val="Normal-pool Char"/>
    <w:link w:val="Normal-pool"/>
    <w:locked/>
    <w:rsid w:val="002F3AE4"/>
    <w:rPr>
      <w:rFonts w:ascii="Times New Roman" w:eastAsia="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2F3AE4"/>
    <w:rPr>
      <w:szCs w:val="18"/>
      <w:vertAlign w:val="superscript"/>
    </w:rPr>
  </w:style>
  <w:style w:type="character" w:customStyle="1" w:styleId="CH2Char">
    <w:name w:val="CH2 Char"/>
    <w:link w:val="CH2"/>
    <w:rsid w:val="002F3AE4"/>
    <w:rPr>
      <w:rFonts w:ascii="Times New Roman" w:eastAsia="Times New Roman" w:hAnsi="Times New Roman" w:cs="Times New Roman"/>
      <w:b/>
      <w:sz w:val="24"/>
      <w:szCs w:val="24"/>
      <w:lang w:val="en-GB"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F3AE4"/>
    <w:pPr>
      <w:spacing w:before="120" w:after="160" w:line="240" w:lineRule="exact"/>
    </w:pPr>
    <w:rPr>
      <w:rFonts w:asciiTheme="minorHAnsi" w:eastAsiaTheme="minorEastAsia" w:hAnsiTheme="minorHAnsi" w:cstheme="minorBidi"/>
      <w:sz w:val="22"/>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Implementation/StrategicFramework/Overview/tabid/3807/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819</Words>
  <Characters>4674</Characters>
  <Application>Microsoft Office Word</Application>
  <DocSecurity>0</DocSecurity>
  <Lines>38</Lines>
  <Paragraphs>10</Paragraphs>
  <ScaleCrop>false</ScaleCrop>
  <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2023-04-24T12:53:00Z</dcterms:created>
  <dcterms:modified xsi:type="dcterms:W3CDTF">2023-04-24T12:54:00Z</dcterms:modified>
</cp:coreProperties>
</file>