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3D74B" w14:textId="77777777" w:rsidR="002B66BF" w:rsidRPr="003A2CB9" w:rsidRDefault="002B66BF" w:rsidP="002B66BF">
      <w:pPr>
        <w:suppressAutoHyphens/>
        <w:ind w:left="1247"/>
        <w:rPr>
          <w:rFonts w:eastAsia="Calibri"/>
          <w:b/>
          <w:sz w:val="28"/>
          <w:szCs w:val="28"/>
        </w:rPr>
      </w:pPr>
      <w:r w:rsidRPr="003A2CB9">
        <w:rPr>
          <w:rFonts w:eastAsia="Calibri"/>
          <w:b/>
          <w:sz w:val="28"/>
          <w:szCs w:val="28"/>
        </w:rPr>
        <w:tab/>
      </w:r>
      <w:r w:rsidRPr="003A2CB9">
        <w:rPr>
          <w:rFonts w:eastAsia="Calibri"/>
          <w:b/>
          <w:bCs/>
          <w:sz w:val="28"/>
          <w:szCs w:val="28"/>
        </w:rPr>
        <w:t>БК-15/3: Стратегические рамки</w:t>
      </w:r>
    </w:p>
    <w:p w14:paraId="17073FBA" w14:textId="77777777" w:rsidR="002B66BF" w:rsidRPr="003A2CB9" w:rsidRDefault="002B66BF" w:rsidP="002B66BF">
      <w:pPr>
        <w:ind w:left="1247" w:firstLine="624"/>
        <w:rPr>
          <w:rFonts w:eastAsia="Calibri"/>
          <w:i/>
          <w:iCs/>
        </w:rPr>
      </w:pPr>
      <w:r w:rsidRPr="003A2CB9">
        <w:rPr>
          <w:rFonts w:eastAsia="Calibri"/>
          <w:i/>
          <w:iCs/>
        </w:rPr>
        <w:t>Конференция Сторон,</w:t>
      </w:r>
    </w:p>
    <w:p w14:paraId="0C247021" w14:textId="77777777" w:rsidR="002B66BF" w:rsidRPr="003A2CB9" w:rsidRDefault="002B66BF" w:rsidP="002B66BF">
      <w:pPr>
        <w:suppressAutoHyphens/>
        <w:ind w:left="1247"/>
        <w:jc w:val="center"/>
        <w:rPr>
          <w:rFonts w:eastAsia="Calibri"/>
          <w:b/>
          <w:sz w:val="24"/>
          <w:szCs w:val="24"/>
        </w:rPr>
      </w:pPr>
      <w:r w:rsidRPr="003A2CB9">
        <w:rPr>
          <w:rFonts w:eastAsia="Calibri"/>
          <w:b/>
          <w:bCs/>
          <w:sz w:val="24"/>
          <w:szCs w:val="24"/>
        </w:rPr>
        <w:t>I</w:t>
      </w:r>
    </w:p>
    <w:p w14:paraId="6CEE663F" w14:textId="77777777" w:rsidR="002B66BF" w:rsidRPr="003A2CB9" w:rsidRDefault="002B66BF" w:rsidP="002B66BF">
      <w:pPr>
        <w:suppressAutoHyphens/>
        <w:ind w:left="1247"/>
        <w:jc w:val="center"/>
        <w:rPr>
          <w:rFonts w:eastAsia="Calibri"/>
          <w:b/>
          <w:i/>
          <w:iCs/>
          <w:sz w:val="24"/>
          <w:szCs w:val="24"/>
        </w:rPr>
      </w:pPr>
      <w:r w:rsidRPr="003A2CB9">
        <w:rPr>
          <w:rFonts w:eastAsia="Calibri"/>
          <w:b/>
          <w:sz w:val="24"/>
          <w:szCs w:val="24"/>
        </w:rPr>
        <w:t>Стратегические рамки</w:t>
      </w:r>
    </w:p>
    <w:p w14:paraId="10D56AF0" w14:textId="77777777" w:rsidR="002B66BF" w:rsidRPr="003A2CB9" w:rsidRDefault="002B66BF" w:rsidP="002B66BF">
      <w:pPr>
        <w:ind w:left="1247" w:firstLine="624"/>
        <w:rPr>
          <w:rFonts w:eastAsia="Calibri"/>
          <w:i/>
        </w:rPr>
      </w:pPr>
      <w:r w:rsidRPr="003A2CB9">
        <w:rPr>
          <w:rFonts w:eastAsia="Calibri"/>
          <w:i/>
          <w:iCs/>
        </w:rPr>
        <w:t xml:space="preserve">памятуя </w:t>
      </w:r>
      <w:r w:rsidRPr="003A2CB9">
        <w:rPr>
          <w:rFonts w:eastAsia="Calibri"/>
        </w:rPr>
        <w:t>о том, что рекомендации, содержащиеся в докладе о заключительной оценке стратегических рамок на период 2012-2021 годов для осуществления Базельской конвенции о контроле за трансграничной перевозкой опасных отходов и их удалением</w:t>
      </w:r>
      <w:r w:rsidRPr="003A2CB9">
        <w:rPr>
          <w:rFonts w:eastAsia="Calibri"/>
          <w:iCs/>
          <w:szCs w:val="18"/>
          <w:vertAlign w:val="superscript"/>
        </w:rPr>
        <w:footnoteReference w:id="1"/>
      </w:r>
      <w:r w:rsidRPr="003A2CB9">
        <w:rPr>
          <w:rFonts w:eastAsia="Calibri"/>
        </w:rPr>
        <w:t>, которые касаются конкретных пунктов повестки дня пятнадцатого совещания Конференции Сторон, учитываются в соответствующих решениях, принятых Конференцией Сторон на этом совещании, и отражены в программе работы и бюджете Базельской конвенции на двухгодичный период 2022-2023 годов,</w:t>
      </w:r>
    </w:p>
    <w:p w14:paraId="667429F7" w14:textId="77777777" w:rsidR="002B66BF" w:rsidRPr="003A2CB9" w:rsidRDefault="002B66BF" w:rsidP="002B66BF">
      <w:pPr>
        <w:numPr>
          <w:ilvl w:val="0"/>
          <w:numId w:val="1"/>
        </w:numPr>
        <w:ind w:left="1247" w:firstLine="624"/>
        <w:rPr>
          <w:rFonts w:eastAsia="Calibri"/>
          <w:i/>
        </w:rPr>
      </w:pPr>
      <w:bookmarkStart w:id="0" w:name="_Hlk106189483"/>
      <w:r w:rsidRPr="003A2CB9">
        <w:rPr>
          <w:rFonts w:eastAsia="Calibri"/>
          <w:i/>
          <w:iCs/>
        </w:rPr>
        <w:t xml:space="preserve">приветствует </w:t>
      </w:r>
      <w:r w:rsidRPr="003A2CB9">
        <w:rPr>
          <w:rFonts w:eastAsia="Calibri"/>
        </w:rPr>
        <w:t>доклад о заключительной оценке стратегических рамок для осуществления Базельской конвенции о контроле за трансграничной перевозкой опасных отходов и их удалением на период 2012-2021 годов</w:t>
      </w:r>
      <w:r w:rsidRPr="003A2CB9">
        <w:rPr>
          <w:rFonts w:eastAsia="Calibri"/>
          <w:iCs/>
          <w:szCs w:val="18"/>
          <w:vertAlign w:val="superscript"/>
        </w:rPr>
        <w:footnoteReference w:id="2"/>
      </w:r>
      <w:r w:rsidRPr="003A2CB9">
        <w:rPr>
          <w:rFonts w:eastAsia="Calibri"/>
        </w:rPr>
        <w:t>;</w:t>
      </w:r>
    </w:p>
    <w:p w14:paraId="117ACC17" w14:textId="77777777" w:rsidR="002B66BF" w:rsidRPr="003A2CB9" w:rsidRDefault="002B66BF" w:rsidP="002B66BF">
      <w:pPr>
        <w:numPr>
          <w:ilvl w:val="0"/>
          <w:numId w:val="1"/>
        </w:numPr>
        <w:ind w:left="1247" w:firstLine="624"/>
        <w:rPr>
          <w:rFonts w:eastAsia="Calibri"/>
        </w:rPr>
      </w:pPr>
      <w:r w:rsidRPr="003A2CB9">
        <w:rPr>
          <w:rFonts w:eastAsia="Calibri"/>
          <w:i/>
          <w:iCs/>
        </w:rPr>
        <w:t>отмечает</w:t>
      </w:r>
      <w:r w:rsidRPr="003A2CB9">
        <w:rPr>
          <w:rFonts w:eastAsia="Calibri"/>
        </w:rPr>
        <w:t xml:space="preserve"> дефицит данных и обусловленные этим недостатки доклада, о котором говорится в пункте 1 настоящего решения, связанные, в частности, с малочисленностью представленных Сторонами заполненных анкет о базовом уровне и заключительной оценке и малочисленностью представленных секретариату ежегодных национальных докладов Сторон, а также другими препятствиями, с которыми секретариат и небольшая межсессионная рабочая группа, учрежденная во исполнение пункта 6 решения БК</w:t>
      </w:r>
      <w:r>
        <w:rPr>
          <w:rFonts w:eastAsia="Calibri"/>
        </w:rPr>
        <w:noBreakHyphen/>
      </w:r>
      <w:r w:rsidRPr="003A2CB9">
        <w:rPr>
          <w:rFonts w:eastAsia="Calibri"/>
        </w:rPr>
        <w:t>13/1, столкнулись при подготовке заключительной оценки, включая отсутствие согласованности между целями, задачами и показателями стратегических рамок;</w:t>
      </w:r>
    </w:p>
    <w:p w14:paraId="2EF43C4A" w14:textId="77777777" w:rsidR="002B66BF" w:rsidRPr="003A2CB9" w:rsidRDefault="002B66BF" w:rsidP="002B66BF">
      <w:pPr>
        <w:numPr>
          <w:ilvl w:val="0"/>
          <w:numId w:val="1"/>
        </w:numPr>
        <w:ind w:left="1247" w:firstLine="624"/>
        <w:rPr>
          <w:rFonts w:eastAsia="Calibri"/>
        </w:rPr>
      </w:pPr>
      <w:r w:rsidRPr="003A2CB9">
        <w:rPr>
          <w:rFonts w:eastAsia="Calibri"/>
          <w:i/>
          <w:iCs/>
        </w:rPr>
        <w:t>приветствует</w:t>
      </w:r>
      <w:r w:rsidRPr="003A2CB9">
        <w:rPr>
          <w:rFonts w:eastAsia="Calibri"/>
        </w:rPr>
        <w:t xml:space="preserve"> усилия секретариата и небольшой межсессионной рабочей группы по смягчению последствий как нехватки данных, так и того обстоятельства, что во время формулирования целей, задач и показателей стратегических рамок источники информации не были определены посредством выявления и использования дополнительных источников информации, с тем чтобы получить более полное представление о прогрессе, достигнутом в отношении стратегических рамок; </w:t>
      </w:r>
    </w:p>
    <w:p w14:paraId="6AB9A39E" w14:textId="77777777" w:rsidR="002B66BF" w:rsidRPr="003A2CB9" w:rsidRDefault="002B66BF" w:rsidP="002B66BF">
      <w:pPr>
        <w:numPr>
          <w:ilvl w:val="0"/>
          <w:numId w:val="1"/>
        </w:numPr>
        <w:ind w:left="1247" w:firstLine="624"/>
        <w:rPr>
          <w:rFonts w:eastAsia="Calibri"/>
        </w:rPr>
      </w:pPr>
      <w:bookmarkStart w:id="2" w:name="_Hlk106786926"/>
      <w:bookmarkEnd w:id="0"/>
      <w:r w:rsidRPr="003A2CB9">
        <w:rPr>
          <w:rFonts w:eastAsia="Calibri"/>
          <w:i/>
          <w:iCs/>
        </w:rPr>
        <w:t>постановляет</w:t>
      </w:r>
      <w:r w:rsidRPr="003A2CB9">
        <w:rPr>
          <w:rFonts w:eastAsia="Calibri"/>
        </w:rPr>
        <w:t xml:space="preserve"> при необходимости совершенствовать стратегические рамки на период 2012-2021 годов, принимая во внимание основные выводы, заключения и рекомендации, содержащиеся в докладе о заключительной оценке стратегических рамок и отраженные в решениях, принятых на ее пятнадцатом совещании, а также опыт, полученный в ходе подготовки доклада</w:t>
      </w:r>
      <w:r w:rsidRPr="003A2CB9">
        <w:rPr>
          <w:rFonts w:eastAsia="Calibri"/>
          <w:vertAlign w:val="superscript"/>
        </w:rPr>
        <w:footnoteReference w:id="3"/>
      </w:r>
      <w:r w:rsidRPr="003A2CB9">
        <w:rPr>
          <w:rFonts w:eastAsia="Calibri"/>
        </w:rPr>
        <w:t>, в частности в том, что касается технической помощи, укрепления потенциала, передачи технологий и сотрудничества, в том числе путем активизации и координации действий региональных центров;</w:t>
      </w:r>
      <w:bookmarkStart w:id="3" w:name="_Hlk106786988"/>
      <w:bookmarkEnd w:id="3"/>
    </w:p>
    <w:p w14:paraId="6EC6E233" w14:textId="77777777" w:rsidR="002B66BF" w:rsidRPr="003A2CB9" w:rsidRDefault="002B66BF" w:rsidP="002B66BF">
      <w:pPr>
        <w:numPr>
          <w:ilvl w:val="0"/>
          <w:numId w:val="1"/>
        </w:numPr>
        <w:ind w:left="1247" w:firstLine="624"/>
        <w:rPr>
          <w:rFonts w:eastAsia="Calibri"/>
        </w:rPr>
      </w:pPr>
      <w:bookmarkStart w:id="4" w:name="_Hlk106782587"/>
      <w:bookmarkEnd w:id="2"/>
      <w:r w:rsidRPr="003A2CB9">
        <w:rPr>
          <w:rFonts w:eastAsia="Calibri"/>
          <w:i/>
          <w:iCs/>
        </w:rPr>
        <w:t>постановляет также</w:t>
      </w:r>
      <w:r w:rsidRPr="003A2CB9">
        <w:rPr>
          <w:rFonts w:eastAsia="Calibri"/>
        </w:rPr>
        <w:t xml:space="preserve">, что небольшая межсессионная рабочая группа продолжит свою работу и будет открыта для всех Сторон с учетом представленности пяти региональных групп Организации Объединенных Наций, а также для наблюдателей, включая региональные и координационные центры Базельской конвенции; </w:t>
      </w:r>
    </w:p>
    <w:bookmarkEnd w:id="4"/>
    <w:p w14:paraId="5EE0BDC1" w14:textId="77777777" w:rsidR="002B66BF" w:rsidRPr="003A2CB9" w:rsidRDefault="002B66BF" w:rsidP="002B66BF">
      <w:pPr>
        <w:numPr>
          <w:ilvl w:val="0"/>
          <w:numId w:val="1"/>
        </w:numPr>
        <w:ind w:left="1247" w:firstLine="624"/>
        <w:rPr>
          <w:rFonts w:eastAsia="Calibri"/>
          <w:bCs/>
          <w:iCs/>
          <w:u w:val="single"/>
        </w:rPr>
      </w:pPr>
      <w:r w:rsidRPr="003A2CB9">
        <w:rPr>
          <w:rFonts w:eastAsia="Calibri"/>
          <w:i/>
          <w:iCs/>
        </w:rPr>
        <w:t>постановляет далее</w:t>
      </w:r>
      <w:r w:rsidRPr="003A2CB9">
        <w:rPr>
          <w:rFonts w:eastAsia="Calibri"/>
        </w:rPr>
        <w:t>, что небольшая межсессионная рабочая группа при условии наличия ресурсов проведет по меньшей мере одно очное совещание, а также будет действовать с помощью электронных средств;</w:t>
      </w:r>
    </w:p>
    <w:p w14:paraId="6EDC7F6F" w14:textId="77777777" w:rsidR="002B66BF" w:rsidRPr="003A2CB9" w:rsidRDefault="002B66BF" w:rsidP="002B66BF">
      <w:pPr>
        <w:numPr>
          <w:ilvl w:val="0"/>
          <w:numId w:val="1"/>
        </w:numPr>
        <w:ind w:left="1247" w:firstLine="624"/>
        <w:rPr>
          <w:rFonts w:eastAsia="Calibri"/>
          <w:i/>
          <w:iCs/>
        </w:rPr>
      </w:pPr>
      <w:r w:rsidRPr="003A2CB9">
        <w:rPr>
          <w:rFonts w:eastAsia="Calibri"/>
          <w:i/>
          <w:iCs/>
        </w:rPr>
        <w:lastRenderedPageBreak/>
        <w:t>выражает</w:t>
      </w:r>
      <w:r w:rsidRPr="003A2CB9">
        <w:rPr>
          <w:rFonts w:eastAsia="Calibri"/>
        </w:rPr>
        <w:t xml:space="preserve"> свою признательность Канаде в связи с ее согласием выполнять функции ведущей страны для осуществления мер, о которых говорится в пункте 4 настоящего решения;</w:t>
      </w:r>
    </w:p>
    <w:p w14:paraId="1C11BBDD" w14:textId="77777777" w:rsidR="002B66BF" w:rsidRPr="003A2CB9" w:rsidRDefault="002B66BF" w:rsidP="002B66BF">
      <w:pPr>
        <w:numPr>
          <w:ilvl w:val="0"/>
          <w:numId w:val="1"/>
        </w:numPr>
        <w:ind w:left="1247" w:firstLine="624"/>
        <w:rPr>
          <w:rFonts w:eastAsia="Calibri"/>
          <w:i/>
          <w:iCs/>
        </w:rPr>
      </w:pPr>
      <w:r w:rsidRPr="003A2CB9">
        <w:rPr>
          <w:rFonts w:eastAsia="Calibri"/>
          <w:i/>
          <w:iCs/>
        </w:rPr>
        <w:t>поручает</w:t>
      </w:r>
      <w:r w:rsidRPr="003A2CB9">
        <w:rPr>
          <w:rFonts w:eastAsia="Calibri"/>
        </w:rPr>
        <w:t xml:space="preserve"> небольшой межсессионной рабочей группе во исполнение пункта 4 настоящего решения:</w:t>
      </w:r>
    </w:p>
    <w:p w14:paraId="6F60CE8C" w14:textId="77777777" w:rsidR="002B66BF" w:rsidRPr="003A2CB9" w:rsidRDefault="002B66BF" w:rsidP="002B66BF">
      <w:pPr>
        <w:numPr>
          <w:ilvl w:val="0"/>
          <w:numId w:val="2"/>
        </w:numPr>
        <w:ind w:left="1247" w:firstLine="624"/>
        <w:rPr>
          <w:rFonts w:eastAsia="Calibri"/>
        </w:rPr>
      </w:pPr>
      <w:r w:rsidRPr="003A2CB9">
        <w:rPr>
          <w:rFonts w:eastAsia="Calibri"/>
        </w:rPr>
        <w:t xml:space="preserve">при необходимости сформулировать выводы и рекомендации в отношении совершенствования стратегических рамок на период 2012-2021 годов; </w:t>
      </w:r>
    </w:p>
    <w:p w14:paraId="6FE0B2B7" w14:textId="77777777" w:rsidR="002B66BF" w:rsidRPr="003A2CB9" w:rsidRDefault="002B66BF" w:rsidP="002B66BF">
      <w:pPr>
        <w:numPr>
          <w:ilvl w:val="0"/>
          <w:numId w:val="2"/>
        </w:numPr>
        <w:ind w:left="1247" w:firstLine="624"/>
        <w:rPr>
          <w:rFonts w:eastAsia="Calibri"/>
        </w:rPr>
      </w:pPr>
      <w:r w:rsidRPr="003A2CB9">
        <w:rPr>
          <w:rFonts w:eastAsia="Calibri"/>
        </w:rPr>
        <w:t xml:space="preserve">представить проект этих выводов и рекомендаций для рассмотрения Рабочей группой открытого состава на ее тринадцатом совещании; </w:t>
      </w:r>
    </w:p>
    <w:p w14:paraId="1A34F904" w14:textId="77777777" w:rsidR="002B66BF" w:rsidRPr="003A2CB9" w:rsidRDefault="002B66BF" w:rsidP="002B66BF">
      <w:pPr>
        <w:numPr>
          <w:ilvl w:val="0"/>
          <w:numId w:val="2"/>
        </w:numPr>
        <w:ind w:left="1247" w:firstLine="624"/>
        <w:rPr>
          <w:rFonts w:eastAsia="Calibri"/>
        </w:rPr>
      </w:pPr>
      <w:r w:rsidRPr="003A2CB9">
        <w:rPr>
          <w:rFonts w:eastAsia="Calibri"/>
        </w:rPr>
        <w:t>представить рекомендации Конференции Сторон на ее шестнадцатом совещании, принимая во внимание итоги тринадцатого совещания Рабочей группы открытого состава;</w:t>
      </w:r>
    </w:p>
    <w:p w14:paraId="7D41BC88" w14:textId="77777777" w:rsidR="002B66BF" w:rsidRPr="003A2CB9" w:rsidRDefault="002B66BF" w:rsidP="002B66BF">
      <w:pPr>
        <w:suppressAutoHyphens/>
        <w:ind w:left="1247"/>
        <w:jc w:val="center"/>
        <w:rPr>
          <w:rFonts w:eastAsia="Calibri"/>
          <w:b/>
          <w:sz w:val="24"/>
          <w:szCs w:val="24"/>
        </w:rPr>
      </w:pPr>
      <w:r w:rsidRPr="003A2CB9">
        <w:rPr>
          <w:rFonts w:eastAsia="Calibri"/>
          <w:b/>
          <w:bCs/>
          <w:sz w:val="24"/>
          <w:szCs w:val="24"/>
        </w:rPr>
        <w:t>II</w:t>
      </w:r>
    </w:p>
    <w:p w14:paraId="5DEAA271" w14:textId="77777777" w:rsidR="002B66BF" w:rsidRPr="003A2CB9" w:rsidRDefault="002B66BF" w:rsidP="002B66BF">
      <w:pPr>
        <w:suppressAutoHyphens/>
        <w:ind w:left="1247"/>
        <w:jc w:val="center"/>
        <w:rPr>
          <w:rFonts w:eastAsia="Calibri"/>
          <w:b/>
          <w:sz w:val="24"/>
          <w:szCs w:val="24"/>
        </w:rPr>
      </w:pPr>
      <w:r w:rsidRPr="003A2CB9">
        <w:rPr>
          <w:rFonts w:eastAsia="Calibri"/>
          <w:b/>
          <w:bCs/>
          <w:sz w:val="24"/>
          <w:szCs w:val="24"/>
        </w:rPr>
        <w:t>Работа по совершенствованию функционирования процедуры предварительного обоснованного согласия</w:t>
      </w:r>
    </w:p>
    <w:p w14:paraId="0D66BEC4" w14:textId="77777777" w:rsidR="002B66BF" w:rsidRPr="003A2CB9" w:rsidRDefault="002B66BF" w:rsidP="002B66BF">
      <w:pPr>
        <w:numPr>
          <w:ilvl w:val="0"/>
          <w:numId w:val="1"/>
        </w:numPr>
        <w:ind w:left="1247" w:firstLine="624"/>
        <w:rPr>
          <w:rFonts w:eastAsia="Calibri"/>
        </w:rPr>
      </w:pPr>
      <w:r w:rsidRPr="003A2CB9">
        <w:rPr>
          <w:rFonts w:eastAsia="Calibri"/>
          <w:i/>
          <w:iCs/>
        </w:rPr>
        <w:t>признает</w:t>
      </w:r>
      <w:r w:rsidRPr="003A2CB9">
        <w:rPr>
          <w:rFonts w:eastAsia="Calibri"/>
        </w:rPr>
        <w:t>, что процедура предварительного обоснованного согласия успешно используется рядом Сторон Базельской конвенции с момента ее вступления в силу;</w:t>
      </w:r>
    </w:p>
    <w:p w14:paraId="39B12664" w14:textId="77777777" w:rsidR="002B66BF" w:rsidRPr="003A2CB9" w:rsidRDefault="002B66BF" w:rsidP="002B66BF">
      <w:pPr>
        <w:numPr>
          <w:ilvl w:val="0"/>
          <w:numId w:val="1"/>
        </w:numPr>
        <w:ind w:left="1247" w:firstLine="624"/>
        <w:rPr>
          <w:rFonts w:eastAsia="Calibri"/>
        </w:rPr>
      </w:pPr>
      <w:r w:rsidRPr="003A2CB9">
        <w:rPr>
          <w:rFonts w:eastAsia="Calibri"/>
          <w:i/>
          <w:iCs/>
        </w:rPr>
        <w:t>отмечает</w:t>
      </w:r>
      <w:r w:rsidRPr="003A2CB9">
        <w:rPr>
          <w:rFonts w:eastAsia="Calibri"/>
        </w:rPr>
        <w:t>, что Стороны, использующие процедуру предварительного обоснованного согласия, возможно, постепенно разработали передовые методы ее применения, которые могут принести пользу другим Сторонам при внедрении этой процедуры;</w:t>
      </w:r>
    </w:p>
    <w:p w14:paraId="5C1AA537" w14:textId="77777777" w:rsidR="002B66BF" w:rsidRPr="003A2CB9" w:rsidRDefault="002B66BF" w:rsidP="002B66BF">
      <w:pPr>
        <w:numPr>
          <w:ilvl w:val="0"/>
          <w:numId w:val="1"/>
        </w:numPr>
        <w:ind w:left="1247" w:firstLine="624"/>
        <w:rPr>
          <w:rFonts w:eastAsia="Calibri"/>
        </w:rPr>
      </w:pPr>
      <w:r w:rsidRPr="003A2CB9">
        <w:rPr>
          <w:rFonts w:eastAsia="Calibri"/>
          <w:i/>
          <w:iCs/>
        </w:rPr>
        <w:t>с озабоченностью отмечает</w:t>
      </w:r>
      <w:r w:rsidRPr="003A2CB9">
        <w:rPr>
          <w:rFonts w:eastAsia="Calibri"/>
        </w:rPr>
        <w:t xml:space="preserve">, что в то же время трудности в осуществлении процедуры предварительного обоснованного согласия все больше препятствуют трансграничной перевозке опасных и других отходов и их экологически обоснованному регулированию для Сторон, являющихся странами экспорта, транзита и импорта, в частности для островных и развивающихся стран; </w:t>
      </w:r>
    </w:p>
    <w:p w14:paraId="0541157C" w14:textId="77777777" w:rsidR="002B66BF" w:rsidRPr="003A2CB9" w:rsidRDefault="002B66BF" w:rsidP="002B66BF">
      <w:pPr>
        <w:numPr>
          <w:ilvl w:val="0"/>
          <w:numId w:val="1"/>
        </w:numPr>
        <w:ind w:left="1247" w:firstLine="624"/>
        <w:rPr>
          <w:rFonts w:eastAsia="Calibri"/>
          <w:i/>
          <w:iCs/>
        </w:rPr>
      </w:pPr>
      <w:r w:rsidRPr="003A2CB9">
        <w:rPr>
          <w:rFonts w:eastAsia="Calibri"/>
          <w:i/>
          <w:iCs/>
        </w:rPr>
        <w:t>предлагает</w:t>
      </w:r>
      <w:r w:rsidRPr="003A2CB9">
        <w:rPr>
          <w:rFonts w:eastAsia="Calibri"/>
        </w:rPr>
        <w:t xml:space="preserve"> Сторонам и наблюдателям представить в секретариат не позднее 30 ноября 2022 года информацию о трудностях в осуществлении процедуры предварительного обоснованного согласия и о передовых методах, возможных подходах, инициативах и мнениях в части совершенствования функционирования процедуры, признавая, что развивающиеся страны сталкиваются со все более серьезными трудностями в осуществлении процедуры предварительного обоснованного согласия и что они нуждаются в дальнейшей финансовой и технической помощи и укреплении потенциала для преодоления этих трудностей</w:t>
      </w:r>
      <w:r w:rsidRPr="003A2CB9">
        <w:rPr>
          <w:rFonts w:eastAsia="Calibri"/>
          <w:vertAlign w:val="superscript"/>
        </w:rPr>
        <w:footnoteReference w:id="4"/>
      </w:r>
      <w:r w:rsidRPr="003A2CB9">
        <w:rPr>
          <w:rFonts w:eastAsia="Calibri"/>
        </w:rPr>
        <w:t>;</w:t>
      </w:r>
    </w:p>
    <w:p w14:paraId="2CE1FC1B" w14:textId="77777777" w:rsidR="002B66BF" w:rsidRPr="003A2CB9" w:rsidRDefault="002B66BF" w:rsidP="002B66BF">
      <w:pPr>
        <w:numPr>
          <w:ilvl w:val="0"/>
          <w:numId w:val="1"/>
        </w:numPr>
        <w:ind w:left="1247" w:firstLine="624"/>
        <w:rPr>
          <w:rFonts w:eastAsia="Calibri"/>
        </w:rPr>
      </w:pPr>
      <w:r w:rsidRPr="003A2CB9">
        <w:rPr>
          <w:rFonts w:eastAsia="Calibri"/>
          <w:i/>
          <w:iCs/>
        </w:rPr>
        <w:t>поручает</w:t>
      </w:r>
      <w:r w:rsidRPr="003A2CB9">
        <w:rPr>
          <w:rFonts w:eastAsia="Calibri"/>
        </w:rPr>
        <w:t xml:space="preserve"> секретариату опубликовать на веб-сайте Конвенции информацию, полученную в соответствии с пунктом 12 настоящего решения, и при условии наличия ресурсов подготовить свод полученной информации в обобщенном виде для рассмотрения Рабочей группой открытого состава на ее тринадцатом совещании;</w:t>
      </w:r>
    </w:p>
    <w:p w14:paraId="74916B47" w14:textId="77777777" w:rsidR="002B66BF" w:rsidRPr="003A2CB9" w:rsidRDefault="002B66BF" w:rsidP="002B66BF">
      <w:pPr>
        <w:numPr>
          <w:ilvl w:val="0"/>
          <w:numId w:val="1"/>
        </w:numPr>
        <w:ind w:left="1247" w:firstLine="624"/>
        <w:rPr>
          <w:rFonts w:eastAsia="Calibri"/>
        </w:rPr>
      </w:pPr>
      <w:r w:rsidRPr="003A2CB9">
        <w:rPr>
          <w:rFonts w:eastAsia="Calibri"/>
          <w:i/>
          <w:iCs/>
        </w:rPr>
        <w:t>поручает</w:t>
      </w:r>
      <w:r w:rsidRPr="003A2CB9">
        <w:rPr>
          <w:rFonts w:eastAsia="Calibri"/>
        </w:rPr>
        <w:t xml:space="preserve"> Рабочей группе открытого состава на ее тринадцатом совещании по итогам рассмотрения свода информации в обобщенном виде, о котором говорится в пункте 13 настоящего решения, разработать проект рекомендаций для рассмотрения Конференцией Сторон на ее шестнадцатом совещании.</w:t>
      </w:r>
    </w:p>
    <w:p w14:paraId="72A577FA" w14:textId="0E23EE57" w:rsidR="00F935A6" w:rsidRPr="002B66BF" w:rsidRDefault="00F935A6">
      <w:pPr>
        <w:rPr>
          <w:rFonts w:eastAsia="Calibri"/>
        </w:rPr>
      </w:pPr>
    </w:p>
    <w:sectPr w:rsidR="00F935A6" w:rsidRPr="002B66B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DB7D0" w14:textId="77777777" w:rsidR="006C0403" w:rsidRDefault="006C0403" w:rsidP="002B66BF">
      <w:pPr>
        <w:spacing w:after="0"/>
      </w:pPr>
      <w:r>
        <w:separator/>
      </w:r>
    </w:p>
  </w:endnote>
  <w:endnote w:type="continuationSeparator" w:id="0">
    <w:p w14:paraId="74A67776" w14:textId="77777777" w:rsidR="006C0403" w:rsidRDefault="006C0403"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C5F74" w14:textId="77777777" w:rsidR="006C0403" w:rsidRDefault="006C0403" w:rsidP="002B66BF">
      <w:pPr>
        <w:spacing w:after="0"/>
      </w:pPr>
      <w:r>
        <w:separator/>
      </w:r>
    </w:p>
  </w:footnote>
  <w:footnote w:type="continuationSeparator" w:id="0">
    <w:p w14:paraId="77DA991F" w14:textId="77777777" w:rsidR="006C0403" w:rsidRDefault="006C0403" w:rsidP="002B66BF">
      <w:pPr>
        <w:spacing w:after="0"/>
      </w:pPr>
      <w:r>
        <w:continuationSeparator/>
      </w:r>
    </w:p>
  </w:footnote>
  <w:footnote w:id="1">
    <w:p w14:paraId="28672D95" w14:textId="77777777" w:rsidR="002B66BF" w:rsidRPr="00727233" w:rsidRDefault="002B66BF" w:rsidP="002B66BF">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727233">
        <w:rPr>
          <w:sz w:val="18"/>
          <w:szCs w:val="18"/>
          <w:vertAlign w:val="superscript"/>
        </w:rPr>
        <w:footnoteRef/>
      </w:r>
      <w:r w:rsidRPr="00727233">
        <w:rPr>
          <w:sz w:val="18"/>
          <w:szCs w:val="18"/>
        </w:rPr>
        <w:t xml:space="preserve"> </w:t>
      </w:r>
      <w:r>
        <w:rPr>
          <w:sz w:val="18"/>
          <w:szCs w:val="18"/>
        </w:rPr>
        <w:tab/>
      </w:r>
      <w:r w:rsidRPr="00727233">
        <w:rPr>
          <w:sz w:val="18"/>
          <w:szCs w:val="18"/>
        </w:rPr>
        <w:t xml:space="preserve">UNEP/CHW.15/INF/5, приложение, и UNEP/CHW.15/3/Add.1, приложение. </w:t>
      </w:r>
    </w:p>
  </w:footnote>
  <w:footnote w:id="2">
    <w:p w14:paraId="194C627B" w14:textId="77777777" w:rsidR="002B66BF" w:rsidRPr="00727233" w:rsidRDefault="002B66BF" w:rsidP="002B66BF">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727233">
        <w:rPr>
          <w:sz w:val="18"/>
          <w:szCs w:val="18"/>
          <w:vertAlign w:val="superscript"/>
        </w:rPr>
        <w:footnoteRef/>
      </w:r>
      <w:r w:rsidRPr="00727233">
        <w:rPr>
          <w:sz w:val="18"/>
          <w:szCs w:val="18"/>
        </w:rPr>
        <w:t xml:space="preserve"> </w:t>
      </w:r>
      <w:r>
        <w:rPr>
          <w:sz w:val="18"/>
          <w:szCs w:val="18"/>
        </w:rPr>
        <w:tab/>
      </w:r>
      <w:r w:rsidRPr="00727233">
        <w:rPr>
          <w:sz w:val="18"/>
          <w:szCs w:val="18"/>
        </w:rPr>
        <w:t xml:space="preserve">UNEP/CHW.15/INF/5, </w:t>
      </w:r>
      <w:r w:rsidRPr="00727233">
        <w:rPr>
          <w:sz w:val="18"/>
          <w:szCs w:val="18"/>
        </w:rPr>
        <w:t xml:space="preserve">приложение. </w:t>
      </w:r>
      <w:bookmarkStart w:id="1" w:name="_Hlk106787034"/>
      <w:bookmarkEnd w:id="1"/>
    </w:p>
  </w:footnote>
  <w:footnote w:id="3">
    <w:p w14:paraId="226AC8C0" w14:textId="77777777" w:rsidR="002B66BF" w:rsidRPr="00727233" w:rsidRDefault="002B66BF" w:rsidP="002B66BF">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727233">
        <w:rPr>
          <w:sz w:val="18"/>
          <w:szCs w:val="18"/>
          <w:vertAlign w:val="superscript"/>
        </w:rPr>
        <w:footnoteRef/>
      </w:r>
      <w:r w:rsidRPr="00727233">
        <w:rPr>
          <w:sz w:val="18"/>
          <w:szCs w:val="18"/>
        </w:rPr>
        <w:t xml:space="preserve"> </w:t>
      </w:r>
      <w:r>
        <w:rPr>
          <w:sz w:val="18"/>
          <w:szCs w:val="18"/>
        </w:rPr>
        <w:tab/>
      </w:r>
      <w:r w:rsidRPr="00727233">
        <w:rPr>
          <w:sz w:val="18"/>
          <w:szCs w:val="18"/>
        </w:rPr>
        <w:t xml:space="preserve">К </w:t>
      </w:r>
      <w:r w:rsidRPr="00727233">
        <w:rPr>
          <w:sz w:val="18"/>
          <w:szCs w:val="18"/>
        </w:rPr>
        <w:t xml:space="preserve">ним относятся, например, доклады о работе совещаний небольшой межсессионной рабочей группы и представления Сторон, имеющиеся по адресу: http://www.basel.int/Implementation/StrategicFramework/Overview/tabid/3807/Default.aspx. </w:t>
      </w:r>
    </w:p>
  </w:footnote>
  <w:footnote w:id="4">
    <w:p w14:paraId="75A42CD6" w14:textId="77777777" w:rsidR="002B66BF" w:rsidRPr="00B44105" w:rsidRDefault="002B66BF" w:rsidP="002B66BF">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B44105">
        <w:rPr>
          <w:rStyle w:val="FootnoteReference"/>
          <w:sz w:val="18"/>
        </w:rPr>
        <w:footnoteRef/>
      </w:r>
      <w:r w:rsidRPr="00B44105">
        <w:rPr>
          <w:sz w:val="18"/>
          <w:szCs w:val="18"/>
        </w:rPr>
        <w:t xml:space="preserve"> </w:t>
      </w:r>
      <w:r>
        <w:rPr>
          <w:sz w:val="18"/>
          <w:szCs w:val="18"/>
        </w:rPr>
        <w:tab/>
      </w:r>
      <w:r w:rsidRPr="00B44105">
        <w:rPr>
          <w:sz w:val="18"/>
          <w:szCs w:val="18"/>
        </w:rPr>
        <w:t>http://www.brsmeas.org/Implementation/TechnicalAssistance/NeedsAssessment/tabid/4898/language/en-US/Default.aspx.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1741218">
    <w:abstractNumId w:val="0"/>
  </w:num>
  <w:num w:numId="2" w16cid:durableId="1985698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2B66BF"/>
    <w:rsid w:val="006C0403"/>
    <w:rsid w:val="00836B73"/>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828</Words>
  <Characters>4723</Characters>
  <Application>Microsoft Office Word</Application>
  <DocSecurity>0</DocSecurity>
  <Lines>39</Lines>
  <Paragraphs>11</Paragraphs>
  <ScaleCrop>false</ScaleCrop>
  <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2023-05-22T12:49:00Z</dcterms:created>
  <dcterms:modified xsi:type="dcterms:W3CDTF">2023-05-22T12:50:00Z</dcterms:modified>
</cp:coreProperties>
</file>