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D7708" w14:textId="77777777" w:rsidR="00162093" w:rsidRPr="00447994" w:rsidRDefault="00162093" w:rsidP="00162093">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15/3: Marco estratégico</w:t>
      </w:r>
    </w:p>
    <w:p w14:paraId="037C68F1" w14:textId="77777777" w:rsidR="00162093" w:rsidRPr="00447994" w:rsidRDefault="00162093" w:rsidP="00162093">
      <w:pPr>
        <w:pStyle w:val="Normal-pool"/>
        <w:spacing w:after="120"/>
        <w:ind w:left="1247" w:firstLine="624"/>
        <w:rPr>
          <w:i/>
          <w:iCs/>
          <w:lang w:val="es-ES_tradnl"/>
        </w:rPr>
      </w:pPr>
      <w:r w:rsidRPr="00447994">
        <w:rPr>
          <w:i/>
          <w:iCs/>
          <w:lang w:val="es-ES_tradnl"/>
        </w:rPr>
        <w:t>La Conferencia de las Partes</w:t>
      </w:r>
      <w:r w:rsidRPr="00447994">
        <w:rPr>
          <w:lang w:val="es-ES_tradnl"/>
        </w:rPr>
        <w:t>,</w:t>
      </w:r>
    </w:p>
    <w:p w14:paraId="56D2A2EA" w14:textId="77777777" w:rsidR="00162093" w:rsidRPr="00447994" w:rsidRDefault="00162093" w:rsidP="00162093">
      <w:pPr>
        <w:pStyle w:val="CH2"/>
        <w:ind w:firstLine="0"/>
        <w:jc w:val="center"/>
        <w:rPr>
          <w:lang w:val="es-ES_tradnl"/>
        </w:rPr>
      </w:pPr>
      <w:r w:rsidRPr="00447994">
        <w:rPr>
          <w:bCs/>
          <w:lang w:val="es-ES_tradnl"/>
        </w:rPr>
        <w:t>I</w:t>
      </w:r>
    </w:p>
    <w:p w14:paraId="69C0E224" w14:textId="77777777" w:rsidR="00162093" w:rsidRPr="00447994" w:rsidRDefault="00162093" w:rsidP="00162093">
      <w:pPr>
        <w:pStyle w:val="CH2"/>
        <w:spacing w:before="80"/>
        <w:ind w:firstLine="0"/>
        <w:jc w:val="center"/>
        <w:rPr>
          <w:i/>
          <w:iCs/>
          <w:lang w:val="es-ES_tradnl"/>
        </w:rPr>
      </w:pPr>
      <w:r w:rsidRPr="00447994">
        <w:rPr>
          <w:bCs/>
          <w:lang w:val="es-ES_tradnl"/>
        </w:rPr>
        <w:t>Marco estratégico</w:t>
      </w:r>
    </w:p>
    <w:p w14:paraId="27B077F0" w14:textId="77777777" w:rsidR="00162093" w:rsidRPr="00447994" w:rsidRDefault="00162093" w:rsidP="00162093">
      <w:pPr>
        <w:pStyle w:val="Normal-pool"/>
        <w:spacing w:after="120"/>
        <w:ind w:left="1247" w:firstLine="624"/>
        <w:rPr>
          <w:i/>
          <w:lang w:val="es-ES_tradnl"/>
        </w:rPr>
      </w:pPr>
      <w:r w:rsidRPr="00447994">
        <w:rPr>
          <w:i/>
          <w:iCs/>
          <w:lang w:val="es-ES_tradnl"/>
        </w:rPr>
        <w:t>Consciente</w:t>
      </w:r>
      <w:r w:rsidRPr="00447994">
        <w:rPr>
          <w:lang w:val="es-ES_tradnl"/>
        </w:rPr>
        <w:t xml:space="preserve"> de que las recomendaciones del informe sobre la evaluación final del marco estratégico para la aplicación del Convenio de Basilea sobre el Control de los Movimientos Transfronterizos de los Desechos Peligrosos y su Eliminación para el período 2012</w:t>
      </w:r>
      <w:r w:rsidRPr="00447994">
        <w:rPr>
          <w:lang w:val="es-ES_tradnl"/>
        </w:rPr>
        <w:noBreakHyphen/>
        <w:t>2021</w:t>
      </w:r>
      <w:r w:rsidRPr="00447994">
        <w:rPr>
          <w:iCs/>
          <w:szCs w:val="18"/>
          <w:vertAlign w:val="superscript"/>
          <w:lang w:val="es-ES_tradnl"/>
        </w:rPr>
        <w:footnoteReference w:id="1"/>
      </w:r>
      <w:r w:rsidRPr="00447994">
        <w:rPr>
          <w:lang w:val="es-ES_tradnl"/>
        </w:rPr>
        <w:t xml:space="preserve"> que se refieren a temas específicos del programa de la 15ª reunión de la Conferencia de las Partes se abordan en las decisiones pertinentes adoptadas por la Conferencia de las Partes en esa reunión y se tienen en cuenta en el programa de trabajo y el presupuesto del Convenio de Basilea para el bienio 2022</w:t>
      </w:r>
      <w:r w:rsidRPr="00447994">
        <w:rPr>
          <w:lang w:val="es-ES_tradnl"/>
        </w:rPr>
        <w:noBreakHyphen/>
        <w:t>2023,</w:t>
      </w:r>
    </w:p>
    <w:p w14:paraId="37F60B81" w14:textId="77777777" w:rsidR="00162093" w:rsidRPr="00447994" w:rsidRDefault="00162093" w:rsidP="00162093">
      <w:pPr>
        <w:pStyle w:val="Normal-pool"/>
        <w:numPr>
          <w:ilvl w:val="0"/>
          <w:numId w:val="1"/>
        </w:numPr>
        <w:spacing w:after="120"/>
        <w:ind w:left="1247" w:firstLine="624"/>
        <w:rPr>
          <w:i/>
          <w:lang w:val="es-ES_tradnl"/>
        </w:rPr>
      </w:pPr>
      <w:bookmarkStart w:id="0" w:name="_Hlk106189483"/>
      <w:r w:rsidRPr="00447994">
        <w:rPr>
          <w:i/>
          <w:iCs/>
          <w:lang w:val="es-ES_tradnl"/>
        </w:rPr>
        <w:t>Acoge con beneplácito</w:t>
      </w:r>
      <w:r w:rsidRPr="00447994">
        <w:rPr>
          <w:lang w:val="es-ES_tradnl"/>
        </w:rPr>
        <w:t xml:space="preserve"> el informe sobre la evaluación final del marco estratégico para la aplicación del Convenio de Basilea sobre el Control de los Movimientos Transfronterizos de los Desechos Peligrosos y su Eliminación en el período 2012</w:t>
      </w:r>
      <w:r w:rsidRPr="00447994">
        <w:rPr>
          <w:lang w:val="es-ES_tradnl"/>
        </w:rPr>
        <w:noBreakHyphen/>
        <w:t>2021</w:t>
      </w:r>
      <w:r w:rsidRPr="00447994">
        <w:rPr>
          <w:iCs/>
          <w:szCs w:val="18"/>
          <w:vertAlign w:val="superscript"/>
          <w:lang w:val="es-ES_tradnl"/>
        </w:rPr>
        <w:footnoteReference w:id="2"/>
      </w:r>
      <w:r w:rsidRPr="00447994">
        <w:rPr>
          <w:lang w:val="es-ES_tradnl"/>
        </w:rPr>
        <w:t>;</w:t>
      </w:r>
    </w:p>
    <w:p w14:paraId="75241B1E" w14:textId="77777777" w:rsidR="00162093" w:rsidRPr="00447994" w:rsidRDefault="00162093" w:rsidP="00162093">
      <w:pPr>
        <w:pStyle w:val="Normal-pool"/>
        <w:numPr>
          <w:ilvl w:val="0"/>
          <w:numId w:val="1"/>
        </w:numPr>
        <w:spacing w:after="120"/>
        <w:ind w:left="1247" w:firstLine="624"/>
        <w:rPr>
          <w:lang w:val="es-ES_tradnl"/>
        </w:rPr>
      </w:pPr>
      <w:r w:rsidRPr="00447994">
        <w:rPr>
          <w:i/>
          <w:iCs/>
          <w:lang w:val="es-ES_tradnl"/>
        </w:rPr>
        <w:t>Observa</w:t>
      </w:r>
      <w:r w:rsidRPr="00447994">
        <w:rPr>
          <w:lang w:val="es-ES_tradnl"/>
        </w:rPr>
        <w:t xml:space="preserve"> la falta de datos y las consiguientes limitaciones del informe mencionado en el párrafo 1 de la presente decisión, relacionadas en particular con el bajo índice de respuesta de las Partes a los cuestionarios de referencia y de evaluación final y el escaso número de informes nacionales anuales presentados a la Secretaría por las Partes, así como otros obstáculos con los que han tropezado la Secretaría y el pequeño grupo de trabajo entre reuniones establecido según lo dispuesto en el párrafo 6 de la decisión BC</w:t>
      </w:r>
      <w:r w:rsidRPr="00447994">
        <w:rPr>
          <w:lang w:val="es-ES_tradnl"/>
        </w:rPr>
        <w:noBreakHyphen/>
        <w:t>13/1 al preparar la evaluación final, incluida la falta de coherencia entre los objetivos, las metas y los indicadores del marco estratégico;</w:t>
      </w:r>
    </w:p>
    <w:p w14:paraId="05314424" w14:textId="77777777" w:rsidR="00162093" w:rsidRPr="00447994" w:rsidRDefault="00162093" w:rsidP="00162093">
      <w:pPr>
        <w:pStyle w:val="Normal-pool"/>
        <w:numPr>
          <w:ilvl w:val="0"/>
          <w:numId w:val="1"/>
        </w:numPr>
        <w:spacing w:after="120"/>
        <w:ind w:left="1247" w:firstLine="624"/>
        <w:rPr>
          <w:lang w:val="es-ES_tradnl"/>
        </w:rPr>
      </w:pPr>
      <w:r w:rsidRPr="00447994">
        <w:rPr>
          <w:i/>
          <w:iCs/>
          <w:lang w:val="es-ES_tradnl"/>
        </w:rPr>
        <w:t>Acoge con beneplácito</w:t>
      </w:r>
      <w:r w:rsidRPr="00447994">
        <w:rPr>
          <w:lang w:val="es-ES_tradnl"/>
        </w:rPr>
        <w:t xml:space="preserve"> la labor realizada por la Secretaría y el pequeño grupo de trabajo entre reuniones para mitigar los efectos de la falta de datos y el hecho de que las fuentes de información no hubiesen estado definidas cuando se establecieron los objetivos, las metas y los indicadores del marco estratégico, mediante la búsqueda y utilización de otras fuentes de información para obtener una imagen más completa de los progresos realizados en el marco estratégico; </w:t>
      </w:r>
    </w:p>
    <w:p w14:paraId="4E0FBE78" w14:textId="77777777" w:rsidR="00162093" w:rsidRPr="00447994" w:rsidRDefault="00162093" w:rsidP="00162093">
      <w:pPr>
        <w:pStyle w:val="Normal-pool"/>
        <w:numPr>
          <w:ilvl w:val="0"/>
          <w:numId w:val="1"/>
        </w:numPr>
        <w:spacing w:after="120"/>
        <w:ind w:left="1247" w:firstLine="624"/>
        <w:rPr>
          <w:lang w:val="es-ES_tradnl"/>
        </w:rPr>
      </w:pPr>
      <w:bookmarkStart w:id="2" w:name="_Hlk106786926"/>
      <w:bookmarkEnd w:id="0"/>
      <w:r w:rsidRPr="00447994">
        <w:rPr>
          <w:i/>
          <w:iCs/>
          <w:lang w:val="es-ES_tradnl"/>
        </w:rPr>
        <w:t>Decide</w:t>
      </w:r>
      <w:r w:rsidRPr="00447994">
        <w:rPr>
          <w:lang w:val="es-ES_tradnl"/>
        </w:rPr>
        <w:t xml:space="preserve"> mejorar, según proceda, el marco estratégico para el período 2012</w:t>
      </w:r>
      <w:r w:rsidRPr="00447994">
        <w:rPr>
          <w:lang w:val="es-ES_tradnl"/>
        </w:rPr>
        <w:noBreakHyphen/>
        <w:t>2021, teniendo en cuenta los principales resultados, conclusiones y recomendaciones del informe sobre la evaluación final del marco estratégico, que tienen su reflejo en las decisiones adoptadas en su 15ª reunión, y las lecciones aprendidas en la preparación del informe</w:t>
      </w:r>
      <w:r w:rsidRPr="00447994">
        <w:rPr>
          <w:vertAlign w:val="superscript"/>
          <w:lang w:val="es-ES_tradnl"/>
        </w:rPr>
        <w:footnoteReference w:id="3"/>
      </w:r>
      <w:r w:rsidRPr="00447994">
        <w:rPr>
          <w:lang w:val="es-ES_tradnl"/>
        </w:rPr>
        <w:t>, especialmente las relativas a la asistencia técnica, la creación de capacidad, la transferencia de tecnología y la cooperación, en especial mediante las actividades reforzadas y coordinadas de los centros regionales;</w:t>
      </w:r>
      <w:bookmarkStart w:id="4" w:name="_Hlk106786988"/>
      <w:bookmarkEnd w:id="4"/>
    </w:p>
    <w:p w14:paraId="4D0ACD92" w14:textId="77777777" w:rsidR="00162093" w:rsidRPr="00447994" w:rsidRDefault="00162093" w:rsidP="00162093">
      <w:pPr>
        <w:pStyle w:val="Normal-pool"/>
        <w:numPr>
          <w:ilvl w:val="0"/>
          <w:numId w:val="1"/>
        </w:numPr>
        <w:spacing w:after="120"/>
        <w:ind w:left="1247" w:firstLine="624"/>
        <w:rPr>
          <w:lang w:val="es-ES_tradnl"/>
        </w:rPr>
      </w:pPr>
      <w:bookmarkStart w:id="5" w:name="_Hlk106782587"/>
      <w:bookmarkEnd w:id="2"/>
      <w:r w:rsidRPr="00447994">
        <w:rPr>
          <w:i/>
          <w:iCs/>
          <w:lang w:val="es-ES_tradnl"/>
        </w:rPr>
        <w:t>Decide también</w:t>
      </w:r>
      <w:r w:rsidRPr="00447994">
        <w:rPr>
          <w:lang w:val="es-ES_tradnl"/>
        </w:rPr>
        <w:t xml:space="preserve"> que el pequeño grupo de trabajo entre reuniones prosiga su labor y esté abierto a todas las Partes, con la idea de contar con representación de los cinco grupos regionales de las Naciones Unidas, y a los observadores, incluidos los centros regionales y de coordinación del Convenio de Basilea; </w:t>
      </w:r>
    </w:p>
    <w:bookmarkEnd w:id="5"/>
    <w:p w14:paraId="327D3AEC" w14:textId="77777777" w:rsidR="00162093" w:rsidRPr="00447994" w:rsidRDefault="00162093" w:rsidP="00162093">
      <w:pPr>
        <w:pStyle w:val="Normal-pool"/>
        <w:numPr>
          <w:ilvl w:val="0"/>
          <w:numId w:val="1"/>
        </w:numPr>
        <w:spacing w:after="120"/>
        <w:ind w:left="1247" w:firstLine="624"/>
        <w:rPr>
          <w:bCs/>
          <w:iCs/>
          <w:u w:val="single"/>
          <w:lang w:val="es-ES_tradnl"/>
        </w:rPr>
      </w:pPr>
      <w:r w:rsidRPr="00447994">
        <w:rPr>
          <w:i/>
          <w:iCs/>
          <w:lang w:val="es-ES_tradnl"/>
        </w:rPr>
        <w:t>Decide además</w:t>
      </w:r>
      <w:r w:rsidRPr="00447994">
        <w:rPr>
          <w:lang w:val="es-ES_tradnl"/>
        </w:rPr>
        <w:t xml:space="preserve"> que el pequeño grupo de trabajo entre reuniones celebre al menos una reunión presencial, en función de los recursos disponibles, y trabaje también por medios electrónicos;</w:t>
      </w:r>
    </w:p>
    <w:p w14:paraId="094A4442" w14:textId="77777777" w:rsidR="00162093" w:rsidRPr="00447994" w:rsidRDefault="00162093" w:rsidP="00162093">
      <w:pPr>
        <w:pStyle w:val="Normal-pool"/>
        <w:numPr>
          <w:ilvl w:val="0"/>
          <w:numId w:val="1"/>
        </w:numPr>
        <w:spacing w:after="120"/>
        <w:ind w:left="1247" w:firstLine="624"/>
        <w:rPr>
          <w:i/>
          <w:iCs/>
          <w:lang w:val="es-ES_tradnl"/>
        </w:rPr>
      </w:pPr>
      <w:r w:rsidRPr="00447994">
        <w:rPr>
          <w:i/>
          <w:iCs/>
          <w:lang w:val="es-ES_tradnl"/>
        </w:rPr>
        <w:lastRenderedPageBreak/>
        <w:t>Expresa su aprecio</w:t>
      </w:r>
      <w:r w:rsidRPr="00447994">
        <w:rPr>
          <w:lang w:val="es-ES_tradnl"/>
        </w:rPr>
        <w:t xml:space="preserve"> al Canadá por haber aceptado ejercer de país encargado para las actividades indicadas en el párrafo 4 de la presente decisión;</w:t>
      </w:r>
    </w:p>
    <w:p w14:paraId="01294743" w14:textId="77777777" w:rsidR="00162093" w:rsidRPr="00447994" w:rsidRDefault="00162093" w:rsidP="00162093">
      <w:pPr>
        <w:pStyle w:val="Normal-pool"/>
        <w:numPr>
          <w:ilvl w:val="0"/>
          <w:numId w:val="1"/>
        </w:numPr>
        <w:spacing w:after="120"/>
        <w:ind w:left="1247" w:firstLine="624"/>
        <w:rPr>
          <w:i/>
          <w:iCs/>
          <w:lang w:val="es-ES_tradnl"/>
        </w:rPr>
      </w:pPr>
      <w:r w:rsidRPr="00447994">
        <w:rPr>
          <w:i/>
          <w:iCs/>
          <w:lang w:val="es-ES_tradnl"/>
        </w:rPr>
        <w:t>Solicita</w:t>
      </w:r>
      <w:r w:rsidRPr="00447994">
        <w:rPr>
          <w:lang w:val="es-ES_tradnl"/>
        </w:rPr>
        <w:t xml:space="preserve"> al pequeño grupo de trabajo entre reuniones que, de conformidad con el párrafo 4 de la presente decisión:</w:t>
      </w:r>
    </w:p>
    <w:p w14:paraId="279F7A0E" w14:textId="77777777" w:rsidR="00162093" w:rsidRPr="00447994" w:rsidRDefault="00162093" w:rsidP="00162093">
      <w:pPr>
        <w:pStyle w:val="Normal-pool"/>
        <w:numPr>
          <w:ilvl w:val="0"/>
          <w:numId w:val="2"/>
        </w:numPr>
        <w:tabs>
          <w:tab w:val="clear" w:pos="1247"/>
          <w:tab w:val="clear" w:pos="1814"/>
        </w:tabs>
        <w:spacing w:after="120"/>
        <w:ind w:left="1247" w:firstLine="624"/>
        <w:rPr>
          <w:lang w:val="es-ES_tradnl"/>
        </w:rPr>
      </w:pPr>
      <w:r w:rsidRPr="00447994">
        <w:rPr>
          <w:lang w:val="es-ES_tradnl"/>
        </w:rPr>
        <w:t>Formule conclusiones y recomendaciones para mejorar, según proceda, el marco estratégico para el período 2012</w:t>
      </w:r>
      <w:r w:rsidRPr="00447994">
        <w:rPr>
          <w:lang w:val="es-ES_tradnl"/>
        </w:rPr>
        <w:noBreakHyphen/>
        <w:t xml:space="preserve">2021; </w:t>
      </w:r>
    </w:p>
    <w:p w14:paraId="2C1A4514" w14:textId="77777777" w:rsidR="00162093" w:rsidRPr="00447994" w:rsidRDefault="00162093" w:rsidP="00162093">
      <w:pPr>
        <w:pStyle w:val="Normal-pool"/>
        <w:numPr>
          <w:ilvl w:val="0"/>
          <w:numId w:val="2"/>
        </w:numPr>
        <w:tabs>
          <w:tab w:val="clear" w:pos="1247"/>
          <w:tab w:val="clear" w:pos="1814"/>
        </w:tabs>
        <w:spacing w:after="120"/>
        <w:ind w:left="1247" w:firstLine="624"/>
        <w:rPr>
          <w:lang w:val="es-ES_tradnl"/>
        </w:rPr>
      </w:pPr>
      <w:r w:rsidRPr="00447994">
        <w:rPr>
          <w:lang w:val="es-ES_tradnl"/>
        </w:rPr>
        <w:t xml:space="preserve">Presente un proyecto de sus conclusiones y recomendaciones para que el Grupo de Trabajo de composición abierta lo examine en su 13ª reunión; </w:t>
      </w:r>
    </w:p>
    <w:p w14:paraId="06D8D504" w14:textId="77777777" w:rsidR="00162093" w:rsidRPr="00447994" w:rsidRDefault="00162093" w:rsidP="00162093">
      <w:pPr>
        <w:pStyle w:val="Normal-pool"/>
        <w:numPr>
          <w:ilvl w:val="0"/>
          <w:numId w:val="2"/>
        </w:numPr>
        <w:tabs>
          <w:tab w:val="clear" w:pos="1247"/>
          <w:tab w:val="clear" w:pos="1814"/>
        </w:tabs>
        <w:spacing w:after="120"/>
        <w:ind w:left="1247" w:firstLine="624"/>
        <w:rPr>
          <w:lang w:val="es-ES_tradnl"/>
        </w:rPr>
      </w:pPr>
      <w:r w:rsidRPr="00447994">
        <w:rPr>
          <w:lang w:val="es-ES_tradnl"/>
        </w:rPr>
        <w:t>Presente recomendaciones a la Conferencia de las Partes en su 16ª reunión, teniendo en cuenta el resultado de la 13ª reunión del Grupo de Trabajo de composición abierta;</w:t>
      </w:r>
    </w:p>
    <w:p w14:paraId="4770B3E3" w14:textId="77777777" w:rsidR="00162093" w:rsidRPr="00447994" w:rsidRDefault="00162093" w:rsidP="00162093">
      <w:pPr>
        <w:pStyle w:val="CH2"/>
        <w:ind w:firstLine="0"/>
        <w:jc w:val="center"/>
        <w:rPr>
          <w:lang w:val="es-ES_tradnl"/>
        </w:rPr>
      </w:pPr>
      <w:r w:rsidRPr="00447994">
        <w:rPr>
          <w:bCs/>
          <w:lang w:val="es-ES_tradnl"/>
        </w:rPr>
        <w:t>II</w:t>
      </w:r>
    </w:p>
    <w:p w14:paraId="49B1DADA" w14:textId="77777777" w:rsidR="00162093" w:rsidRPr="00447994" w:rsidRDefault="00162093" w:rsidP="00162093">
      <w:pPr>
        <w:pStyle w:val="CH2"/>
        <w:spacing w:before="80"/>
        <w:ind w:firstLine="0"/>
        <w:jc w:val="center"/>
        <w:rPr>
          <w:lang w:val="es-ES_tradnl"/>
        </w:rPr>
      </w:pPr>
      <w:r w:rsidRPr="00447994">
        <w:rPr>
          <w:bCs/>
          <w:lang w:val="es-ES_tradnl"/>
        </w:rPr>
        <w:t>Labor destinada a mejorar el funcionamiento del procedimiento de consentimiento fundamentado previo</w:t>
      </w:r>
    </w:p>
    <w:p w14:paraId="4725B503" w14:textId="77777777" w:rsidR="00162093" w:rsidRPr="00447994" w:rsidRDefault="00162093" w:rsidP="00162093">
      <w:pPr>
        <w:pStyle w:val="Normal-pool"/>
        <w:numPr>
          <w:ilvl w:val="0"/>
          <w:numId w:val="1"/>
        </w:numPr>
        <w:spacing w:after="120"/>
        <w:ind w:left="1247" w:firstLine="624"/>
        <w:rPr>
          <w:lang w:val="es-ES_tradnl"/>
        </w:rPr>
      </w:pPr>
      <w:r w:rsidRPr="00447994">
        <w:rPr>
          <w:i/>
          <w:iCs/>
          <w:lang w:val="es-ES_tradnl"/>
        </w:rPr>
        <w:t>Reconoce</w:t>
      </w:r>
      <w:r w:rsidRPr="00447994">
        <w:rPr>
          <w:lang w:val="es-ES_tradnl"/>
        </w:rPr>
        <w:t xml:space="preserve"> que algunas Partes en el Convenio de Basilea han utilizado con éxito el procedimiento de consentimiento fundamentado desde su entrada en vigor;</w:t>
      </w:r>
    </w:p>
    <w:p w14:paraId="0C9E0970" w14:textId="77777777" w:rsidR="00162093" w:rsidRPr="00447994" w:rsidRDefault="00162093" w:rsidP="00162093">
      <w:pPr>
        <w:pStyle w:val="Normal-pool"/>
        <w:numPr>
          <w:ilvl w:val="0"/>
          <w:numId w:val="1"/>
        </w:numPr>
        <w:spacing w:after="120"/>
        <w:ind w:left="1247" w:firstLine="624"/>
        <w:rPr>
          <w:lang w:val="es-ES_tradnl"/>
        </w:rPr>
      </w:pPr>
      <w:r w:rsidRPr="00447994">
        <w:rPr>
          <w:i/>
          <w:iCs/>
          <w:lang w:val="es-ES_tradnl"/>
        </w:rPr>
        <w:t>Observa</w:t>
      </w:r>
      <w:r w:rsidRPr="00447994">
        <w:rPr>
          <w:lang w:val="es-ES_tradnl"/>
        </w:rPr>
        <w:t xml:space="preserve"> que las Partes que han utilizado el procedimiento de consentimiento fundamentado previo pueden haber generado, a lo largo del tiempo, mejores prácticas de uso que otras Partes podrían aprovechar al aplicar el procedimiento;</w:t>
      </w:r>
    </w:p>
    <w:p w14:paraId="25DCBCE5" w14:textId="77777777" w:rsidR="00162093" w:rsidRPr="00447994" w:rsidRDefault="00162093" w:rsidP="00162093">
      <w:pPr>
        <w:pStyle w:val="Normal-pool"/>
        <w:numPr>
          <w:ilvl w:val="0"/>
          <w:numId w:val="1"/>
        </w:numPr>
        <w:spacing w:after="120"/>
        <w:ind w:left="1247" w:firstLine="624"/>
        <w:rPr>
          <w:lang w:val="es-ES_tradnl"/>
        </w:rPr>
      </w:pPr>
      <w:r w:rsidRPr="00447994">
        <w:rPr>
          <w:i/>
          <w:iCs/>
          <w:lang w:val="es-ES_tradnl"/>
        </w:rPr>
        <w:t>Observa con preocupación</w:t>
      </w:r>
      <w:r w:rsidRPr="00447994">
        <w:rPr>
          <w:lang w:val="es-ES_tradnl"/>
        </w:rPr>
        <w:t xml:space="preserve">, sin embargo, que los problemas de aplicación del procedimiento de consentimiento fundamentado previo dificultan cada vez más el movimiento transfronterizo de desechos peligrosos y de otro tipo y su gestión ambientalmente racional a las Partes exportadoras, de tránsito e importadoras, especialmente los países insulares y los países en desarrollo; </w:t>
      </w:r>
    </w:p>
    <w:p w14:paraId="2047614E" w14:textId="77777777" w:rsidR="00162093" w:rsidRPr="00447994" w:rsidRDefault="00162093" w:rsidP="00162093">
      <w:pPr>
        <w:pStyle w:val="Normal-pool"/>
        <w:numPr>
          <w:ilvl w:val="0"/>
          <w:numId w:val="1"/>
        </w:numPr>
        <w:spacing w:after="120"/>
        <w:ind w:left="1247" w:firstLine="624"/>
        <w:rPr>
          <w:i/>
          <w:iCs/>
          <w:lang w:val="es-ES_tradnl"/>
        </w:rPr>
      </w:pPr>
      <w:r w:rsidRPr="00447994">
        <w:rPr>
          <w:i/>
          <w:iCs/>
          <w:lang w:val="es-ES_tradnl"/>
        </w:rPr>
        <w:t>Invita</w:t>
      </w:r>
      <w:r w:rsidRPr="00447994">
        <w:rPr>
          <w:lang w:val="es-ES_tradnl"/>
        </w:rPr>
        <w:t xml:space="preserve"> a las Partes y los observadores a presentar a la Secretaría, antes del 30 de noviembre de 2022, información sobre los problemas de aplicación del procedimiento de consentimiento fundamentado previo y sobre las mejores prácticas, los posibles enfoques, las iniciativas y las opiniones para mejorar el funcionamiento del procedimiento, y reconoce que los países en desarrollo tropiezan con dificultades cada vez mayores al aplicar el procedimiento de consentimiento fundamentado previo y necesitan más asistencia financiera y técnica y creación de capacidad para superarlas</w:t>
      </w:r>
      <w:r w:rsidRPr="00447994">
        <w:rPr>
          <w:vertAlign w:val="superscript"/>
          <w:lang w:val="es-ES_tradnl"/>
        </w:rPr>
        <w:footnoteReference w:id="4"/>
      </w:r>
      <w:r w:rsidRPr="00447994">
        <w:rPr>
          <w:lang w:val="es-ES_tradnl"/>
        </w:rPr>
        <w:t>;</w:t>
      </w:r>
    </w:p>
    <w:p w14:paraId="6D6CA515" w14:textId="77777777" w:rsidR="00162093" w:rsidRPr="00447994" w:rsidRDefault="00162093" w:rsidP="00162093">
      <w:pPr>
        <w:pStyle w:val="Normal-pool"/>
        <w:numPr>
          <w:ilvl w:val="0"/>
          <w:numId w:val="1"/>
        </w:numPr>
        <w:spacing w:after="120"/>
        <w:ind w:left="1247" w:firstLine="624"/>
        <w:rPr>
          <w:lang w:val="es-ES_tradnl"/>
        </w:rPr>
      </w:pPr>
      <w:r w:rsidRPr="00447994">
        <w:rPr>
          <w:i/>
          <w:iCs/>
          <w:lang w:val="es-ES_tradnl"/>
        </w:rPr>
        <w:t>Solicita</w:t>
      </w:r>
      <w:r w:rsidRPr="00447994">
        <w:rPr>
          <w:lang w:val="es-ES_tradnl"/>
        </w:rPr>
        <w:t xml:space="preserve"> a la Secretaría que publique la información recibida de conformidad con el párrafo 12 de la presente decisión en el sitio web del Convenio y que prepara una recopilación y una síntesis de esa información, en función de los recursos disponibles, para que el Grupo de Trabajo de composición abierta las examine en su 13ª reunión;</w:t>
      </w:r>
    </w:p>
    <w:p w14:paraId="7C05F5DC" w14:textId="77777777" w:rsidR="00162093" w:rsidRPr="00447994" w:rsidRDefault="00162093" w:rsidP="00162093">
      <w:pPr>
        <w:pStyle w:val="Normal-pool"/>
        <w:numPr>
          <w:ilvl w:val="0"/>
          <w:numId w:val="1"/>
        </w:numPr>
        <w:spacing w:after="120"/>
        <w:ind w:left="1247" w:firstLine="624"/>
        <w:rPr>
          <w:lang w:val="es-ES_tradnl"/>
        </w:rPr>
      </w:pPr>
      <w:r w:rsidRPr="00447994">
        <w:rPr>
          <w:i/>
          <w:iCs/>
          <w:lang w:val="es-ES_tradnl"/>
        </w:rPr>
        <w:t>Solicita</w:t>
      </w:r>
      <w:r w:rsidRPr="00447994">
        <w:rPr>
          <w:lang w:val="es-ES_tradnl"/>
        </w:rPr>
        <w:t xml:space="preserve"> al Grupo de Trabajo de composición abierta </w:t>
      </w:r>
      <w:proofErr w:type="gramStart"/>
      <w:r w:rsidRPr="00447994">
        <w:rPr>
          <w:lang w:val="es-ES_tradnl"/>
        </w:rPr>
        <w:t>que</w:t>
      </w:r>
      <w:proofErr w:type="gramEnd"/>
      <w:r w:rsidRPr="00447994">
        <w:rPr>
          <w:lang w:val="es-ES_tradnl"/>
        </w:rPr>
        <w:t xml:space="preserve"> en su 13ª reunión, a partir de su examen de la recopilación y la síntesis de información mencionadas en el párrafo 13 de la presente decisión, elabore proyectos de recomendaciones para que la Conferencia de las Partes los examine en su 16ª reunión.</w:t>
      </w:r>
    </w:p>
    <w:p w14:paraId="5E5F9B2A" w14:textId="256BCFB1" w:rsidR="00F935A6" w:rsidRPr="00162093" w:rsidRDefault="00F935A6" w:rsidP="00162093">
      <w:pPr>
        <w:pStyle w:val="Normal-pool"/>
        <w:rPr>
          <w:lang w:val="es-ES_tradnl"/>
        </w:rPr>
      </w:pPr>
    </w:p>
    <w:sectPr w:rsidR="00F935A6" w:rsidRPr="0016209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C4008" w14:textId="77777777" w:rsidR="00E45824" w:rsidRDefault="00E45824" w:rsidP="00162093">
      <w:pPr>
        <w:spacing w:after="0" w:line="240" w:lineRule="auto"/>
      </w:pPr>
      <w:r>
        <w:separator/>
      </w:r>
    </w:p>
  </w:endnote>
  <w:endnote w:type="continuationSeparator" w:id="0">
    <w:p w14:paraId="7ABA7F08" w14:textId="77777777" w:rsidR="00E45824" w:rsidRDefault="00E45824" w:rsidP="00162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76291" w14:textId="77777777" w:rsidR="00E45824" w:rsidRDefault="00E45824" w:rsidP="00162093">
      <w:pPr>
        <w:spacing w:after="0" w:line="240" w:lineRule="auto"/>
      </w:pPr>
      <w:r>
        <w:separator/>
      </w:r>
    </w:p>
  </w:footnote>
  <w:footnote w:type="continuationSeparator" w:id="0">
    <w:p w14:paraId="1225654C" w14:textId="77777777" w:rsidR="00E45824" w:rsidRDefault="00E45824" w:rsidP="00162093">
      <w:pPr>
        <w:spacing w:after="0" w:line="240" w:lineRule="auto"/>
      </w:pPr>
      <w:r>
        <w:continuationSeparator/>
      </w:r>
    </w:p>
  </w:footnote>
  <w:footnote w:id="1">
    <w:p w14:paraId="6578E51A" w14:textId="77777777" w:rsidR="00162093" w:rsidRPr="000741E0" w:rsidRDefault="00162093" w:rsidP="00162093">
      <w:pPr>
        <w:pStyle w:val="Normal-pool"/>
        <w:spacing w:before="20" w:after="40"/>
        <w:ind w:left="1247"/>
        <w:rPr>
          <w:sz w:val="18"/>
          <w:szCs w:val="18"/>
        </w:rPr>
      </w:pPr>
      <w:r w:rsidRPr="00122920">
        <w:rPr>
          <w:sz w:val="18"/>
          <w:szCs w:val="18"/>
          <w:vertAlign w:val="superscript"/>
          <w:lang w:val="es-ES_tradnl"/>
        </w:rPr>
        <w:footnoteRef/>
      </w:r>
      <w:r w:rsidRPr="000741E0">
        <w:rPr>
          <w:sz w:val="18"/>
          <w:szCs w:val="18"/>
        </w:rPr>
        <w:t xml:space="preserve"> UNEP/CHW.15/INF/5, </w:t>
      </w:r>
      <w:proofErr w:type="spellStart"/>
      <w:r w:rsidRPr="000741E0">
        <w:rPr>
          <w:sz w:val="18"/>
          <w:szCs w:val="18"/>
        </w:rPr>
        <w:t>anexo</w:t>
      </w:r>
      <w:proofErr w:type="spellEnd"/>
      <w:r w:rsidRPr="000741E0">
        <w:rPr>
          <w:sz w:val="18"/>
          <w:szCs w:val="18"/>
        </w:rPr>
        <w:t xml:space="preserve">, y UNEP/CHW.15/3/Add.1, </w:t>
      </w:r>
      <w:proofErr w:type="spellStart"/>
      <w:r w:rsidRPr="000741E0">
        <w:rPr>
          <w:sz w:val="18"/>
          <w:szCs w:val="18"/>
        </w:rPr>
        <w:t>anexo</w:t>
      </w:r>
      <w:proofErr w:type="spellEnd"/>
      <w:r w:rsidRPr="000741E0">
        <w:rPr>
          <w:sz w:val="18"/>
          <w:szCs w:val="18"/>
        </w:rPr>
        <w:t xml:space="preserve">. </w:t>
      </w:r>
    </w:p>
  </w:footnote>
  <w:footnote w:id="2">
    <w:p w14:paraId="69FA1585" w14:textId="77777777" w:rsidR="00162093" w:rsidRPr="00122920" w:rsidRDefault="00162093" w:rsidP="00162093">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UNEP/CHW.15/INF/5, anexo. </w:t>
      </w:r>
      <w:bookmarkStart w:id="1" w:name="_Hlk106787034"/>
      <w:bookmarkEnd w:id="1"/>
    </w:p>
  </w:footnote>
  <w:footnote w:id="3">
    <w:p w14:paraId="3A1891EB" w14:textId="77777777" w:rsidR="00162093" w:rsidRPr="00122920" w:rsidRDefault="00162093" w:rsidP="00162093">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Por ejemplo, los informes de las reuniones del pequeño grupo de trabajo entre reuniones y las comunicaciones de las Partes, que están disponibles en </w:t>
      </w:r>
      <w:bookmarkStart w:id="3" w:name="_Hlk119403323"/>
      <w:r w:rsidRPr="00122920">
        <w:rPr>
          <w:sz w:val="18"/>
          <w:szCs w:val="18"/>
          <w:lang w:val="es-ES_tradnl"/>
        </w:rPr>
        <w:fldChar w:fldCharType="begin"/>
      </w:r>
      <w:r w:rsidRPr="00122920">
        <w:rPr>
          <w:sz w:val="18"/>
          <w:szCs w:val="18"/>
          <w:lang w:val="es-ES_tradnl"/>
        </w:rPr>
        <w:instrText xml:space="preserve"> HYPERLINK "http://www.basel.int/Implementation/StrategicFramework/Overview/tabid/3807/Default.aspx" </w:instrText>
      </w:r>
      <w:r w:rsidRPr="00122920">
        <w:rPr>
          <w:sz w:val="18"/>
          <w:szCs w:val="18"/>
          <w:lang w:val="es-ES_tradnl"/>
        </w:rPr>
        <w:fldChar w:fldCharType="separate"/>
      </w:r>
      <w:r w:rsidRPr="00122920">
        <w:rPr>
          <w:rStyle w:val="Hyperlink"/>
          <w:sz w:val="18"/>
          <w:szCs w:val="18"/>
          <w:lang w:val="es-ES_tradnl"/>
        </w:rPr>
        <w:t>http://www.basel.int/Implementation/StrategicFramework/Overview/tabid/3807/Default.aspx</w:t>
      </w:r>
      <w:bookmarkEnd w:id="3"/>
      <w:r w:rsidRPr="00122920">
        <w:rPr>
          <w:sz w:val="18"/>
          <w:szCs w:val="18"/>
          <w:lang w:val="es-ES_tradnl"/>
        </w:rPr>
        <w:fldChar w:fldCharType="end"/>
      </w:r>
      <w:r w:rsidRPr="00122920">
        <w:rPr>
          <w:sz w:val="18"/>
          <w:szCs w:val="18"/>
          <w:lang w:val="es-ES_tradnl"/>
        </w:rPr>
        <w:t xml:space="preserve">. </w:t>
      </w:r>
    </w:p>
  </w:footnote>
  <w:footnote w:id="4">
    <w:p w14:paraId="5BA2AED9" w14:textId="77777777" w:rsidR="00162093" w:rsidRPr="00122920" w:rsidRDefault="00162093" w:rsidP="00162093">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w:t>
      </w:r>
      <w:hyperlink r:id="rId1" w:history="1">
        <w:r w:rsidRPr="00122920">
          <w:rPr>
            <w:rStyle w:val="Hyperlink"/>
            <w:sz w:val="18"/>
            <w:szCs w:val="18"/>
            <w:lang w:val="es-ES_tradnl"/>
          </w:rPr>
          <w:t>http://www.brsmeas.org/Implementation/TechnicalAssistance/NeedsAssessment/tabid/4898/language/en-US/Default.aspx</w:t>
        </w:r>
      </w:hyperlink>
      <w:r w:rsidRPr="00122920">
        <w:rPr>
          <w:sz w:val="18"/>
          <w:szCs w:val="18"/>
          <w:lang w:val="es-ES_trad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9563191">
    <w:abstractNumId w:val="0"/>
  </w:num>
  <w:num w:numId="2" w16cid:durableId="8560443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162093"/>
    <w:rsid w:val="00836B73"/>
    <w:rsid w:val="00C84536"/>
    <w:rsid w:val="00E4582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rsmeas.org/Implementation/TechnicalAssistance/NeedsAssessment/tabid/4898/language/en-US/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877</Words>
  <Characters>5001</Characters>
  <Application>Microsoft Office Word</Application>
  <DocSecurity>0</DocSecurity>
  <Lines>41</Lines>
  <Paragraphs>11</Paragraphs>
  <ScaleCrop>false</ScaleCrop>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2023-05-22T13:18:00Z</dcterms:created>
  <dcterms:modified xsi:type="dcterms:W3CDTF">2023-05-22T13:19:00Z</dcterms:modified>
</cp:coreProperties>
</file>