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0153C" w14:textId="77777777" w:rsidR="00245BBD" w:rsidRPr="00447994" w:rsidRDefault="00245BBD" w:rsidP="00245BBD">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15/4: Tratamiento de la entrada en vigor de la Enmienda sobre la Prohibición</w:t>
      </w:r>
    </w:p>
    <w:p w14:paraId="43FB9050" w14:textId="77777777" w:rsidR="00245BBD" w:rsidRPr="00447994" w:rsidRDefault="00245BBD" w:rsidP="00245BBD">
      <w:pPr>
        <w:pStyle w:val="Normal-pool"/>
        <w:spacing w:after="120"/>
        <w:ind w:left="1247" w:firstLine="624"/>
        <w:rPr>
          <w:i/>
          <w:iCs/>
          <w:lang w:val="es-ES_tradnl"/>
        </w:rPr>
      </w:pPr>
      <w:r w:rsidRPr="00447994">
        <w:rPr>
          <w:i/>
          <w:iCs/>
          <w:lang w:val="es-ES_tradnl"/>
        </w:rPr>
        <w:t>La Conferencia de las Partes,</w:t>
      </w:r>
    </w:p>
    <w:p w14:paraId="24DC2E06" w14:textId="77777777" w:rsidR="00245BBD" w:rsidRPr="00447994" w:rsidRDefault="00245BBD" w:rsidP="00245BBD">
      <w:pPr>
        <w:pStyle w:val="Normal-pool"/>
        <w:spacing w:after="120"/>
        <w:ind w:left="1247" w:firstLine="624"/>
        <w:rPr>
          <w:lang w:val="es-ES_tradnl"/>
        </w:rPr>
      </w:pPr>
      <w:r w:rsidRPr="00447994">
        <w:rPr>
          <w:i/>
          <w:iCs/>
          <w:lang w:val="es-ES_tradnl"/>
        </w:rPr>
        <w:t>Acogiendo con beneplácito</w:t>
      </w:r>
      <w:r w:rsidRPr="00447994">
        <w:rPr>
          <w:lang w:val="es-ES_tradnl"/>
        </w:rPr>
        <w:t xml:space="preserve"> la entrada en vigor de la Enmienda al Convenio de Basilea sobre el Control de los Movimientos Transfronterizos de los Desechos Peligrosos y su Eliminación, que figura en la decisión III/1, conocida como “Enmienda sobre la Prohibición”, </w:t>
      </w:r>
    </w:p>
    <w:p w14:paraId="2DDE514E" w14:textId="77777777" w:rsidR="00245BBD" w:rsidRPr="00447994" w:rsidRDefault="00245BBD" w:rsidP="00245BBD">
      <w:pPr>
        <w:pStyle w:val="Normal-pool"/>
        <w:numPr>
          <w:ilvl w:val="0"/>
          <w:numId w:val="3"/>
        </w:numPr>
        <w:spacing w:after="120"/>
        <w:ind w:left="1247" w:firstLine="624"/>
        <w:rPr>
          <w:color w:val="000000"/>
          <w:lang w:val="es-ES_tradnl"/>
        </w:rPr>
      </w:pPr>
      <w:r w:rsidRPr="00447994">
        <w:rPr>
          <w:i/>
          <w:iCs/>
          <w:lang w:val="es-ES_tradnl"/>
        </w:rPr>
        <w:t>Exhorta</w:t>
      </w:r>
      <w:r w:rsidRPr="00447994">
        <w:rPr>
          <w:lang w:val="es-ES_tradnl"/>
        </w:rPr>
        <w:t xml:space="preserve"> a las Partes que aún no lo hayan hecho a que ratifiquen la Enmienda sobre la Prohibición; </w:t>
      </w:r>
    </w:p>
    <w:p w14:paraId="44E1EEDC" w14:textId="77777777" w:rsidR="00245BBD" w:rsidRPr="00447994" w:rsidRDefault="00245BBD" w:rsidP="00245BBD">
      <w:pPr>
        <w:pStyle w:val="Normal-pool"/>
        <w:numPr>
          <w:ilvl w:val="0"/>
          <w:numId w:val="3"/>
        </w:numPr>
        <w:spacing w:after="120"/>
        <w:ind w:left="1247" w:firstLine="624"/>
        <w:rPr>
          <w:color w:val="000000"/>
          <w:lang w:val="es-ES_tradnl"/>
        </w:rPr>
      </w:pPr>
      <w:r w:rsidRPr="00447994">
        <w:rPr>
          <w:i/>
          <w:iCs/>
          <w:lang w:val="es-ES_tradnl"/>
        </w:rPr>
        <w:t>Invita</w:t>
      </w:r>
      <w:r w:rsidRPr="00447994">
        <w:rPr>
          <w:lang w:val="es-ES_tradnl"/>
        </w:rPr>
        <w:t xml:space="preserve"> a las Partes a seguir adoptando medidas para alentar y ayudar a otras Partes a ratificar y poner en práctica la Enmienda sobre la Prohibición; </w:t>
      </w:r>
    </w:p>
    <w:p w14:paraId="2A953960" w14:textId="77777777" w:rsidR="00245BBD" w:rsidRPr="00447994" w:rsidRDefault="00245BBD" w:rsidP="00245BBD">
      <w:pPr>
        <w:pStyle w:val="Normal-pool"/>
        <w:numPr>
          <w:ilvl w:val="0"/>
          <w:numId w:val="3"/>
        </w:numPr>
        <w:spacing w:after="120"/>
        <w:ind w:left="1247" w:firstLine="624"/>
        <w:rPr>
          <w:color w:val="000000"/>
          <w:lang w:val="es-ES_tradnl"/>
        </w:rPr>
      </w:pPr>
      <w:r w:rsidRPr="00447994">
        <w:rPr>
          <w:i/>
          <w:iCs/>
          <w:lang w:val="es-ES_tradnl"/>
        </w:rPr>
        <w:t>Solicita</w:t>
      </w:r>
      <w:r w:rsidRPr="00447994">
        <w:rPr>
          <w:lang w:val="es-ES_tradnl"/>
        </w:rPr>
        <w:t xml:space="preserve"> a la Secretaría que, en función de los recursos disponibles y previa solicitud de los interesados, siga ayudando a las Partes que experimenten dificultades para ratificar la Enmienda sobre la Prohibición, por </w:t>
      </w:r>
      <w:proofErr w:type="gramStart"/>
      <w:r w:rsidRPr="00447994">
        <w:rPr>
          <w:lang w:val="es-ES_tradnl"/>
        </w:rPr>
        <w:t>ejemplo</w:t>
      </w:r>
      <w:proofErr w:type="gramEnd"/>
      <w:r w:rsidRPr="00447994">
        <w:rPr>
          <w:lang w:val="es-ES_tradnl"/>
        </w:rPr>
        <w:t xml:space="preserve"> mediante actividades de asistencia técnica. </w:t>
      </w:r>
    </w:p>
    <w:p w14:paraId="5E5F9B2A" w14:textId="5B32E4BC" w:rsidR="00F935A6" w:rsidRPr="00245BBD" w:rsidRDefault="00F935A6" w:rsidP="00245BBD">
      <w:pPr>
        <w:pStyle w:val="Normal-pool"/>
        <w:rPr>
          <w:lang w:val="es-ES_tradnl"/>
        </w:rPr>
      </w:pPr>
    </w:p>
    <w:sectPr w:rsidR="00F935A6" w:rsidRPr="00245B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DDB29" w14:textId="77777777" w:rsidR="00DD54D8" w:rsidRDefault="00DD54D8" w:rsidP="00162093">
      <w:pPr>
        <w:spacing w:after="0" w:line="240" w:lineRule="auto"/>
      </w:pPr>
      <w:r>
        <w:separator/>
      </w:r>
    </w:p>
  </w:endnote>
  <w:endnote w:type="continuationSeparator" w:id="0">
    <w:p w14:paraId="3624C2D0" w14:textId="77777777" w:rsidR="00DD54D8" w:rsidRDefault="00DD54D8" w:rsidP="001620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9392B" w14:textId="77777777" w:rsidR="00DD54D8" w:rsidRDefault="00DD54D8" w:rsidP="00162093">
      <w:pPr>
        <w:spacing w:after="0" w:line="240" w:lineRule="auto"/>
      </w:pPr>
      <w:r>
        <w:separator/>
      </w:r>
    </w:p>
  </w:footnote>
  <w:footnote w:type="continuationSeparator" w:id="0">
    <w:p w14:paraId="3EBD9F85" w14:textId="77777777" w:rsidR="00DD54D8" w:rsidRDefault="00DD54D8" w:rsidP="001620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39563191">
    <w:abstractNumId w:val="0"/>
  </w:num>
  <w:num w:numId="2" w16cid:durableId="856044302">
    <w:abstractNumId w:val="1"/>
  </w:num>
  <w:num w:numId="3" w16cid:durableId="4621207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162093"/>
    <w:rsid w:val="00245BBD"/>
    <w:rsid w:val="00836B73"/>
    <w:rsid w:val="00C84536"/>
    <w:rsid w:val="00DD54D8"/>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764</Characters>
  <Application>Microsoft Office Word</Application>
  <DocSecurity>0</DocSecurity>
  <Lines>6</Lines>
  <Paragraphs>1</Paragraphs>
  <ScaleCrop>false</ScaleCrop>
  <Company/>
  <LinksUpToDate>false</LinksUpToDate>
  <CharactersWithSpaces>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2023-05-22T13:19:00Z</dcterms:created>
  <dcterms:modified xsi:type="dcterms:W3CDTF">2023-05-22T13:19:00Z</dcterms:modified>
</cp:coreProperties>
</file>