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32095" w14:textId="77777777" w:rsidR="002C0517" w:rsidRPr="002A632F" w:rsidRDefault="002C0517" w:rsidP="002C0517">
      <w:pPr>
        <w:pStyle w:val="CH1"/>
        <w:tabs>
          <w:tab w:val="left" w:pos="1814"/>
          <w:tab w:val="left" w:pos="2381"/>
          <w:tab w:val="left" w:pos="2948"/>
          <w:tab w:val="left" w:pos="3515"/>
          <w:tab w:val="left" w:pos="4082"/>
        </w:tabs>
        <w:jc w:val="both"/>
        <w:rPr>
          <w:rFonts w:eastAsia="SimSun"/>
          <w:sz w:val="24"/>
          <w:szCs w:val="24"/>
          <w:lang w:eastAsia="zh-CN"/>
        </w:rPr>
      </w:pPr>
      <w:r w:rsidRPr="002A632F">
        <w:rPr>
          <w:rFonts w:eastAsia="SimSun"/>
          <w:sz w:val="24"/>
          <w:szCs w:val="24"/>
          <w:lang w:val="zh-CN" w:eastAsia="zh-CN"/>
        </w:rPr>
        <w:tab/>
      </w:r>
      <w:r w:rsidRPr="002A632F">
        <w:rPr>
          <w:rFonts w:eastAsia="SimSun"/>
          <w:sz w:val="24"/>
          <w:szCs w:val="24"/>
          <w:lang w:val="zh-CN" w:eastAsia="zh-CN"/>
        </w:rPr>
        <w:tab/>
      </w:r>
      <w:r w:rsidRPr="00866584">
        <w:rPr>
          <w:rFonts w:eastAsia="SimHei"/>
          <w:bCs/>
          <w:sz w:val="32"/>
          <w:szCs w:val="32"/>
          <w:lang w:val="zh-CN" w:eastAsia="zh-CN"/>
        </w:rPr>
        <w:t>BC-15/5</w:t>
      </w:r>
      <w:r w:rsidRPr="00866584">
        <w:rPr>
          <w:rFonts w:eastAsia="SimHei"/>
          <w:bCs/>
          <w:sz w:val="32"/>
          <w:szCs w:val="32"/>
          <w:lang w:val="zh-CN" w:eastAsia="zh-CN"/>
        </w:rPr>
        <w:t>：制定无害环境管理准则</w:t>
      </w:r>
    </w:p>
    <w:p w14:paraId="4485CA99" w14:textId="77777777" w:rsidR="002C0517" w:rsidRPr="00866584" w:rsidRDefault="002C0517" w:rsidP="002C0517">
      <w:pPr>
        <w:pStyle w:val="Normal-pool"/>
        <w:tabs>
          <w:tab w:val="clear" w:pos="1247"/>
          <w:tab w:val="clear" w:pos="1814"/>
        </w:tabs>
        <w:spacing w:after="120"/>
        <w:ind w:left="1247" w:firstLine="624"/>
        <w:jc w:val="both"/>
        <w:rPr>
          <w:rFonts w:ascii="KaiTi" w:eastAsia="KaiTi" w:hAnsi="KaiTi"/>
          <w:i/>
          <w:iCs/>
          <w:sz w:val="24"/>
          <w:szCs w:val="24"/>
        </w:rPr>
      </w:pPr>
      <w:proofErr w:type="spellStart"/>
      <w:r w:rsidRPr="00866584">
        <w:rPr>
          <w:rFonts w:ascii="KaiTi" w:eastAsia="KaiTi" w:hAnsi="KaiTi"/>
          <w:sz w:val="24"/>
          <w:szCs w:val="24"/>
          <w:lang w:val="zh-CN"/>
        </w:rPr>
        <w:t>缔约方大会</w:t>
      </w:r>
      <w:proofErr w:type="spellEnd"/>
      <w:r w:rsidRPr="00866584">
        <w:rPr>
          <w:rFonts w:ascii="KaiTi" w:eastAsia="KaiTi" w:hAnsi="KaiTi"/>
          <w:sz w:val="24"/>
          <w:szCs w:val="24"/>
          <w:lang w:val="zh-CN"/>
        </w:rPr>
        <w:t>，</w:t>
      </w:r>
    </w:p>
    <w:p w14:paraId="5BBA1A95" w14:textId="77777777" w:rsidR="002C0517" w:rsidRPr="002A632F" w:rsidRDefault="002C0517" w:rsidP="002C0517">
      <w:pPr>
        <w:pStyle w:val="Normal-pool"/>
        <w:numPr>
          <w:ilvl w:val="0"/>
          <w:numId w:val="4"/>
        </w:numPr>
        <w:tabs>
          <w:tab w:val="clear" w:pos="1247"/>
          <w:tab w:val="clear" w:pos="1814"/>
        </w:tabs>
        <w:spacing w:after="120"/>
        <w:ind w:left="1247" w:firstLine="624"/>
        <w:jc w:val="both"/>
        <w:rPr>
          <w:rFonts w:eastAsia="SimSun"/>
          <w:sz w:val="24"/>
          <w:szCs w:val="24"/>
          <w:lang w:eastAsia="zh-CN"/>
        </w:rPr>
      </w:pPr>
      <w:r w:rsidRPr="00866584">
        <w:rPr>
          <w:rFonts w:ascii="KaiTi" w:eastAsia="KaiTi" w:hAnsi="KaiTi"/>
          <w:sz w:val="24"/>
          <w:szCs w:val="24"/>
          <w:lang w:val="zh-CN" w:eastAsia="zh-CN"/>
        </w:rPr>
        <w:t>通过</w:t>
      </w:r>
      <w:r w:rsidRPr="002A632F">
        <w:rPr>
          <w:rFonts w:eastAsia="SimSun"/>
          <w:sz w:val="24"/>
          <w:szCs w:val="24"/>
          <w:lang w:val="zh-CN" w:eastAsia="zh-CN"/>
        </w:rPr>
        <w:t>确保越境转移通知符合无害环境管理要求的利益攸关方实用手册。</w:t>
      </w:r>
      <w:r w:rsidRPr="002A632F">
        <w:rPr>
          <w:rFonts w:eastAsia="SimSun"/>
          <w:sz w:val="24"/>
          <w:szCs w:val="24"/>
          <w:vertAlign w:val="superscript"/>
          <w:lang w:val="zh-CN"/>
        </w:rPr>
        <w:footnoteReference w:id="1"/>
      </w:r>
      <w:bookmarkStart w:id="1" w:name="_Hlk106802519"/>
      <w:bookmarkEnd w:id="1"/>
    </w:p>
    <w:p w14:paraId="0D9ABF84" w14:textId="77777777" w:rsidR="002C0517" w:rsidRPr="002A632F" w:rsidRDefault="002C0517" w:rsidP="002C0517">
      <w:pPr>
        <w:pStyle w:val="Normal-pool"/>
        <w:numPr>
          <w:ilvl w:val="0"/>
          <w:numId w:val="4"/>
        </w:numPr>
        <w:tabs>
          <w:tab w:val="clear" w:pos="1247"/>
          <w:tab w:val="clear" w:pos="1814"/>
        </w:tabs>
        <w:spacing w:after="120"/>
        <w:ind w:left="1247" w:firstLine="624"/>
        <w:jc w:val="both"/>
        <w:rPr>
          <w:rFonts w:eastAsia="SimSun"/>
          <w:sz w:val="24"/>
          <w:szCs w:val="24"/>
          <w:lang w:eastAsia="zh-CN"/>
        </w:rPr>
      </w:pPr>
      <w:bookmarkStart w:id="2" w:name="_Hlk106786813"/>
      <w:r w:rsidRPr="00866584">
        <w:rPr>
          <w:rFonts w:ascii="KaiTi" w:eastAsia="KaiTi" w:hAnsi="KaiTi"/>
          <w:sz w:val="24"/>
          <w:szCs w:val="24"/>
          <w:lang w:val="zh-CN" w:eastAsia="zh-CN"/>
        </w:rPr>
        <w:t>邀请</w:t>
      </w:r>
      <w:r w:rsidRPr="002A632F">
        <w:rPr>
          <w:rFonts w:eastAsia="SimSun"/>
          <w:sz w:val="24"/>
          <w:szCs w:val="24"/>
          <w:lang w:val="zh-CN" w:eastAsia="zh-CN"/>
        </w:rPr>
        <w:t>缔约方和其他各方开展活动，以使用、促进和传播无害环境管理工具包；</w:t>
      </w:r>
    </w:p>
    <w:bookmarkEnd w:id="2"/>
    <w:p w14:paraId="04B1E853" w14:textId="77777777" w:rsidR="002C0517" w:rsidRPr="002A632F" w:rsidRDefault="002C0517" w:rsidP="002C0517">
      <w:pPr>
        <w:pStyle w:val="Normal-pool"/>
        <w:numPr>
          <w:ilvl w:val="0"/>
          <w:numId w:val="4"/>
        </w:numPr>
        <w:tabs>
          <w:tab w:val="clear" w:pos="1247"/>
          <w:tab w:val="clear" w:pos="1814"/>
        </w:tabs>
        <w:spacing w:after="120"/>
        <w:ind w:left="1247" w:firstLine="624"/>
        <w:jc w:val="both"/>
        <w:rPr>
          <w:rFonts w:eastAsia="SimSun"/>
          <w:sz w:val="24"/>
          <w:szCs w:val="24"/>
          <w:lang w:eastAsia="zh-CN"/>
        </w:rPr>
      </w:pPr>
      <w:r w:rsidRPr="00866584">
        <w:rPr>
          <w:rFonts w:ascii="KaiTi" w:eastAsia="KaiTi" w:hAnsi="KaiTi"/>
          <w:sz w:val="24"/>
          <w:szCs w:val="24"/>
          <w:lang w:val="zh-CN" w:eastAsia="zh-CN"/>
        </w:rPr>
        <w:t>又邀请</w:t>
      </w:r>
      <w:r w:rsidRPr="002A632F">
        <w:rPr>
          <w:rFonts w:eastAsia="SimSun"/>
          <w:sz w:val="24"/>
          <w:szCs w:val="24"/>
          <w:lang w:val="zh-CN" w:eastAsia="zh-CN"/>
        </w:rPr>
        <w:t>缔约方和其他各方向秘书处提供关于危险废物和其他废物无害环境管理的信息，特别是可促进执行工作和补充无害环境管理工具包的活动、举措和案例研究，并请秘书处在巴塞尔公约网站上公布此类信息；</w:t>
      </w:r>
    </w:p>
    <w:p w14:paraId="382A6290" w14:textId="77777777" w:rsidR="002C0517" w:rsidRPr="002A632F" w:rsidRDefault="002C0517" w:rsidP="002C0517">
      <w:pPr>
        <w:pStyle w:val="Normal-pool"/>
        <w:numPr>
          <w:ilvl w:val="0"/>
          <w:numId w:val="4"/>
        </w:numPr>
        <w:tabs>
          <w:tab w:val="clear" w:pos="1247"/>
          <w:tab w:val="clear" w:pos="1814"/>
        </w:tabs>
        <w:spacing w:after="120"/>
        <w:ind w:left="1247" w:firstLine="624"/>
        <w:jc w:val="both"/>
        <w:rPr>
          <w:rFonts w:eastAsia="SimSun"/>
          <w:sz w:val="24"/>
          <w:szCs w:val="24"/>
          <w:lang w:eastAsia="zh-CN"/>
        </w:rPr>
      </w:pPr>
      <w:r w:rsidRPr="00866584">
        <w:rPr>
          <w:rFonts w:ascii="KaiTi" w:eastAsia="KaiTi" w:hAnsi="KaiTi"/>
          <w:sz w:val="24"/>
          <w:szCs w:val="24"/>
          <w:lang w:val="zh-CN" w:eastAsia="zh-CN"/>
        </w:rPr>
        <w:t>请</w:t>
      </w:r>
      <w:r w:rsidRPr="002A632F">
        <w:rPr>
          <w:rFonts w:eastAsia="SimSun"/>
          <w:sz w:val="24"/>
          <w:szCs w:val="24"/>
          <w:lang w:val="zh-CN" w:eastAsia="zh-CN"/>
        </w:rPr>
        <w:t>秘书处在具备资源的情况下开展促进和传播工具包的活动；</w:t>
      </w:r>
    </w:p>
    <w:p w14:paraId="4D1400CF" w14:textId="77777777" w:rsidR="002C0517" w:rsidRPr="002A632F" w:rsidRDefault="002C0517" w:rsidP="002C0517">
      <w:pPr>
        <w:pStyle w:val="Normal-pool"/>
        <w:numPr>
          <w:ilvl w:val="0"/>
          <w:numId w:val="4"/>
        </w:numPr>
        <w:tabs>
          <w:tab w:val="clear" w:pos="1247"/>
          <w:tab w:val="clear" w:pos="1814"/>
        </w:tabs>
        <w:spacing w:after="120"/>
        <w:ind w:left="1247" w:firstLine="624"/>
        <w:jc w:val="both"/>
        <w:rPr>
          <w:rFonts w:eastAsia="SimSun"/>
          <w:iCs/>
          <w:sz w:val="24"/>
          <w:szCs w:val="24"/>
          <w:lang w:eastAsia="zh-CN"/>
        </w:rPr>
      </w:pPr>
      <w:r w:rsidRPr="00866584">
        <w:rPr>
          <w:rFonts w:ascii="KaiTi" w:eastAsia="KaiTi" w:hAnsi="KaiTi"/>
          <w:sz w:val="24"/>
          <w:szCs w:val="24"/>
          <w:lang w:val="zh-CN" w:eastAsia="zh-CN"/>
        </w:rPr>
        <w:t>回顾</w:t>
      </w:r>
      <w:r w:rsidRPr="002A632F">
        <w:rPr>
          <w:rFonts w:eastAsia="SimSun"/>
          <w:sz w:val="24"/>
          <w:szCs w:val="24"/>
          <w:lang w:val="zh-CN" w:eastAsia="zh-CN"/>
        </w:rPr>
        <w:t>BC-13/3</w:t>
      </w:r>
      <w:r w:rsidRPr="002A632F">
        <w:rPr>
          <w:rFonts w:eastAsia="SimSun"/>
          <w:sz w:val="24"/>
          <w:szCs w:val="24"/>
          <w:lang w:val="zh-CN" w:eastAsia="zh-CN"/>
        </w:rPr>
        <w:t>号决定，其中缔约方大会邀请缔约方和其他各方向秘书处提交有关防止和尽量减少废物方面的更多良好做法和实例；现将这一邀请延长至</w:t>
      </w:r>
      <w:r w:rsidRPr="002A632F">
        <w:rPr>
          <w:rFonts w:eastAsia="SimSun"/>
          <w:sz w:val="24"/>
          <w:szCs w:val="24"/>
          <w:lang w:val="zh-CN" w:eastAsia="zh-CN"/>
        </w:rPr>
        <w:t>2022</w:t>
      </w:r>
      <w:r w:rsidRPr="002A632F">
        <w:rPr>
          <w:rFonts w:eastAsia="SimSun"/>
          <w:sz w:val="24"/>
          <w:szCs w:val="24"/>
          <w:lang w:val="zh-CN" w:eastAsia="zh-CN"/>
        </w:rPr>
        <w:t>年</w:t>
      </w:r>
      <w:r w:rsidRPr="002A632F">
        <w:rPr>
          <w:rFonts w:eastAsia="SimSun"/>
          <w:sz w:val="24"/>
          <w:szCs w:val="24"/>
          <w:lang w:val="zh-CN" w:eastAsia="zh-CN"/>
        </w:rPr>
        <w:t>12</w:t>
      </w:r>
      <w:r w:rsidRPr="002A632F">
        <w:rPr>
          <w:rFonts w:eastAsia="SimSun"/>
          <w:sz w:val="24"/>
          <w:szCs w:val="24"/>
          <w:lang w:val="zh-CN" w:eastAsia="zh-CN"/>
        </w:rPr>
        <w:t>月</w:t>
      </w:r>
      <w:r w:rsidRPr="002A632F">
        <w:rPr>
          <w:rFonts w:eastAsia="SimSun"/>
          <w:sz w:val="24"/>
          <w:szCs w:val="24"/>
          <w:lang w:val="zh-CN" w:eastAsia="zh-CN"/>
        </w:rPr>
        <w:t>31</w:t>
      </w:r>
      <w:r w:rsidRPr="002A632F">
        <w:rPr>
          <w:rFonts w:eastAsia="SimSun"/>
          <w:sz w:val="24"/>
          <w:szCs w:val="24"/>
          <w:lang w:val="zh-CN" w:eastAsia="zh-CN"/>
        </w:rPr>
        <w:t>日，并请秘书处在巴塞尔公约网站上公布收到的所有信息；</w:t>
      </w:r>
    </w:p>
    <w:p w14:paraId="136FDE84" w14:textId="77777777" w:rsidR="002C0517" w:rsidRPr="002A632F" w:rsidRDefault="002C0517" w:rsidP="002C0517">
      <w:pPr>
        <w:pStyle w:val="Normal-pool"/>
        <w:numPr>
          <w:ilvl w:val="0"/>
          <w:numId w:val="4"/>
        </w:numPr>
        <w:tabs>
          <w:tab w:val="clear" w:pos="1247"/>
          <w:tab w:val="clear" w:pos="1814"/>
        </w:tabs>
        <w:spacing w:after="120"/>
        <w:ind w:left="1247" w:firstLine="624"/>
        <w:jc w:val="both"/>
        <w:rPr>
          <w:rFonts w:eastAsia="SimSun"/>
          <w:iCs/>
          <w:sz w:val="24"/>
          <w:szCs w:val="24"/>
          <w:lang w:eastAsia="zh-CN"/>
        </w:rPr>
      </w:pPr>
      <w:r w:rsidRPr="00866584">
        <w:rPr>
          <w:rFonts w:ascii="KaiTi" w:eastAsia="KaiTi" w:hAnsi="KaiTi"/>
          <w:sz w:val="24"/>
          <w:szCs w:val="24"/>
          <w:lang w:val="zh-CN" w:eastAsia="zh-CN"/>
        </w:rPr>
        <w:t>请</w:t>
      </w:r>
      <w:r w:rsidRPr="002A632F">
        <w:rPr>
          <w:rFonts w:eastAsia="SimSun"/>
          <w:sz w:val="24"/>
          <w:szCs w:val="24"/>
          <w:lang w:val="zh-CN" w:eastAsia="zh-CN"/>
        </w:rPr>
        <w:t>秘书处在具备资源的情况下，作为其防止和尽量减少废物的技术援助活动的一部分，与发展中国家缔约方和经济转型缔约方合作，在《巴塞尔公约》</w:t>
      </w:r>
      <w:proofErr w:type="gramStart"/>
      <w:r w:rsidRPr="002A632F">
        <w:rPr>
          <w:rFonts w:eastAsia="SimSun"/>
          <w:sz w:val="24"/>
          <w:szCs w:val="24"/>
          <w:lang w:val="zh-CN" w:eastAsia="zh-CN"/>
        </w:rPr>
        <w:t>下现有</w:t>
      </w:r>
      <w:proofErr w:type="gramEnd"/>
      <w:r w:rsidRPr="002A632F">
        <w:rPr>
          <w:rFonts w:eastAsia="SimSun"/>
          <w:sz w:val="24"/>
          <w:szCs w:val="24"/>
          <w:lang w:val="zh-CN" w:eastAsia="zh-CN"/>
        </w:rPr>
        <w:t>指导意见的基础上，审议针对本决定第</w:t>
      </w:r>
      <w:r w:rsidRPr="002A632F">
        <w:rPr>
          <w:rFonts w:eastAsia="SimSun"/>
          <w:sz w:val="24"/>
          <w:szCs w:val="24"/>
          <w:lang w:val="zh-CN" w:eastAsia="zh-CN"/>
        </w:rPr>
        <w:t>5</w:t>
      </w:r>
      <w:r w:rsidRPr="002A632F">
        <w:rPr>
          <w:rFonts w:eastAsia="SimSun"/>
          <w:sz w:val="24"/>
          <w:szCs w:val="24"/>
          <w:lang w:val="zh-CN" w:eastAsia="zh-CN"/>
        </w:rPr>
        <w:t>段所收到的现有良好做法和实例，并制定可应对其特殊情况的做法实例。</w:t>
      </w:r>
    </w:p>
    <w:p w14:paraId="53A24FD6" w14:textId="53A09A61" w:rsidR="00F935A6" w:rsidRPr="002C0517" w:rsidRDefault="00F935A6" w:rsidP="002C0517">
      <w:pPr>
        <w:pStyle w:val="Normal-pool"/>
        <w:jc w:val="both"/>
        <w:rPr>
          <w:rFonts w:eastAsia="SimSun"/>
          <w:sz w:val="24"/>
          <w:szCs w:val="24"/>
          <w:lang w:eastAsia="zh-CN"/>
        </w:rPr>
      </w:pPr>
    </w:p>
    <w:sectPr w:rsidR="00F935A6" w:rsidRPr="002C05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C5FBA4" w14:textId="77777777" w:rsidR="00FB7DB7" w:rsidRDefault="00FB7DB7" w:rsidP="00FC11E6">
      <w:pPr>
        <w:spacing w:after="0" w:line="240" w:lineRule="auto"/>
      </w:pPr>
      <w:r>
        <w:separator/>
      </w:r>
    </w:p>
  </w:endnote>
  <w:endnote w:type="continuationSeparator" w:id="0">
    <w:p w14:paraId="0674824C" w14:textId="77777777" w:rsidR="00FB7DB7" w:rsidRDefault="00FB7DB7" w:rsidP="00FC1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altName w:val="Microsoft YaHe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10FB4" w14:textId="77777777" w:rsidR="00FB7DB7" w:rsidRDefault="00FB7DB7" w:rsidP="00FC11E6">
      <w:pPr>
        <w:spacing w:after="0" w:line="240" w:lineRule="auto"/>
      </w:pPr>
      <w:r>
        <w:separator/>
      </w:r>
    </w:p>
  </w:footnote>
  <w:footnote w:type="continuationSeparator" w:id="0">
    <w:p w14:paraId="45BF65D9" w14:textId="77777777" w:rsidR="00FB7DB7" w:rsidRDefault="00FB7DB7" w:rsidP="00FC11E6">
      <w:pPr>
        <w:spacing w:after="0" w:line="240" w:lineRule="auto"/>
      </w:pPr>
      <w:r>
        <w:continuationSeparator/>
      </w:r>
    </w:p>
  </w:footnote>
  <w:footnote w:id="1">
    <w:p w14:paraId="46DE287E" w14:textId="77777777" w:rsidR="002C0517" w:rsidRPr="003732F8" w:rsidRDefault="002C0517" w:rsidP="002C0517">
      <w:pPr>
        <w:pStyle w:val="Normal-pool"/>
        <w:spacing w:before="20" w:after="40"/>
        <w:ind w:left="1247"/>
        <w:rPr>
          <w:rFonts w:eastAsia="SimSun"/>
        </w:rPr>
      </w:pPr>
      <w:r w:rsidRPr="003732F8">
        <w:rPr>
          <w:rFonts w:eastAsia="SimSun"/>
          <w:vertAlign w:val="superscript"/>
          <w:lang w:val="zh-CN"/>
        </w:rPr>
        <w:footnoteRef/>
      </w:r>
      <w:r w:rsidRPr="003732F8">
        <w:rPr>
          <w:rFonts w:eastAsia="SimSun"/>
        </w:rPr>
        <w:t xml:space="preserve"> UNEP/CHW.15/5/Add.1/Rev.1</w:t>
      </w:r>
      <w:r w:rsidRPr="003732F8">
        <w:rPr>
          <w:rFonts w:eastAsia="SimSun"/>
          <w:lang w:val="zh-CN"/>
        </w:rPr>
        <w:t>。</w:t>
      </w:r>
      <w:bookmarkStart w:id="0" w:name="_Hlk106802731"/>
      <w:bookmarkEnd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71516194">
    <w:abstractNumId w:val="1"/>
    <w:lvlOverride w:ilvl="0">
      <w:lvl w:ilvl="0" w:tplc="9260D008">
        <w:start w:val="1"/>
        <w:numFmt w:val="decimal"/>
        <w:lvlText w:val="%1."/>
        <w:lvlJc w:val="left"/>
        <w:pPr>
          <w:ind w:left="720" w:hanging="360"/>
        </w:pPr>
        <w:rPr>
          <w:i w:val="0"/>
          <w:iCs/>
        </w:rPr>
      </w:lvl>
    </w:lvlOverride>
  </w:num>
  <w:num w:numId="2" w16cid:durableId="1342774805">
    <w:abstractNumId w:val="2"/>
    <w:lvlOverride w:ilvl="0">
      <w:lvl w:ilvl="0" w:tplc="0B82E394">
        <w:start w:val="1"/>
        <w:numFmt w:val="lowerLetter"/>
        <w:lvlText w:val="(%1)"/>
        <w:lvlJc w:val="left"/>
        <w:pPr>
          <w:ind w:left="720" w:hanging="360"/>
        </w:pPr>
        <w:rPr>
          <w:rFonts w:hint="default"/>
        </w:rPr>
      </w:lvl>
    </w:lvlOverride>
  </w:num>
  <w:num w:numId="3" w16cid:durableId="541482266">
    <w:abstractNumId w:val="3"/>
    <w:lvlOverride w:ilvl="0">
      <w:lvl w:ilvl="0" w:tplc="FFFFFFFF">
        <w:start w:val="1"/>
        <w:numFmt w:val="decimal"/>
        <w:lvlText w:val="%1."/>
        <w:lvlJc w:val="left"/>
        <w:pPr>
          <w:ind w:left="720" w:hanging="360"/>
        </w:pPr>
        <w:rPr>
          <w:i w:val="0"/>
          <w:iCs/>
        </w:rPr>
      </w:lvl>
    </w:lvlOverride>
  </w:num>
  <w:num w:numId="4" w16cid:durableId="76900579">
    <w:abstractNumId w:val="0"/>
    <w:lvlOverride w:ilvl="0">
      <w:lvl w:ilvl="0" w:tplc="0809000F">
        <w:start w:val="1"/>
        <w:numFmt w:val="decimal"/>
        <w:lvlText w:val="%1."/>
        <w:lvlJc w:val="left"/>
        <w:pPr>
          <w:ind w:left="72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1E6"/>
    <w:rsid w:val="002C0517"/>
    <w:rsid w:val="00836B73"/>
    <w:rsid w:val="009A214F"/>
    <w:rsid w:val="00C84536"/>
    <w:rsid w:val="00F935A6"/>
    <w:rsid w:val="00FA6F08"/>
    <w:rsid w:val="00FB7DB7"/>
    <w:rsid w:val="00FC1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5F9A4"/>
  <w15:chartTrackingRefBased/>
  <w15:docId w15:val="{0078715D-665C-4BE1-9198-8263BB860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GB"/>
    </w:rPr>
  </w:style>
  <w:style w:type="paragraph" w:customStyle="1" w:styleId="CH2">
    <w:name w:val="CH2"/>
    <w:next w:val="Normal"/>
    <w:link w:val="CH2Char"/>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val="en-GB" w:eastAsia="en-GB"/>
    </w:rPr>
  </w:style>
  <w:style w:type="character" w:styleId="Hyperlink">
    <w:name w:val="Hyperlink"/>
    <w:uiPriority w:val="99"/>
    <w:unhideWhenUsed/>
    <w:rsid w:val="00FC11E6"/>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FC11E6"/>
    <w:rPr>
      <w:rFonts w:ascii="Times New Roman" w:eastAsia="SimSun" w:hAnsi="Times New Roman"/>
      <w:color w:val="000000"/>
      <w:spacing w:val="-5"/>
      <w:w w:val="130"/>
      <w:position w:val="-4"/>
      <w:szCs w:val="18"/>
      <w:vertAlign w:val="superscript"/>
    </w:rPr>
  </w:style>
  <w:style w:type="paragraph" w:customStyle="1" w:styleId="Normal-pool">
    <w:name w:val="Normal-pool"/>
    <w:link w:val="Normal-poolChar"/>
    <w:qFormat/>
    <w:rsid w:val="00FC11E6"/>
    <w:pPr>
      <w:tabs>
        <w:tab w:val="left" w:pos="624"/>
        <w:tab w:val="left" w:pos="1247"/>
        <w:tab w:val="left" w:pos="1814"/>
      </w:tabs>
      <w:spacing w:after="0" w:line="240" w:lineRule="auto"/>
    </w:pPr>
    <w:rPr>
      <w:rFonts w:ascii="Times New Roman" w:eastAsiaTheme="minorHAnsi" w:hAnsi="Times New Roman" w:cs="Times New Roman"/>
      <w:sz w:val="20"/>
      <w:szCs w:val="20"/>
      <w:lang w:val="en-GB" w:eastAsia="en-GB"/>
    </w:rPr>
  </w:style>
  <w:style w:type="character" w:customStyle="1" w:styleId="Normal-poolChar">
    <w:name w:val="Normal-pool Char"/>
    <w:link w:val="Normal-pool"/>
    <w:locked/>
    <w:rsid w:val="00FC11E6"/>
    <w:rPr>
      <w:rFonts w:ascii="Times New Roman" w:eastAsiaTheme="minorHAnsi" w:hAnsi="Times New Roman" w:cs="Times New Roman"/>
      <w:sz w:val="20"/>
      <w:szCs w:val="20"/>
      <w:lang w:val="en-GB" w:eastAsia="en-GB"/>
    </w:rPr>
  </w:style>
  <w:style w:type="character" w:customStyle="1" w:styleId="CH2Char">
    <w:name w:val="CH2 Char"/>
    <w:link w:val="CH2"/>
    <w:rsid w:val="00FC11E6"/>
    <w:rPr>
      <w:rFonts w:ascii="Times New Roman" w:eastAsiaTheme="minorHAnsi" w:hAnsi="Times New Roman" w:cs="Times New Roman"/>
      <w:b/>
      <w:sz w:val="24"/>
      <w:szCs w:val="24"/>
      <w:lang w:val="en-GB" w:eastAsia="en-GB"/>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FC11E6"/>
    <w:pPr>
      <w:spacing w:before="120" w:line="240" w:lineRule="exact"/>
      <w:jc w:val="both"/>
    </w:pPr>
    <w:rPr>
      <w:rFonts w:ascii="Times New Roman" w:eastAsia="SimSun" w:hAnsi="Times New Roman"/>
      <w:color w:val="000000"/>
      <w:spacing w:val="-5"/>
      <w:w w:val="130"/>
      <w:position w:val="-4"/>
      <w:szCs w:val="18"/>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Words>
  <Characters>379</Characters>
  <Application>Microsoft Office Word</Application>
  <DocSecurity>0</DocSecurity>
  <Lines>3</Lines>
  <Paragraphs>1</Paragraphs>
  <ScaleCrop>false</ScaleCrop>
  <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2023-04-25T09:41:00Z</dcterms:created>
  <dcterms:modified xsi:type="dcterms:W3CDTF">2023-04-25T09:41:00Z</dcterms:modified>
</cp:coreProperties>
</file>