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DEF59" w14:textId="77777777" w:rsidR="00790376" w:rsidRPr="00B831E7" w:rsidRDefault="00790376" w:rsidP="00790376">
      <w:pPr>
        <w:pStyle w:val="CH1"/>
        <w:spacing w:before="0"/>
      </w:pPr>
      <w:r w:rsidRPr="00B831E7">
        <w:tab/>
      </w:r>
      <w:r w:rsidRPr="00B831E7">
        <w:tab/>
        <w:t>BC-15/5: Developing guidelines for environmentally sound management</w:t>
      </w:r>
    </w:p>
    <w:p w14:paraId="07B3E98D" w14:textId="77777777" w:rsidR="00790376" w:rsidRPr="00B831E7" w:rsidRDefault="00790376" w:rsidP="00790376">
      <w:pPr>
        <w:pStyle w:val="Normal-pool"/>
        <w:tabs>
          <w:tab w:val="clear" w:pos="1247"/>
          <w:tab w:val="clear" w:pos="1814"/>
        </w:tabs>
        <w:spacing w:after="120"/>
        <w:ind w:left="1247" w:firstLine="624"/>
        <w:rPr>
          <w:i/>
          <w:iCs/>
        </w:rPr>
      </w:pPr>
      <w:r w:rsidRPr="00B831E7">
        <w:rPr>
          <w:i/>
          <w:iCs/>
        </w:rPr>
        <w:t>The Conference of the Parties</w:t>
      </w:r>
    </w:p>
    <w:p w14:paraId="1C136CE3" w14:textId="77777777" w:rsidR="00790376" w:rsidRPr="00B831E7" w:rsidRDefault="00790376" w:rsidP="00790376">
      <w:pPr>
        <w:pStyle w:val="Normal-pool"/>
        <w:numPr>
          <w:ilvl w:val="0"/>
          <w:numId w:val="4"/>
        </w:numPr>
        <w:tabs>
          <w:tab w:val="clear" w:pos="1247"/>
          <w:tab w:val="clear" w:pos="1814"/>
          <w:tab w:val="clear" w:pos="2381"/>
          <w:tab w:val="clear" w:pos="2948"/>
          <w:tab w:val="clear" w:pos="3515"/>
          <w:tab w:val="clear" w:pos="4082"/>
        </w:tabs>
        <w:spacing w:after="120"/>
        <w:ind w:left="1247" w:firstLine="624"/>
      </w:pPr>
      <w:r w:rsidRPr="00B831E7">
        <w:rPr>
          <w:i/>
          <w:iCs/>
        </w:rPr>
        <w:t>Adopts</w:t>
      </w:r>
      <w:r w:rsidRPr="00B831E7">
        <w:t xml:space="preserve"> </w:t>
      </w:r>
      <w:bookmarkStart w:id="0" w:name="_Hlk106802519"/>
      <w:r w:rsidRPr="00B831E7">
        <w:t>the practical manual for stakeholders to ensure that notifications of transboundary movements meet environmentally sound management requirements</w:t>
      </w:r>
      <w:bookmarkEnd w:id="0"/>
      <w:r w:rsidRPr="00B831E7">
        <w:t>;</w:t>
      </w:r>
      <w:r w:rsidRPr="00B831E7">
        <w:rPr>
          <w:szCs w:val="18"/>
          <w:vertAlign w:val="superscript"/>
        </w:rPr>
        <w:footnoteReference w:id="1"/>
      </w:r>
      <w:r w:rsidRPr="00B831E7">
        <w:t xml:space="preserve"> </w:t>
      </w:r>
    </w:p>
    <w:p w14:paraId="30450FD1" w14:textId="77777777" w:rsidR="00790376" w:rsidRPr="00B831E7" w:rsidRDefault="00790376" w:rsidP="00790376">
      <w:pPr>
        <w:pStyle w:val="Normal-pool"/>
        <w:numPr>
          <w:ilvl w:val="0"/>
          <w:numId w:val="4"/>
        </w:numPr>
        <w:tabs>
          <w:tab w:val="clear" w:pos="1247"/>
          <w:tab w:val="clear" w:pos="1814"/>
          <w:tab w:val="clear" w:pos="2381"/>
          <w:tab w:val="clear" w:pos="2948"/>
          <w:tab w:val="clear" w:pos="3515"/>
          <w:tab w:val="clear" w:pos="4082"/>
        </w:tabs>
        <w:spacing w:after="120"/>
        <w:ind w:left="1247" w:firstLine="624"/>
        <w:rPr>
          <w:lang w:eastAsia="x-none"/>
        </w:rPr>
      </w:pPr>
      <w:bookmarkStart w:id="2" w:name="_Hlk106786813"/>
      <w:r w:rsidRPr="00B831E7">
        <w:rPr>
          <w:i/>
          <w:iCs/>
          <w:lang w:eastAsia="x-none"/>
        </w:rPr>
        <w:t>Invites</w:t>
      </w:r>
      <w:r w:rsidRPr="00B831E7">
        <w:rPr>
          <w:lang w:eastAsia="x-none"/>
        </w:rPr>
        <w:t xml:space="preserve"> Parties and others to undertake activities to use, promote and disseminate the toolkit on environmentally sound </w:t>
      </w:r>
      <w:proofErr w:type="gramStart"/>
      <w:r w:rsidRPr="00B831E7">
        <w:rPr>
          <w:lang w:eastAsia="x-none"/>
        </w:rPr>
        <w:t>management;</w:t>
      </w:r>
      <w:proofErr w:type="gramEnd"/>
    </w:p>
    <w:bookmarkEnd w:id="2"/>
    <w:p w14:paraId="647C861D" w14:textId="77777777" w:rsidR="00790376" w:rsidRPr="00B831E7" w:rsidRDefault="00790376" w:rsidP="00790376">
      <w:pPr>
        <w:pStyle w:val="Normal-pool"/>
        <w:numPr>
          <w:ilvl w:val="0"/>
          <w:numId w:val="4"/>
        </w:numPr>
        <w:tabs>
          <w:tab w:val="clear" w:pos="1247"/>
          <w:tab w:val="clear" w:pos="1814"/>
          <w:tab w:val="clear" w:pos="2381"/>
          <w:tab w:val="clear" w:pos="2948"/>
          <w:tab w:val="clear" w:pos="3515"/>
          <w:tab w:val="clear" w:pos="4082"/>
        </w:tabs>
        <w:spacing w:after="120"/>
        <w:ind w:left="1247" w:firstLine="624"/>
        <w:rPr>
          <w:lang w:eastAsia="x-none"/>
        </w:rPr>
      </w:pPr>
      <w:r w:rsidRPr="00B831E7">
        <w:rPr>
          <w:i/>
          <w:iCs/>
          <w:lang w:eastAsia="x-none"/>
        </w:rPr>
        <w:t>Also invites</w:t>
      </w:r>
      <w:r w:rsidRPr="00B831E7">
        <w:rPr>
          <w:lang w:eastAsia="x-none"/>
        </w:rPr>
        <w:t xml:space="preserve"> Parties and others to provide the Secretariat with information on the environmentally sound management of hazardous wastes and other wastes, in particular, activities, initiatives and case studies that may promote implementation and complement the toolkit on environmentally sound management, and requests the Secretariat to make such information available on the website of the Basel </w:t>
      </w:r>
      <w:proofErr w:type="gramStart"/>
      <w:r w:rsidRPr="00B831E7">
        <w:rPr>
          <w:lang w:eastAsia="x-none"/>
        </w:rPr>
        <w:t>Convention;</w:t>
      </w:r>
      <w:proofErr w:type="gramEnd"/>
    </w:p>
    <w:p w14:paraId="1831E16D" w14:textId="77777777" w:rsidR="00790376" w:rsidRPr="00B831E7" w:rsidRDefault="00790376" w:rsidP="00790376">
      <w:pPr>
        <w:pStyle w:val="Normal-pool"/>
        <w:numPr>
          <w:ilvl w:val="0"/>
          <w:numId w:val="4"/>
        </w:numPr>
        <w:tabs>
          <w:tab w:val="clear" w:pos="1247"/>
          <w:tab w:val="clear" w:pos="1814"/>
          <w:tab w:val="clear" w:pos="2381"/>
          <w:tab w:val="clear" w:pos="2948"/>
          <w:tab w:val="clear" w:pos="3515"/>
          <w:tab w:val="clear" w:pos="4082"/>
        </w:tabs>
        <w:spacing w:after="120"/>
        <w:ind w:left="1247" w:firstLine="624"/>
        <w:rPr>
          <w:lang w:eastAsia="x-none"/>
        </w:rPr>
      </w:pPr>
      <w:r w:rsidRPr="00B831E7">
        <w:rPr>
          <w:i/>
          <w:iCs/>
          <w:lang w:eastAsia="x-none"/>
        </w:rPr>
        <w:t>Requests</w:t>
      </w:r>
      <w:r w:rsidRPr="00B831E7">
        <w:rPr>
          <w:lang w:eastAsia="x-none"/>
        </w:rPr>
        <w:t xml:space="preserve"> the Secretariat, subject to the availability of resources, to undertake activities to promote and disseminate the </w:t>
      </w:r>
      <w:proofErr w:type="gramStart"/>
      <w:r w:rsidRPr="00B831E7">
        <w:rPr>
          <w:lang w:eastAsia="x-none"/>
        </w:rPr>
        <w:t>toolkit;</w:t>
      </w:r>
      <w:proofErr w:type="gramEnd"/>
    </w:p>
    <w:p w14:paraId="4CA1D2BC" w14:textId="77777777" w:rsidR="00790376" w:rsidRPr="00B831E7" w:rsidRDefault="00790376" w:rsidP="00790376">
      <w:pPr>
        <w:pStyle w:val="Normal-pool"/>
        <w:numPr>
          <w:ilvl w:val="0"/>
          <w:numId w:val="4"/>
        </w:numPr>
        <w:tabs>
          <w:tab w:val="clear" w:pos="1247"/>
          <w:tab w:val="clear" w:pos="1814"/>
          <w:tab w:val="clear" w:pos="2381"/>
          <w:tab w:val="clear" w:pos="2948"/>
          <w:tab w:val="clear" w:pos="3515"/>
          <w:tab w:val="clear" w:pos="4082"/>
        </w:tabs>
        <w:spacing w:after="120"/>
        <w:ind w:left="1247" w:firstLine="624"/>
        <w:rPr>
          <w:iCs/>
          <w:lang w:eastAsia="x-none"/>
        </w:rPr>
      </w:pPr>
      <w:r w:rsidRPr="00B831E7">
        <w:rPr>
          <w:i/>
          <w:lang w:eastAsia="x-none"/>
        </w:rPr>
        <w:t>Recalls</w:t>
      </w:r>
      <w:r w:rsidRPr="00B831E7">
        <w:rPr>
          <w:iCs/>
          <w:lang w:eastAsia="x-none"/>
        </w:rPr>
        <w:t xml:space="preserve"> decision</w:t>
      </w:r>
      <w:r w:rsidRPr="00B831E7">
        <w:rPr>
          <w:i/>
          <w:lang w:eastAsia="x-none"/>
        </w:rPr>
        <w:t xml:space="preserve"> </w:t>
      </w:r>
      <w:r w:rsidRPr="00B831E7">
        <w:rPr>
          <w:iCs/>
          <w:lang w:eastAsia="x-none"/>
        </w:rPr>
        <w:t>BC-13/3</w:t>
      </w:r>
      <w:r w:rsidRPr="00B831E7">
        <w:rPr>
          <w:i/>
          <w:lang w:eastAsia="x-none"/>
        </w:rPr>
        <w:t>,</w:t>
      </w:r>
      <w:r w:rsidRPr="00B831E7">
        <w:rPr>
          <w:b/>
          <w:lang w:eastAsia="x-none"/>
        </w:rPr>
        <w:t xml:space="preserve"> </w:t>
      </w:r>
      <w:r w:rsidRPr="00B831E7">
        <w:rPr>
          <w:lang w:eastAsia="x-none"/>
        </w:rPr>
        <w:t xml:space="preserve">in which it invited </w:t>
      </w:r>
      <w:r w:rsidRPr="00B831E7">
        <w:rPr>
          <w:iCs/>
          <w:lang w:eastAsia="x-none"/>
        </w:rPr>
        <w:t xml:space="preserve">Parties and others to submit to the Secretariat further good practices and examples with regard to waste prevention and minimization, extends that invitation to 31 December 2022 and requests the Secretariat to make all information received available on the website of the Basel </w:t>
      </w:r>
      <w:proofErr w:type="gramStart"/>
      <w:r w:rsidRPr="00B831E7">
        <w:rPr>
          <w:iCs/>
          <w:lang w:eastAsia="x-none"/>
        </w:rPr>
        <w:t>Convention;</w:t>
      </w:r>
      <w:proofErr w:type="gramEnd"/>
    </w:p>
    <w:p w14:paraId="771E62B7" w14:textId="77777777" w:rsidR="00790376" w:rsidRPr="00B831E7" w:rsidRDefault="00790376" w:rsidP="00790376">
      <w:pPr>
        <w:pStyle w:val="Normal-pool"/>
        <w:numPr>
          <w:ilvl w:val="0"/>
          <w:numId w:val="4"/>
        </w:numPr>
        <w:tabs>
          <w:tab w:val="clear" w:pos="1247"/>
          <w:tab w:val="clear" w:pos="1814"/>
          <w:tab w:val="clear" w:pos="2381"/>
          <w:tab w:val="clear" w:pos="2948"/>
          <w:tab w:val="clear" w:pos="3515"/>
          <w:tab w:val="clear" w:pos="4082"/>
        </w:tabs>
        <w:spacing w:after="120"/>
        <w:ind w:left="1247" w:firstLine="624"/>
        <w:rPr>
          <w:iCs/>
          <w:lang w:eastAsia="x-none"/>
        </w:rPr>
      </w:pPr>
      <w:r w:rsidRPr="00B831E7">
        <w:rPr>
          <w:i/>
          <w:iCs/>
          <w:lang w:eastAsia="x-none"/>
        </w:rPr>
        <w:t>Requests</w:t>
      </w:r>
      <w:r w:rsidRPr="00B831E7">
        <w:rPr>
          <w:lang w:eastAsia="x-none"/>
        </w:rPr>
        <w:t xml:space="preserve"> the Secretariat, subject to the availability of resources, and as part of its technical assistance </w:t>
      </w:r>
      <w:r w:rsidRPr="00B831E7">
        <w:rPr>
          <w:iCs/>
          <w:lang w:eastAsia="x-none"/>
        </w:rPr>
        <w:t>activities</w:t>
      </w:r>
      <w:r w:rsidRPr="00B831E7">
        <w:rPr>
          <w:lang w:eastAsia="x-none"/>
        </w:rPr>
        <w:t xml:space="preserve"> on waste prevention and minimization, to work with developing-country Parties and Parties with economies in transition to consider existing good practices and examples received in response to paragraph 5 of the present decision</w:t>
      </w:r>
      <w:r w:rsidRPr="00B831E7" w:rsidDel="00244F05">
        <w:rPr>
          <w:lang w:eastAsia="x-none"/>
        </w:rPr>
        <w:t xml:space="preserve"> </w:t>
      </w:r>
      <w:r w:rsidRPr="00B831E7">
        <w:rPr>
          <w:lang w:eastAsia="x-none"/>
        </w:rPr>
        <w:t xml:space="preserve">and to develop examples of practices that might address their </w:t>
      </w:r>
      <w:proofErr w:type="gramStart"/>
      <w:r w:rsidRPr="00B831E7">
        <w:rPr>
          <w:lang w:eastAsia="x-none"/>
        </w:rPr>
        <w:t>particular circumstances</w:t>
      </w:r>
      <w:proofErr w:type="gramEnd"/>
      <w:r w:rsidRPr="00B831E7">
        <w:rPr>
          <w:lang w:eastAsia="x-none"/>
        </w:rPr>
        <w:t>, building on existing guidance under the Basel Convention.</w:t>
      </w:r>
    </w:p>
    <w:p w14:paraId="034225D5" w14:textId="7235E751" w:rsidR="00F935A6" w:rsidRPr="00790376" w:rsidRDefault="00F935A6" w:rsidP="00790376">
      <w:pPr>
        <w:spacing w:after="120"/>
        <w:rPr>
          <w:rFonts w:eastAsia="Times New Roman"/>
          <w:lang w:val="en-GB"/>
        </w:rPr>
      </w:pPr>
    </w:p>
    <w:sectPr w:rsidR="00F935A6" w:rsidRPr="0079037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15535" w14:textId="77777777" w:rsidR="00C013EE" w:rsidRDefault="00C013EE" w:rsidP="002F3AE4">
      <w:r>
        <w:separator/>
      </w:r>
    </w:p>
  </w:endnote>
  <w:endnote w:type="continuationSeparator" w:id="0">
    <w:p w14:paraId="3CCE9797" w14:textId="77777777" w:rsidR="00C013EE" w:rsidRDefault="00C013EE" w:rsidP="002F3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F963E" w14:textId="77777777" w:rsidR="00C013EE" w:rsidRDefault="00C013EE" w:rsidP="002F3AE4">
      <w:r>
        <w:separator/>
      </w:r>
    </w:p>
  </w:footnote>
  <w:footnote w:type="continuationSeparator" w:id="0">
    <w:p w14:paraId="6B9F4366" w14:textId="77777777" w:rsidR="00C013EE" w:rsidRDefault="00C013EE" w:rsidP="002F3AE4">
      <w:r>
        <w:continuationSeparator/>
      </w:r>
    </w:p>
  </w:footnote>
  <w:footnote w:id="1">
    <w:p w14:paraId="0B1EE464" w14:textId="77777777" w:rsidR="00790376" w:rsidRPr="000629DC" w:rsidRDefault="00790376" w:rsidP="00790376">
      <w:pPr>
        <w:pStyle w:val="Footnote-Text"/>
        <w:rPr>
          <w:szCs w:val="18"/>
        </w:rPr>
      </w:pPr>
      <w:r w:rsidRPr="000629DC">
        <w:rPr>
          <w:szCs w:val="18"/>
          <w:vertAlign w:val="superscript"/>
        </w:rPr>
        <w:footnoteRef/>
      </w:r>
      <w:r w:rsidRPr="000629DC">
        <w:rPr>
          <w:szCs w:val="18"/>
        </w:rPr>
        <w:t xml:space="preserve"> </w:t>
      </w:r>
      <w:bookmarkStart w:id="1" w:name="_Hlk106802731"/>
      <w:r w:rsidRPr="000629DC">
        <w:rPr>
          <w:szCs w:val="18"/>
        </w:rPr>
        <w:t>UNEP/CHW.15/5/Add.1/Rev.1.</w:t>
      </w:r>
      <w:bookmarkEnd w:id="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9263480">
    <w:abstractNumId w:val="1"/>
  </w:num>
  <w:num w:numId="2" w16cid:durableId="2025814322">
    <w:abstractNumId w:val="2"/>
  </w:num>
  <w:num w:numId="3" w16cid:durableId="2028097812">
    <w:abstractNumId w:val="3"/>
  </w:num>
  <w:num w:numId="4" w16cid:durableId="16245745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AE4"/>
    <w:rsid w:val="002F3AE4"/>
    <w:rsid w:val="00790376"/>
    <w:rsid w:val="00836B73"/>
    <w:rsid w:val="00C013EE"/>
    <w:rsid w:val="00C84536"/>
    <w:rsid w:val="00E24635"/>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C23AF"/>
  <w15:chartTrackingRefBased/>
  <w15:docId w15:val="{C2319BD4-75E5-4A3A-9F52-E4C572CC8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F3AE4"/>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CH2"/>
    <w:qFormat/>
    <w:rsid w:val="002F3AE4"/>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qFormat/>
    <w:rsid w:val="002F3AE4"/>
    <w:pPr>
      <w:keepNext/>
      <w:keepLines/>
      <w:tabs>
        <w:tab w:val="clear" w:pos="624"/>
        <w:tab w:val="right" w:pos="851"/>
      </w:tabs>
      <w:suppressAutoHyphens/>
      <w:spacing w:before="240" w:after="120"/>
      <w:ind w:left="1247" w:right="284" w:hanging="1247"/>
    </w:pPr>
    <w:rPr>
      <w:b/>
      <w:sz w:val="24"/>
      <w:szCs w:val="24"/>
    </w:rPr>
  </w:style>
  <w:style w:type="paragraph" w:customStyle="1" w:styleId="Normal-pool">
    <w:name w:val="Normal-pool"/>
    <w:link w:val="Normal-poolChar"/>
    <w:qFormat/>
    <w:rsid w:val="002F3AE4"/>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styleId="Hyperlink">
    <w:name w:val="Hyperlink"/>
    <w:uiPriority w:val="99"/>
    <w:rsid w:val="002F3AE4"/>
    <w:rPr>
      <w:rFonts w:ascii="Times New Roman" w:hAnsi="Times New Roman"/>
      <w:color w:val="0000FF"/>
      <w:sz w:val="20"/>
      <w:szCs w:val="20"/>
      <w:u w:val="single"/>
      <w:lang w:val="en-US"/>
    </w:rPr>
  </w:style>
  <w:style w:type="paragraph" w:customStyle="1" w:styleId="Footnote-Text">
    <w:name w:val="Footnote-Text"/>
    <w:basedOn w:val="Normal-pool"/>
    <w:rsid w:val="002F3AE4"/>
    <w:pPr>
      <w:spacing w:before="20" w:after="40"/>
      <w:ind w:left="1247"/>
    </w:pPr>
    <w:rPr>
      <w:sz w:val="18"/>
    </w:rPr>
  </w:style>
  <w:style w:type="character" w:customStyle="1" w:styleId="Normal-poolChar">
    <w:name w:val="Normal-pool Char"/>
    <w:link w:val="Normal-pool"/>
    <w:locked/>
    <w:rsid w:val="002F3AE4"/>
    <w:rPr>
      <w:rFonts w:ascii="Times New Roman" w:eastAsia="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2F3AE4"/>
    <w:rPr>
      <w:szCs w:val="18"/>
      <w:vertAlign w:val="superscript"/>
    </w:rPr>
  </w:style>
  <w:style w:type="character" w:customStyle="1" w:styleId="CH2Char">
    <w:name w:val="CH2 Char"/>
    <w:link w:val="CH2"/>
    <w:rsid w:val="002F3AE4"/>
    <w:rPr>
      <w:rFonts w:ascii="Times New Roman" w:eastAsia="Times New Roman" w:hAnsi="Times New Roman" w:cs="Times New Roman"/>
      <w:b/>
      <w:sz w:val="24"/>
      <w:szCs w:val="24"/>
      <w:lang w:val="en-GB"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F3AE4"/>
    <w:pPr>
      <w:spacing w:before="120" w:after="160" w:line="240" w:lineRule="exact"/>
    </w:pPr>
    <w:rPr>
      <w:rFonts w:asciiTheme="minorHAnsi" w:eastAsiaTheme="minorEastAsia" w:hAnsiTheme="minorHAnsi" w:cstheme="minorBidi"/>
      <w:sz w:val="22"/>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1497</Characters>
  <Application>Microsoft Office Word</Application>
  <DocSecurity>0</DocSecurity>
  <Lines>12</Lines>
  <Paragraphs>3</Paragraphs>
  <ScaleCrop>false</ScaleCrop>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2023-04-24T12:56:00Z</dcterms:created>
  <dcterms:modified xsi:type="dcterms:W3CDTF">2023-04-24T12:56:00Z</dcterms:modified>
</cp:coreProperties>
</file>