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8B79B" w14:textId="19D66BEE" w:rsidR="005B1C5E" w:rsidRPr="003A2CB9" w:rsidRDefault="005B1C5E" w:rsidP="005B1C5E">
      <w:pPr>
        <w:suppressAutoHyphens/>
        <w:ind w:left="1247"/>
        <w:rPr>
          <w:rFonts w:eastAsia="Calibri"/>
          <w:b/>
          <w:sz w:val="28"/>
          <w:szCs w:val="28"/>
        </w:rPr>
      </w:pPr>
      <w:r w:rsidRPr="003A2CB9">
        <w:rPr>
          <w:rFonts w:eastAsia="Calibri"/>
          <w:b/>
          <w:bCs/>
          <w:sz w:val="28"/>
          <w:szCs w:val="28"/>
        </w:rPr>
        <w:t>БК-15/5: Разработка руководящих принципов экологически обоснованного регулирования</w:t>
      </w:r>
    </w:p>
    <w:p w14:paraId="5F687DD6" w14:textId="77777777" w:rsidR="005B1C5E" w:rsidRPr="003A2CB9" w:rsidRDefault="005B1C5E" w:rsidP="005B1C5E">
      <w:pPr>
        <w:ind w:left="1247" w:firstLine="624"/>
        <w:rPr>
          <w:rFonts w:eastAsia="Calibri"/>
          <w:i/>
          <w:iCs/>
          <w:lang w:val="en-US"/>
        </w:rPr>
      </w:pPr>
      <w:r w:rsidRPr="003A2CB9">
        <w:rPr>
          <w:rFonts w:eastAsia="Calibri"/>
          <w:i/>
          <w:iCs/>
        </w:rPr>
        <w:t>Конференция Сторон,</w:t>
      </w:r>
    </w:p>
    <w:p w14:paraId="46B0745A" w14:textId="77777777" w:rsidR="005B1C5E" w:rsidRPr="003A2CB9" w:rsidRDefault="005B1C5E" w:rsidP="005B1C5E">
      <w:pPr>
        <w:numPr>
          <w:ilvl w:val="0"/>
          <w:numId w:val="4"/>
        </w:numPr>
        <w:ind w:left="1247" w:firstLine="624"/>
        <w:rPr>
          <w:rFonts w:eastAsia="Calibri"/>
        </w:rPr>
      </w:pPr>
      <w:r w:rsidRPr="003A2CB9">
        <w:rPr>
          <w:rFonts w:eastAsia="Calibri"/>
          <w:i/>
          <w:iCs/>
        </w:rPr>
        <w:t>принимает</w:t>
      </w:r>
      <w:r w:rsidRPr="003A2CB9">
        <w:rPr>
          <w:rFonts w:eastAsia="Calibri"/>
        </w:rPr>
        <w:t xml:space="preserve"> практическое пособие для заинтересованных субъектов для обеспечения соответствия уведомлений о трансграничной перевозке требованиям экологически обоснованного регулирования</w:t>
      </w:r>
      <w:r w:rsidRPr="003A2CB9">
        <w:rPr>
          <w:rFonts w:eastAsia="Calibri"/>
          <w:szCs w:val="18"/>
          <w:vertAlign w:val="superscript"/>
        </w:rPr>
        <w:footnoteReference w:id="1"/>
      </w:r>
      <w:r w:rsidRPr="003A2CB9">
        <w:rPr>
          <w:rFonts w:eastAsia="Calibri"/>
        </w:rPr>
        <w:t xml:space="preserve">; </w:t>
      </w:r>
      <w:bookmarkStart w:id="1" w:name="_Hlk106802519"/>
      <w:bookmarkEnd w:id="1"/>
    </w:p>
    <w:p w14:paraId="7A6C72F7" w14:textId="77777777" w:rsidR="005B1C5E" w:rsidRPr="003A2CB9" w:rsidRDefault="005B1C5E" w:rsidP="005B1C5E">
      <w:pPr>
        <w:numPr>
          <w:ilvl w:val="0"/>
          <w:numId w:val="4"/>
        </w:numPr>
        <w:ind w:left="1247" w:firstLine="624"/>
        <w:rPr>
          <w:rFonts w:eastAsia="Calibri"/>
        </w:rPr>
      </w:pPr>
      <w:bookmarkStart w:id="2" w:name="_Hlk106786813"/>
      <w:r w:rsidRPr="003A2CB9">
        <w:rPr>
          <w:rFonts w:eastAsia="Calibri"/>
          <w:i/>
          <w:iCs/>
        </w:rPr>
        <w:t>предлагает</w:t>
      </w:r>
      <w:r w:rsidRPr="003A2CB9">
        <w:rPr>
          <w:rFonts w:eastAsia="Calibri"/>
        </w:rPr>
        <w:t xml:space="preserve"> Сторонам и другим субъектам принимать меры для применения, популяризации и распространения набора руководств по вопросам экологически обоснованного регулирования;</w:t>
      </w:r>
    </w:p>
    <w:bookmarkEnd w:id="2"/>
    <w:p w14:paraId="2D835881" w14:textId="77777777" w:rsidR="005B1C5E" w:rsidRPr="003A2CB9" w:rsidRDefault="005B1C5E" w:rsidP="005B1C5E">
      <w:pPr>
        <w:numPr>
          <w:ilvl w:val="0"/>
          <w:numId w:val="4"/>
        </w:numPr>
        <w:ind w:left="1247" w:firstLine="624"/>
        <w:rPr>
          <w:rFonts w:eastAsia="Calibri"/>
        </w:rPr>
      </w:pPr>
      <w:r w:rsidRPr="003A2CB9">
        <w:rPr>
          <w:rFonts w:eastAsia="Calibri"/>
          <w:i/>
          <w:iCs/>
        </w:rPr>
        <w:t xml:space="preserve">предлагает также </w:t>
      </w:r>
      <w:r w:rsidRPr="003A2CB9">
        <w:rPr>
          <w:rFonts w:eastAsia="Calibri"/>
        </w:rPr>
        <w:t>Сторонам и другим субъектам представлять секретариату информацию об экологически обоснованном регулировании опасных и других отходов, в частности – о мероприятиях, инициативах и тематических исследованиях, которые могут способствовать внедрению набора руководств по вопросам экологически обоснованного регулирования и дополнить его, и поручает секретариату опубликовать эту информацию на веб-сайте Базельской конвенции;</w:t>
      </w:r>
    </w:p>
    <w:p w14:paraId="22E7208F" w14:textId="77777777" w:rsidR="005B1C5E" w:rsidRPr="003A2CB9" w:rsidRDefault="005B1C5E" w:rsidP="005B1C5E">
      <w:pPr>
        <w:numPr>
          <w:ilvl w:val="0"/>
          <w:numId w:val="4"/>
        </w:numPr>
        <w:ind w:left="1247" w:firstLine="624"/>
        <w:rPr>
          <w:rFonts w:eastAsia="Calibri"/>
        </w:rPr>
      </w:pPr>
      <w:r w:rsidRPr="003A2CB9">
        <w:rPr>
          <w:rFonts w:eastAsia="Calibri"/>
          <w:i/>
          <w:iCs/>
        </w:rPr>
        <w:t>поручает</w:t>
      </w:r>
      <w:r w:rsidRPr="003A2CB9">
        <w:rPr>
          <w:rFonts w:eastAsia="Calibri"/>
        </w:rPr>
        <w:t xml:space="preserve"> секретариату, при условии наличия ресурсов, провести мероприятия по популяризации и распространению набора руководств;</w:t>
      </w:r>
    </w:p>
    <w:p w14:paraId="17D8E3AC" w14:textId="77777777" w:rsidR="005B1C5E" w:rsidRPr="003A2CB9" w:rsidRDefault="005B1C5E" w:rsidP="005B1C5E">
      <w:pPr>
        <w:numPr>
          <w:ilvl w:val="0"/>
          <w:numId w:val="4"/>
        </w:numPr>
        <w:ind w:left="1247" w:firstLine="624"/>
        <w:rPr>
          <w:rFonts w:eastAsia="Calibri"/>
          <w:iCs/>
        </w:rPr>
      </w:pPr>
      <w:r w:rsidRPr="003A2CB9">
        <w:rPr>
          <w:rFonts w:eastAsia="Calibri"/>
          <w:i/>
          <w:iCs/>
        </w:rPr>
        <w:t>ссылается</w:t>
      </w:r>
      <w:r w:rsidRPr="003A2CB9">
        <w:rPr>
          <w:rFonts w:eastAsia="Calibri"/>
        </w:rPr>
        <w:t xml:space="preserve"> на решение БК-13/3, в котором она предложила Сторонам и другим сторонам представить в секретариат дополнительную информацию о передовых методах и примерах в отношении предотвращения и минимизации образования отходов, продлевает срок действия этого предложения до 31 декабря 2022 года и поручает секретариату разместить всю полученную информацию на веб-сайте Базельской конвенции;</w:t>
      </w:r>
    </w:p>
    <w:p w14:paraId="76A2E92A" w14:textId="77777777" w:rsidR="005B1C5E" w:rsidRPr="003A2CB9" w:rsidRDefault="005B1C5E" w:rsidP="005B1C5E">
      <w:pPr>
        <w:numPr>
          <w:ilvl w:val="0"/>
          <w:numId w:val="4"/>
        </w:numPr>
        <w:ind w:left="1247" w:firstLine="624"/>
        <w:rPr>
          <w:rFonts w:eastAsia="Calibri"/>
          <w:iCs/>
        </w:rPr>
      </w:pPr>
      <w:r w:rsidRPr="003A2CB9">
        <w:rPr>
          <w:rFonts w:eastAsia="Calibri"/>
          <w:i/>
          <w:iCs/>
        </w:rPr>
        <w:t>поручает</w:t>
      </w:r>
      <w:r w:rsidRPr="003A2CB9">
        <w:rPr>
          <w:rFonts w:eastAsia="Calibri"/>
        </w:rPr>
        <w:t xml:space="preserve"> секретариату, при условии наличия ресурсов и в рамках его деятельности по оказанию технической помощи в области предотвращения и минимизации образования отходов, проводить работу со Сторонами, являющимися развивающимися странами, и Сторонами с переходной экономикой для рассмотрения имеющихся передовых методов и примеров, полученных в ответ на пункт 5 настоящего решения, и готовить примеры методов, которые могут учитывать их особые обстоятельства, опираясь на имеющиеся в рамках Базельской конвенции руководства.</w:t>
      </w:r>
    </w:p>
    <w:p w14:paraId="72A577FA" w14:textId="0E23EE57" w:rsidR="00F935A6" w:rsidRPr="005B1C5E" w:rsidRDefault="00F935A6" w:rsidP="005B1C5E"/>
    <w:sectPr w:rsidR="00F935A6" w:rsidRPr="005B1C5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142D5" w14:textId="77777777" w:rsidR="00E13617" w:rsidRDefault="00E13617" w:rsidP="002B66BF">
      <w:pPr>
        <w:spacing w:after="0"/>
      </w:pPr>
      <w:r>
        <w:separator/>
      </w:r>
    </w:p>
  </w:endnote>
  <w:endnote w:type="continuationSeparator" w:id="0">
    <w:p w14:paraId="6BFEFE8C" w14:textId="77777777" w:rsidR="00E13617" w:rsidRDefault="00E13617"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DE54B" w14:textId="77777777" w:rsidR="00E13617" w:rsidRDefault="00E13617" w:rsidP="002B66BF">
      <w:pPr>
        <w:spacing w:after="0"/>
      </w:pPr>
      <w:r>
        <w:separator/>
      </w:r>
    </w:p>
  </w:footnote>
  <w:footnote w:type="continuationSeparator" w:id="0">
    <w:p w14:paraId="0ABD1B31" w14:textId="77777777" w:rsidR="00E13617" w:rsidRDefault="00E13617" w:rsidP="002B66BF">
      <w:pPr>
        <w:spacing w:after="0"/>
      </w:pPr>
      <w:r>
        <w:continuationSeparator/>
      </w:r>
    </w:p>
  </w:footnote>
  <w:footnote w:id="1">
    <w:p w14:paraId="62D7EC7D" w14:textId="77777777" w:rsidR="005B1C5E" w:rsidRPr="00B6236E" w:rsidRDefault="005B1C5E" w:rsidP="005B1C5E">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B6236E">
        <w:rPr>
          <w:sz w:val="18"/>
          <w:szCs w:val="18"/>
          <w:vertAlign w:val="superscript"/>
        </w:rPr>
        <w:footnoteRef/>
      </w:r>
      <w:r w:rsidRPr="00B6236E">
        <w:rPr>
          <w:sz w:val="18"/>
          <w:szCs w:val="18"/>
          <w:lang w:val="en-GB"/>
        </w:rPr>
        <w:t xml:space="preserve"> </w:t>
      </w:r>
      <w:r>
        <w:rPr>
          <w:sz w:val="18"/>
          <w:szCs w:val="18"/>
          <w:lang w:val="en-GB"/>
        </w:rPr>
        <w:tab/>
      </w:r>
      <w:r w:rsidRPr="00B6236E">
        <w:rPr>
          <w:sz w:val="18"/>
          <w:szCs w:val="18"/>
          <w:lang w:val="en-GB"/>
        </w:rPr>
        <w:t>UNEP/CHW.15/5/Add.1/Rev.1.</w:t>
      </w:r>
      <w:bookmarkStart w:id="0" w:name="_Hlk106802731"/>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11741218">
    <w:abstractNumId w:val="1"/>
  </w:num>
  <w:num w:numId="2" w16cid:durableId="1985698457">
    <w:abstractNumId w:val="2"/>
  </w:num>
  <w:num w:numId="3" w16cid:durableId="1993219452">
    <w:abstractNumId w:val="3"/>
  </w:num>
  <w:num w:numId="4" w16cid:durableId="178666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2B66BF"/>
    <w:rsid w:val="00475395"/>
    <w:rsid w:val="005B1C5E"/>
    <w:rsid w:val="00836B73"/>
    <w:rsid w:val="00C84536"/>
    <w:rsid w:val="00E13617"/>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semiHidden/>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1654</Characters>
  <Application>Microsoft Office Word</Application>
  <DocSecurity>0</DocSecurity>
  <Lines>13</Lines>
  <Paragraphs>3</Paragraphs>
  <ScaleCrop>false</ScaleCrop>
  <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2023-05-22T12:52:00Z</dcterms:created>
  <dcterms:modified xsi:type="dcterms:W3CDTF">2023-05-22T12:52:00Z</dcterms:modified>
</cp:coreProperties>
</file>