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9DE86" w14:textId="77777777" w:rsidR="0067579D" w:rsidRPr="00447994" w:rsidRDefault="0067579D" w:rsidP="0067579D">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15/5: Elaboración de directrices para la gestión ambientalmente racional</w:t>
      </w:r>
    </w:p>
    <w:p w14:paraId="76DAB629" w14:textId="77777777" w:rsidR="0067579D" w:rsidRPr="00447994" w:rsidRDefault="0067579D" w:rsidP="0067579D">
      <w:pPr>
        <w:pStyle w:val="Normal-pool"/>
        <w:tabs>
          <w:tab w:val="clear" w:pos="1247"/>
          <w:tab w:val="clear" w:pos="1814"/>
        </w:tabs>
        <w:spacing w:after="120"/>
        <w:ind w:left="1247" w:firstLine="624"/>
        <w:rPr>
          <w:i/>
          <w:iCs/>
          <w:lang w:val="es-ES_tradnl"/>
        </w:rPr>
      </w:pPr>
      <w:r w:rsidRPr="00447994">
        <w:rPr>
          <w:i/>
          <w:iCs/>
          <w:lang w:val="es-ES_tradnl"/>
        </w:rPr>
        <w:t>La Conferencia de las Partes</w:t>
      </w:r>
    </w:p>
    <w:p w14:paraId="3F8B29EC" w14:textId="77777777" w:rsidR="0067579D" w:rsidRPr="00447994" w:rsidRDefault="0067579D" w:rsidP="0067579D">
      <w:pPr>
        <w:pStyle w:val="Normal-pool"/>
        <w:numPr>
          <w:ilvl w:val="0"/>
          <w:numId w:val="4"/>
        </w:numPr>
        <w:tabs>
          <w:tab w:val="clear" w:pos="1247"/>
          <w:tab w:val="clear" w:pos="1814"/>
        </w:tabs>
        <w:spacing w:after="120"/>
        <w:ind w:left="1247" w:firstLine="624"/>
        <w:rPr>
          <w:lang w:val="es-ES_tradnl"/>
        </w:rPr>
      </w:pPr>
      <w:r w:rsidRPr="00447994">
        <w:rPr>
          <w:i/>
          <w:iCs/>
          <w:lang w:val="es-ES_tradnl"/>
        </w:rPr>
        <w:t>Aprueba</w:t>
      </w:r>
      <w:r w:rsidRPr="00447994">
        <w:rPr>
          <w:lang w:val="es-ES_tradnl"/>
        </w:rPr>
        <w:t xml:space="preserve"> el manual práctico para interesados destinado a garantizar que las notificaciones de movimientos transfronterizos cumplan los requisitos de la gestión ambientalmente racional</w:t>
      </w:r>
      <w:r w:rsidRPr="00447994">
        <w:rPr>
          <w:szCs w:val="18"/>
          <w:vertAlign w:val="superscript"/>
          <w:lang w:val="es-ES_tradnl"/>
        </w:rPr>
        <w:footnoteReference w:id="1"/>
      </w:r>
      <w:r w:rsidRPr="00447994">
        <w:rPr>
          <w:lang w:val="es-ES_tradnl"/>
        </w:rPr>
        <w:t xml:space="preserve">; </w:t>
      </w:r>
      <w:bookmarkStart w:id="1" w:name="_Hlk106802519"/>
      <w:bookmarkEnd w:id="1"/>
    </w:p>
    <w:p w14:paraId="58D41348" w14:textId="77777777" w:rsidR="0067579D" w:rsidRPr="00447994" w:rsidRDefault="0067579D" w:rsidP="0067579D">
      <w:pPr>
        <w:pStyle w:val="Normal-pool"/>
        <w:numPr>
          <w:ilvl w:val="0"/>
          <w:numId w:val="4"/>
        </w:numPr>
        <w:tabs>
          <w:tab w:val="clear" w:pos="1247"/>
          <w:tab w:val="clear" w:pos="1814"/>
        </w:tabs>
        <w:spacing w:after="120"/>
        <w:ind w:left="1247" w:firstLine="624"/>
        <w:rPr>
          <w:lang w:val="es-ES_tradnl"/>
        </w:rPr>
      </w:pPr>
      <w:bookmarkStart w:id="2" w:name="_Hlk106786813"/>
      <w:r w:rsidRPr="00447994">
        <w:rPr>
          <w:i/>
          <w:iCs/>
          <w:lang w:val="es-ES_tradnl"/>
        </w:rPr>
        <w:t>Invita</w:t>
      </w:r>
      <w:r w:rsidRPr="00447994">
        <w:rPr>
          <w:lang w:val="es-ES_tradnl"/>
        </w:rPr>
        <w:t xml:space="preserve"> a las Partes y otros interesados a emprender actividades encaminadas a utilizar, promover y difundir el instrumental para la gestión ambientalmente racional;</w:t>
      </w:r>
    </w:p>
    <w:bookmarkEnd w:id="2"/>
    <w:p w14:paraId="5AF4951C" w14:textId="77777777" w:rsidR="0067579D" w:rsidRPr="00447994" w:rsidRDefault="0067579D" w:rsidP="0067579D">
      <w:pPr>
        <w:pStyle w:val="Normal-pool"/>
        <w:numPr>
          <w:ilvl w:val="0"/>
          <w:numId w:val="4"/>
        </w:numPr>
        <w:tabs>
          <w:tab w:val="clear" w:pos="1247"/>
          <w:tab w:val="clear" w:pos="1814"/>
        </w:tabs>
        <w:spacing w:after="120"/>
        <w:ind w:left="1247" w:firstLine="624"/>
        <w:rPr>
          <w:lang w:val="es-ES_tradnl"/>
        </w:rPr>
      </w:pPr>
      <w:r w:rsidRPr="00447994">
        <w:rPr>
          <w:i/>
          <w:iCs/>
          <w:lang w:val="es-ES_tradnl"/>
        </w:rPr>
        <w:t>Invita también</w:t>
      </w:r>
      <w:r w:rsidRPr="00447994">
        <w:rPr>
          <w:lang w:val="es-ES_tradnl"/>
        </w:rPr>
        <w:t xml:space="preserve"> a las Partes y otros interesados a proporcionar a la Secretaría información sobre la gestión ambientalmente racional de los desechos peligrosos y otros desechos, en particular, actividades, iniciativas y estudios de casos que puedan fomentar la aplicación del instrumental para la gestión ambientalmente racional, y complementarlo, y solicita a la Secretaría que publique esa información en el sitio web del Convenio de Basilea;</w:t>
      </w:r>
    </w:p>
    <w:p w14:paraId="740938D9" w14:textId="77777777" w:rsidR="0067579D" w:rsidRPr="00447994" w:rsidRDefault="0067579D" w:rsidP="0067579D">
      <w:pPr>
        <w:pStyle w:val="Normal-pool"/>
        <w:numPr>
          <w:ilvl w:val="0"/>
          <w:numId w:val="4"/>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 en función de los recursos disponibles, emprenda actividades para promover y difundir el instrumental;</w:t>
      </w:r>
    </w:p>
    <w:p w14:paraId="20D6C955" w14:textId="77777777" w:rsidR="0067579D" w:rsidRPr="00447994" w:rsidRDefault="0067579D" w:rsidP="0067579D">
      <w:pPr>
        <w:pStyle w:val="Normal-pool"/>
        <w:numPr>
          <w:ilvl w:val="0"/>
          <w:numId w:val="4"/>
        </w:numPr>
        <w:tabs>
          <w:tab w:val="clear" w:pos="1247"/>
          <w:tab w:val="clear" w:pos="1814"/>
        </w:tabs>
        <w:spacing w:after="120"/>
        <w:ind w:left="1247" w:firstLine="624"/>
        <w:rPr>
          <w:iCs/>
          <w:lang w:val="es-ES_tradnl"/>
        </w:rPr>
      </w:pPr>
      <w:r w:rsidRPr="00447994">
        <w:rPr>
          <w:i/>
          <w:iCs/>
          <w:lang w:val="es-ES_tradnl"/>
        </w:rPr>
        <w:t>Recuerda</w:t>
      </w:r>
      <w:r w:rsidRPr="00447994">
        <w:rPr>
          <w:lang w:val="es-ES_tradnl"/>
        </w:rPr>
        <w:t xml:space="preserve"> la decisión BC</w:t>
      </w:r>
      <w:r w:rsidRPr="00447994">
        <w:rPr>
          <w:lang w:val="es-ES_tradnl"/>
        </w:rPr>
        <w:noBreakHyphen/>
        <w:t>13/3, en la que invitó a las Partes y otros interesados a presentar a la Secretaría más ejemplos y buenas prácticas de prevención y minimización de los desechos, amplía esa invitación hasta el 31 de diciembre de 2022 y solicita a la Secretaría que publique en el sitio web del Convenio de Basilea toda la información que se reciba;</w:t>
      </w:r>
    </w:p>
    <w:p w14:paraId="6AF675F4" w14:textId="77777777" w:rsidR="0067579D" w:rsidRPr="00447994" w:rsidRDefault="0067579D" w:rsidP="0067579D">
      <w:pPr>
        <w:pStyle w:val="Normal-pool"/>
        <w:numPr>
          <w:ilvl w:val="0"/>
          <w:numId w:val="4"/>
        </w:numPr>
        <w:tabs>
          <w:tab w:val="clear" w:pos="1247"/>
          <w:tab w:val="clear" w:pos="1814"/>
        </w:tabs>
        <w:spacing w:after="120"/>
        <w:ind w:left="1247" w:firstLine="624"/>
        <w:rPr>
          <w:iCs/>
          <w:lang w:val="es-ES_tradnl"/>
        </w:rPr>
      </w:pPr>
      <w:r w:rsidRPr="00447994">
        <w:rPr>
          <w:i/>
          <w:iCs/>
          <w:lang w:val="es-ES_tradnl"/>
        </w:rPr>
        <w:t>Solicita</w:t>
      </w:r>
      <w:r w:rsidRPr="00447994">
        <w:rPr>
          <w:lang w:val="es-ES_tradnl"/>
        </w:rPr>
        <w:t xml:space="preserve"> a la Secretaría que, en función de los recursos disponibles y como parte de sus actividades de asistencia técnica en materia de prevención y minimización de los desechos, colabore con las Partes que son países en desarrollo y las Partes con economías en transición para considerar la posibilidad de aplicar las buenas prácticas vigentes y los ejemplos recibidos en respuesta al párrafo 5 de la presente decisión y buscar ejemplos de prácticas que puedan ajustarse a sus circunstancias particulares, a partir de las orientaciones impartidas en el marco del Convenio de Basilea.</w:t>
      </w:r>
    </w:p>
    <w:p w14:paraId="5E5F9B2A" w14:textId="30C7832B" w:rsidR="00F935A6" w:rsidRPr="0067579D" w:rsidRDefault="00F935A6" w:rsidP="0067579D">
      <w:pPr>
        <w:pStyle w:val="Normal-pool"/>
        <w:rPr>
          <w:lang w:val="es-ES_tradnl"/>
        </w:rPr>
      </w:pPr>
    </w:p>
    <w:sectPr w:rsidR="00F935A6" w:rsidRPr="0067579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F971F" w14:textId="77777777" w:rsidR="00921723" w:rsidRDefault="00921723" w:rsidP="00162093">
      <w:pPr>
        <w:spacing w:after="0" w:line="240" w:lineRule="auto"/>
      </w:pPr>
      <w:r>
        <w:separator/>
      </w:r>
    </w:p>
  </w:endnote>
  <w:endnote w:type="continuationSeparator" w:id="0">
    <w:p w14:paraId="20FB3E88" w14:textId="77777777" w:rsidR="00921723" w:rsidRDefault="00921723" w:rsidP="00162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38E84" w14:textId="77777777" w:rsidR="00921723" w:rsidRDefault="00921723" w:rsidP="00162093">
      <w:pPr>
        <w:spacing w:after="0" w:line="240" w:lineRule="auto"/>
      </w:pPr>
      <w:r>
        <w:separator/>
      </w:r>
    </w:p>
  </w:footnote>
  <w:footnote w:type="continuationSeparator" w:id="0">
    <w:p w14:paraId="350B5A9E" w14:textId="77777777" w:rsidR="00921723" w:rsidRDefault="00921723" w:rsidP="00162093">
      <w:pPr>
        <w:spacing w:after="0" w:line="240" w:lineRule="auto"/>
      </w:pPr>
      <w:r>
        <w:continuationSeparator/>
      </w:r>
    </w:p>
  </w:footnote>
  <w:footnote w:id="1">
    <w:p w14:paraId="0E132F9A" w14:textId="77777777" w:rsidR="0067579D" w:rsidRPr="00122920" w:rsidRDefault="0067579D" w:rsidP="0067579D">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UNEP/CHW.15/5/Add.1/Rev.1.</w:t>
      </w:r>
      <w:bookmarkStart w:id="0" w:name="_Hlk106802731"/>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39563191">
    <w:abstractNumId w:val="1"/>
  </w:num>
  <w:num w:numId="2" w16cid:durableId="856044302">
    <w:abstractNumId w:val="2"/>
  </w:num>
  <w:num w:numId="3" w16cid:durableId="462120716">
    <w:abstractNumId w:val="3"/>
  </w:num>
  <w:num w:numId="4" w16cid:durableId="789864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245BBD"/>
    <w:rsid w:val="0067579D"/>
    <w:rsid w:val="00836B73"/>
    <w:rsid w:val="00921723"/>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Words>
  <Characters>1683</Characters>
  <Application>Microsoft Office Word</Application>
  <DocSecurity>0</DocSecurity>
  <Lines>14</Lines>
  <Paragraphs>3</Paragraphs>
  <ScaleCrop>false</ScaleCrop>
  <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2023-05-22T13:20:00Z</dcterms:created>
  <dcterms:modified xsi:type="dcterms:W3CDTF">2023-05-22T13:20:00Z</dcterms:modified>
</cp:coreProperties>
</file>