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84DAD" w14:textId="77777777" w:rsidR="00286115" w:rsidRPr="00DE0F03" w:rsidRDefault="00286115" w:rsidP="00286115">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ب-15/7</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بشأن نقل النفايات الكهربائية والإلكترونية والمعدات الكهربائية والإلكترونية المستعملة عبر الحدود، وعلى وجه الخصوص فيما يتعلق بالتمييز بين النفايات وغير النفايات في إطار اتفاقية بازل</w:t>
      </w:r>
      <w:bookmarkStart w:id="0" w:name="_Hlk106789395"/>
      <w:bookmarkStart w:id="1" w:name="_Hlk106789339"/>
      <w:bookmarkEnd w:id="0"/>
      <w:bookmarkEnd w:id="1"/>
    </w:p>
    <w:p w14:paraId="4D989786" w14:textId="77777777" w:rsidR="00286115" w:rsidRPr="00DE0F03" w:rsidRDefault="00286115" w:rsidP="00286115">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bCs/>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71F9D9ED"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r w:rsidRPr="00DE0F03">
        <w:rPr>
          <w:rFonts w:ascii="Simplified Arabic" w:hAnsi="Simplified Arabic" w:cs="Simplified Arabic"/>
          <w:i/>
          <w:iCs/>
          <w:sz w:val="24"/>
          <w:szCs w:val="24"/>
          <w:rtl/>
          <w:lang w:val="en-GB" w:eastAsia="en-US"/>
        </w:rPr>
        <w:t>يرحب</w:t>
      </w:r>
      <w:r w:rsidRPr="00DE0F03">
        <w:rPr>
          <w:rFonts w:ascii="Simplified Arabic" w:hAnsi="Simplified Arabic" w:cs="Simplified Arabic"/>
          <w:sz w:val="24"/>
          <w:szCs w:val="24"/>
          <w:rtl/>
          <w:lang w:val="en-GB" w:eastAsia="en-US"/>
        </w:rPr>
        <w:t xml:space="preserve"> مع التقدير بالمساهمات التي قدمها فريق الخبراء العامل للمهام المتعلقة بالمبادئ التوجيهية التقنية للنقل العابر للحدود للنفايات الكهربائية والإلكترونية والمعدات الكهربائية والإلكترونية المستعملة، خصوصاً فيما يتعلق بالتمييز بين النفايات وغير النفايات في إطار اتفاقية بازل؛ </w:t>
      </w:r>
    </w:p>
    <w:p w14:paraId="192A48AB"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bookmarkStart w:id="2" w:name="_Hlk106789439"/>
      <w:r w:rsidRPr="00DE0F03">
        <w:rPr>
          <w:rFonts w:ascii="Simplified Arabic" w:hAnsi="Simplified Arabic" w:cs="Simplified Arabic"/>
          <w:i/>
          <w:iCs/>
          <w:sz w:val="24"/>
          <w:szCs w:val="24"/>
          <w:rtl/>
          <w:lang w:val="en-GB" w:eastAsia="en-US"/>
        </w:rPr>
        <w:t>يقرر</w:t>
      </w:r>
      <w:r w:rsidRPr="00DE0F03">
        <w:rPr>
          <w:rFonts w:ascii="Simplified Arabic" w:hAnsi="Simplified Arabic" w:cs="Simplified Arabic"/>
          <w:sz w:val="24"/>
          <w:szCs w:val="24"/>
          <w:rtl/>
          <w:lang w:val="en-GB" w:eastAsia="en-US"/>
        </w:rPr>
        <w:t xml:space="preserve"> تمديد ولاية فريق الخبراء العامل المنشأ بموجب الفقرة 4 من المقرر ا ب-13/5؛</w:t>
      </w:r>
    </w:p>
    <w:bookmarkEnd w:id="2"/>
    <w:p w14:paraId="06328D6F"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r w:rsidRPr="00DE0F03">
        <w:rPr>
          <w:rFonts w:ascii="Simplified Arabic" w:hAnsi="Simplified Arabic" w:cs="Simplified Arabic"/>
          <w:i/>
          <w:iCs/>
          <w:sz w:val="24"/>
          <w:szCs w:val="24"/>
          <w:rtl/>
          <w:lang w:val="en-GB" w:eastAsia="en-US"/>
        </w:rPr>
        <w:t>يدعو</w:t>
      </w:r>
      <w:r w:rsidRPr="00DE0F03">
        <w:rPr>
          <w:rFonts w:ascii="Simplified Arabic" w:hAnsi="Simplified Arabic" w:cs="Simplified Arabic"/>
          <w:sz w:val="24"/>
          <w:szCs w:val="24"/>
          <w:rtl/>
          <w:lang w:val="en-GB" w:eastAsia="en-US"/>
        </w:rPr>
        <w:t xml:space="preserve"> كل مجموعة من المجموعات الإقليمية إلى أن تعيد النظر في ترشيحاتها وترشح حسب الاقتضاء أعضاء في فريق الخبراء العامل يتمتعون بالدراية والخبرة، وذلك عن طريق ممثليها في المكتب وبحلول 15 آب/أغسطس 2022، ويطلب إلى الأمانة تيسير عملية الترشيح؛</w:t>
      </w:r>
    </w:p>
    <w:p w14:paraId="5C688F79"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r w:rsidRPr="00DE0F03">
        <w:rPr>
          <w:rFonts w:ascii="Simplified Arabic" w:hAnsi="Simplified Arabic" w:cs="Simplified Arabic"/>
          <w:i/>
          <w:iCs/>
          <w:sz w:val="24"/>
          <w:szCs w:val="24"/>
          <w:rtl/>
          <w:lang w:val="en-GB" w:eastAsia="en-US"/>
        </w:rPr>
        <w:t>يدعو</w:t>
      </w:r>
      <w:r w:rsidRPr="00DE0F03">
        <w:rPr>
          <w:rFonts w:ascii="Simplified Arabic" w:hAnsi="Simplified Arabic" w:cs="Simplified Arabic"/>
          <w:sz w:val="24"/>
          <w:szCs w:val="24"/>
          <w:rtl/>
          <w:lang w:val="en-GB" w:eastAsia="en-US"/>
        </w:rPr>
        <w:t xml:space="preserve"> الأطراف والجهات الأخرى إلى أن تستخدم و/أو تختبر على أساس تجريبي المبادئ التوجيهية التقنية التي اعتُمدت بصفة مؤقتة بموجب المقرر ا ب-14/5 وأن تقدم إلى الأمانة، في موعد أقصاه 31</w:t>
      </w:r>
      <w:r w:rsidRPr="00DE0F03">
        <w:rPr>
          <w:rFonts w:ascii="Simplified Arabic" w:hAnsi="Simplified Arabic" w:cs="Simplified Arabic" w:hint="cs"/>
          <w:sz w:val="24"/>
          <w:szCs w:val="24"/>
          <w:rtl/>
          <w:lang w:val="en-GB" w:eastAsia="en-US"/>
        </w:rPr>
        <w:t> </w:t>
      </w:r>
      <w:r w:rsidRPr="00DE0F03">
        <w:rPr>
          <w:rFonts w:ascii="Simplified Arabic" w:hAnsi="Simplified Arabic" w:cs="Simplified Arabic"/>
          <w:sz w:val="24"/>
          <w:szCs w:val="24"/>
          <w:rtl/>
          <w:lang w:val="en-GB" w:eastAsia="en-US"/>
        </w:rPr>
        <w:t>تشرين الأول/أكتوبر 2022، نتائج استخدامها و/أو اختبارها للمبادئ التوجيهية، لكي ينظر فيها فريق الخبراء العامل؛</w:t>
      </w:r>
      <w:bookmarkStart w:id="3" w:name="_Hlk106789564"/>
      <w:bookmarkEnd w:id="3"/>
    </w:p>
    <w:p w14:paraId="3254FEFB"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r w:rsidRPr="00DE0F03">
        <w:rPr>
          <w:rFonts w:ascii="Simplified Arabic" w:hAnsi="Simplified Arabic" w:cs="Simplified Arabic"/>
          <w:i/>
          <w:iCs/>
          <w:sz w:val="24"/>
          <w:szCs w:val="24"/>
          <w:rtl/>
          <w:lang w:val="en-GB" w:eastAsia="en-US"/>
        </w:rPr>
        <w:t>يطلب</w:t>
      </w:r>
      <w:r w:rsidRPr="00DE0F03">
        <w:rPr>
          <w:rFonts w:ascii="Simplified Arabic" w:hAnsi="Simplified Arabic" w:cs="Simplified Arabic"/>
          <w:sz w:val="24"/>
          <w:szCs w:val="24"/>
          <w:rtl/>
          <w:lang w:val="en-GB" w:eastAsia="en-US"/>
        </w:rPr>
        <w:t xml:space="preserve"> إلى فريق الخبراء العامل، مع مراعاة جملة أمور منها التعليقات الواردة وفقاً للفقرة 4 من هذا المقرر، أن يعد المبادئ التوجيهية التقنية المحدثة، آخذاً في الاعتبار التعديلات المدخلة على المرفقات الثاني والثامن والتاسع لاتفاقية بازل المعتمدة في المقرر ا ب-15/18 والفقرة 4 من المقرر ا ب-14/5، وأن يقدمها لكي ينظر فيها مؤتمر الأطراف في اجتماعه السادس عشر</w:t>
      </w:r>
      <w:bookmarkStart w:id="4" w:name="_Hlk106790104"/>
      <w:bookmarkStart w:id="5" w:name="_Hlk106790019"/>
      <w:bookmarkEnd w:id="4"/>
      <w:bookmarkEnd w:id="5"/>
      <w:r>
        <w:rPr>
          <w:rFonts w:ascii="Simplified Arabic" w:hAnsi="Simplified Arabic" w:cs="Simplified Arabic" w:hint="cs"/>
          <w:sz w:val="24"/>
          <w:szCs w:val="24"/>
          <w:rtl/>
          <w:lang w:val="en-GB" w:eastAsia="en-US"/>
        </w:rPr>
        <w:t>؛</w:t>
      </w:r>
      <w:r w:rsidRPr="00DE0F03">
        <w:rPr>
          <w:rFonts w:ascii="Simplified Arabic" w:hAnsi="Simplified Arabic" w:cs="Simplified Arabic"/>
          <w:sz w:val="24"/>
          <w:szCs w:val="24"/>
          <w:rtl/>
          <w:lang w:val="en-GB" w:eastAsia="en-US"/>
        </w:rPr>
        <w:t xml:space="preserve"> </w:t>
      </w:r>
    </w:p>
    <w:p w14:paraId="01C6BDDA" w14:textId="77777777" w:rsidR="00286115" w:rsidRPr="00DE0F03" w:rsidRDefault="00286115" w:rsidP="00286115">
      <w:pPr>
        <w:pStyle w:val="Normalnumber"/>
        <w:numPr>
          <w:ilvl w:val="0"/>
          <w:numId w:val="11"/>
        </w:numPr>
        <w:tabs>
          <w:tab w:val="clear" w:pos="1247"/>
          <w:tab w:val="clear" w:pos="1814"/>
          <w:tab w:val="clear" w:pos="2381"/>
          <w:tab w:val="clear" w:pos="2948"/>
          <w:tab w:val="clear" w:pos="3515"/>
          <w:tab w:val="clear" w:pos="4082"/>
          <w:tab w:val="num" w:pos="2552"/>
        </w:tabs>
        <w:bidi/>
        <w:spacing w:line="360" w:lineRule="exact"/>
        <w:ind w:left="1134" w:firstLine="709"/>
        <w:jc w:val="both"/>
        <w:textDirection w:val="tbRlV"/>
        <w:rPr>
          <w:rFonts w:ascii="Simplified Arabic" w:hAnsi="Simplified Arabic" w:cs="Simplified Arabic"/>
          <w:sz w:val="24"/>
          <w:szCs w:val="24"/>
          <w:lang w:val="en-GB" w:eastAsia="en-US"/>
        </w:rPr>
      </w:pPr>
      <w:r w:rsidRPr="00DE0F03">
        <w:rPr>
          <w:rFonts w:ascii="Simplified Arabic" w:hAnsi="Simplified Arabic" w:cs="Simplified Arabic"/>
          <w:i/>
          <w:iCs/>
          <w:sz w:val="24"/>
          <w:szCs w:val="24"/>
          <w:rtl/>
          <w:lang w:val="en-GB" w:eastAsia="en-US"/>
        </w:rPr>
        <w:t>يطلب</w:t>
      </w:r>
      <w:r w:rsidRPr="00DE0F03">
        <w:rPr>
          <w:rFonts w:ascii="Simplified Arabic" w:hAnsi="Simplified Arabic" w:cs="Simplified Arabic"/>
          <w:sz w:val="24"/>
          <w:szCs w:val="24"/>
          <w:rtl/>
          <w:lang w:val="en-GB" w:eastAsia="en-US"/>
        </w:rPr>
        <w:t xml:space="preserve"> إلى الأمانة:</w:t>
      </w:r>
    </w:p>
    <w:p w14:paraId="406DFF6E" w14:textId="77777777" w:rsidR="00286115" w:rsidRPr="00DE0F03" w:rsidRDefault="00286115" w:rsidP="00286115">
      <w:pPr>
        <w:pStyle w:val="Normal-pool"/>
        <w:numPr>
          <w:ilvl w:val="0"/>
          <w:numId w:val="12"/>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الاضطلاع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تحتاج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المعتمدة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بموجب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ا ب-14/5،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أخرى</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ملائمة</w:t>
      </w:r>
      <w:proofErr w:type="spellEnd"/>
      <w:r w:rsidRPr="00DE0F03">
        <w:rPr>
          <w:rFonts w:ascii="Simplified Arabic" w:hAnsi="Simplified Arabic" w:cs="Simplified Arabic"/>
          <w:sz w:val="24"/>
          <w:szCs w:val="24"/>
        </w:rPr>
        <w:t>؛</w:t>
      </w:r>
      <w:proofErr w:type="gramEnd"/>
    </w:p>
    <w:p w14:paraId="56ECF162" w14:textId="77777777" w:rsidR="00286115" w:rsidRPr="00DE0F03" w:rsidRDefault="00286115" w:rsidP="00286115">
      <w:pPr>
        <w:pStyle w:val="Normal-pool"/>
        <w:numPr>
          <w:ilvl w:val="0"/>
          <w:numId w:val="12"/>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p w14:paraId="16638634" w14:textId="36C29C18" w:rsidR="00F935A6" w:rsidRPr="00286115" w:rsidRDefault="00F935A6" w:rsidP="00286115">
      <w:pPr>
        <w:pStyle w:val="Normal-pool"/>
      </w:pPr>
    </w:p>
    <w:sectPr w:rsidR="00F935A6" w:rsidRPr="002861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6E8BF" w14:textId="77777777" w:rsidR="0059143A" w:rsidRDefault="0059143A" w:rsidP="009F75FF">
      <w:r>
        <w:separator/>
      </w:r>
    </w:p>
  </w:endnote>
  <w:endnote w:type="continuationSeparator" w:id="0">
    <w:p w14:paraId="74756CE0" w14:textId="77777777" w:rsidR="0059143A" w:rsidRDefault="0059143A"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384B" w14:textId="77777777" w:rsidR="0059143A" w:rsidRDefault="0059143A" w:rsidP="009F75FF">
      <w:r>
        <w:separator/>
      </w:r>
    </w:p>
  </w:footnote>
  <w:footnote w:type="continuationSeparator" w:id="0">
    <w:p w14:paraId="5C43CCCD" w14:textId="77777777" w:rsidR="0059143A" w:rsidRDefault="0059143A" w:rsidP="009F7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6"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5"/>
  </w:num>
  <w:num w:numId="2" w16cid:durableId="1400636790">
    <w:abstractNumId w:val="3"/>
  </w:num>
  <w:num w:numId="3" w16cid:durableId="915284139">
    <w:abstractNumId w:val="6"/>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7"/>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11"/>
  </w:num>
  <w:num w:numId="7" w16cid:durableId="502823058">
    <w:abstractNumId w:val="2"/>
  </w:num>
  <w:num w:numId="8" w16cid:durableId="1579246298">
    <w:abstractNumId w:val="1"/>
  </w:num>
  <w:num w:numId="9" w16cid:durableId="478890557">
    <w:abstractNumId w:val="9"/>
  </w:num>
  <w:num w:numId="10" w16cid:durableId="1312324699">
    <w:abstractNumId w:val="10"/>
  </w:num>
  <w:num w:numId="11" w16cid:durableId="1970554629">
    <w:abstractNumId w:val="4"/>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65A88"/>
    <w:rsid w:val="00286115"/>
    <w:rsid w:val="0059143A"/>
    <w:rsid w:val="00742414"/>
    <w:rsid w:val="00836B73"/>
    <w:rsid w:val="00976B44"/>
    <w:rsid w:val="009F75FF"/>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1642</Characters>
  <Application>Microsoft Office Word</Application>
  <DocSecurity>0</DocSecurity>
  <Lines>13</Lines>
  <Paragraphs>3</Paragraphs>
  <ScaleCrop>false</ScaleCrop>
  <Company/>
  <LinksUpToDate>false</LinksUpToDate>
  <CharactersWithSpaces>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2023-04-27T09:37:00Z</dcterms:created>
  <dcterms:modified xsi:type="dcterms:W3CDTF">2023-04-27T09:37:00Z</dcterms:modified>
</cp:coreProperties>
</file>