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F1FBCE" w14:textId="77777777" w:rsidR="00C24420" w:rsidRPr="00B831E7" w:rsidRDefault="00C24420" w:rsidP="00C24420">
      <w:pPr>
        <w:pStyle w:val="CH1"/>
        <w:spacing w:before="0"/>
      </w:pPr>
      <w:r w:rsidRPr="00B831E7">
        <w:tab/>
      </w:r>
      <w:r w:rsidRPr="00B831E7">
        <w:tab/>
        <w:t xml:space="preserve">BC-15/7: </w:t>
      </w:r>
      <w:bookmarkStart w:id="0" w:name="_Hlk106789395"/>
      <w:r w:rsidRPr="00B831E7">
        <w:t xml:space="preserve">Technical guidelines </w:t>
      </w:r>
      <w:bookmarkStart w:id="1" w:name="_Hlk106789339"/>
      <w:r w:rsidRPr="00B831E7">
        <w:t xml:space="preserve">on transboundary movements of electrical and electronic waste and used electrical and electronic equipment, </w:t>
      </w:r>
      <w:proofErr w:type="gramStart"/>
      <w:r w:rsidRPr="00B831E7">
        <w:t>in particular regarding</w:t>
      </w:r>
      <w:proofErr w:type="gramEnd"/>
      <w:r w:rsidRPr="00B831E7">
        <w:t xml:space="preserve"> the distinction between waste and non</w:t>
      </w:r>
      <w:r w:rsidRPr="00B831E7">
        <w:noBreakHyphen/>
        <w:t>waste under the Basel Convention</w:t>
      </w:r>
      <w:bookmarkEnd w:id="0"/>
      <w:bookmarkEnd w:id="1"/>
    </w:p>
    <w:p w14:paraId="6E55FC5A" w14:textId="77777777" w:rsidR="00C24420" w:rsidRPr="00B831E7" w:rsidRDefault="00C24420" w:rsidP="00C24420">
      <w:pPr>
        <w:pStyle w:val="Normal-pool"/>
        <w:spacing w:after="120"/>
        <w:ind w:left="1247" w:firstLine="624"/>
        <w:rPr>
          <w:bCs/>
          <w:i/>
          <w:iCs/>
        </w:rPr>
      </w:pPr>
      <w:r w:rsidRPr="00B831E7">
        <w:rPr>
          <w:i/>
          <w:iCs/>
        </w:rPr>
        <w:t>The Conference of the Parties</w:t>
      </w:r>
    </w:p>
    <w:p w14:paraId="73BF05D3" w14:textId="77777777" w:rsidR="00C24420" w:rsidRPr="00B831E7" w:rsidRDefault="00C24420" w:rsidP="00C24420">
      <w:pPr>
        <w:pStyle w:val="Normal-pool"/>
        <w:numPr>
          <w:ilvl w:val="0"/>
          <w:numId w:val="1"/>
        </w:numPr>
        <w:tabs>
          <w:tab w:val="clear" w:pos="2381"/>
          <w:tab w:val="clear" w:pos="2948"/>
          <w:tab w:val="clear" w:pos="3515"/>
          <w:tab w:val="clear" w:pos="4082"/>
        </w:tabs>
        <w:spacing w:after="120"/>
        <w:ind w:left="1247" w:firstLine="624"/>
      </w:pPr>
      <w:r w:rsidRPr="00B831E7">
        <w:rPr>
          <w:i/>
          <w:iCs/>
        </w:rPr>
        <w:t>Welcomes with appreciation</w:t>
      </w:r>
      <w:r w:rsidRPr="00B831E7">
        <w:t xml:space="preserve"> the contributions made by the expert working group to the tasks pertaining to the technical guidelines on transboundary movements of electrical and electronic waste and used electrical and electronic equipment, in particular regarding the distinction between waste and non-waste under the Basel </w:t>
      </w:r>
      <w:proofErr w:type="gramStart"/>
      <w:r w:rsidRPr="00B831E7">
        <w:t>Convention;</w:t>
      </w:r>
      <w:proofErr w:type="gramEnd"/>
      <w:r w:rsidRPr="00B831E7">
        <w:t xml:space="preserve"> </w:t>
      </w:r>
    </w:p>
    <w:p w14:paraId="024F56AF" w14:textId="77777777" w:rsidR="00C24420" w:rsidRPr="00B831E7" w:rsidRDefault="00C24420" w:rsidP="00C24420">
      <w:pPr>
        <w:pStyle w:val="Normal-pool"/>
        <w:numPr>
          <w:ilvl w:val="0"/>
          <w:numId w:val="1"/>
        </w:numPr>
        <w:tabs>
          <w:tab w:val="clear" w:pos="2381"/>
          <w:tab w:val="clear" w:pos="2948"/>
          <w:tab w:val="clear" w:pos="3515"/>
          <w:tab w:val="clear" w:pos="4082"/>
        </w:tabs>
        <w:spacing w:after="120"/>
        <w:ind w:left="1247" w:firstLine="624"/>
      </w:pPr>
      <w:bookmarkStart w:id="2" w:name="_Hlk106789439"/>
      <w:r w:rsidRPr="00B831E7">
        <w:rPr>
          <w:i/>
          <w:iCs/>
        </w:rPr>
        <w:t xml:space="preserve">Decides </w:t>
      </w:r>
      <w:r w:rsidRPr="00B831E7">
        <w:t>to extend the mandate of the expert working group established by paragraph 4 of decision BC-13/</w:t>
      </w:r>
      <w:proofErr w:type="gramStart"/>
      <w:r w:rsidRPr="00B831E7">
        <w:t>5;</w:t>
      </w:r>
      <w:proofErr w:type="gramEnd"/>
    </w:p>
    <w:bookmarkEnd w:id="2"/>
    <w:p w14:paraId="38BD21C2" w14:textId="77777777" w:rsidR="00C24420" w:rsidRPr="00B831E7" w:rsidRDefault="00C24420" w:rsidP="00C24420">
      <w:pPr>
        <w:pStyle w:val="Normal-pool"/>
        <w:numPr>
          <w:ilvl w:val="0"/>
          <w:numId w:val="1"/>
        </w:numPr>
        <w:tabs>
          <w:tab w:val="clear" w:pos="2381"/>
          <w:tab w:val="clear" w:pos="2948"/>
          <w:tab w:val="clear" w:pos="3515"/>
          <w:tab w:val="clear" w:pos="4082"/>
        </w:tabs>
        <w:spacing w:after="120"/>
        <w:ind w:left="1247" w:firstLine="624"/>
      </w:pPr>
      <w:r w:rsidRPr="00B831E7">
        <w:rPr>
          <w:i/>
          <w:iCs/>
        </w:rPr>
        <w:t>Invites</w:t>
      </w:r>
      <w:r w:rsidRPr="00B831E7">
        <w:t xml:space="preserve"> each regional group to reconsider their nomination and nominate, as appropriate, through its Bureau representatives, by 15 August </w:t>
      </w:r>
      <w:r w:rsidRPr="00B831E7">
        <w:rPr>
          <w:bCs/>
        </w:rPr>
        <w:t>2022</w:t>
      </w:r>
      <w:r w:rsidRPr="00B831E7">
        <w:t xml:space="preserve">, members of the expert working group with relevant knowledge and expertise, and requests the Secretariat to facilitate the nomination </w:t>
      </w:r>
      <w:proofErr w:type="gramStart"/>
      <w:r w:rsidRPr="00B831E7">
        <w:t>process;</w:t>
      </w:r>
      <w:proofErr w:type="gramEnd"/>
    </w:p>
    <w:p w14:paraId="4AC4F36F" w14:textId="77777777" w:rsidR="00C24420" w:rsidRPr="00B831E7" w:rsidRDefault="00C24420" w:rsidP="00C24420">
      <w:pPr>
        <w:pStyle w:val="Normal-pool"/>
        <w:numPr>
          <w:ilvl w:val="0"/>
          <w:numId w:val="1"/>
        </w:numPr>
        <w:tabs>
          <w:tab w:val="clear" w:pos="2381"/>
          <w:tab w:val="clear" w:pos="2948"/>
          <w:tab w:val="clear" w:pos="3515"/>
          <w:tab w:val="clear" w:pos="4082"/>
        </w:tabs>
        <w:spacing w:after="120"/>
        <w:ind w:left="1247" w:firstLine="624"/>
      </w:pPr>
      <w:r w:rsidRPr="00B831E7">
        <w:rPr>
          <w:i/>
          <w:iCs/>
        </w:rPr>
        <w:t>Invites</w:t>
      </w:r>
      <w:r w:rsidRPr="00B831E7">
        <w:t xml:space="preserve"> Parties and others </w:t>
      </w:r>
      <w:bookmarkStart w:id="3" w:name="_Hlk106789564"/>
      <w:r w:rsidRPr="00B831E7">
        <w:t xml:space="preserve">to use and/or test, on a pilot basis, the technical guidelines adopted on an interim basis by decision BC-14/5 and to submit, not later than </w:t>
      </w:r>
      <w:r w:rsidRPr="00B831E7">
        <w:rPr>
          <w:bCs/>
        </w:rPr>
        <w:t xml:space="preserve">31 </w:t>
      </w:r>
      <w:r w:rsidRPr="00B831E7">
        <w:rPr>
          <w:bCs/>
          <w:color w:val="000000"/>
        </w:rPr>
        <w:t>October</w:t>
      </w:r>
      <w:r w:rsidRPr="00B831E7">
        <w:rPr>
          <w:bCs/>
        </w:rPr>
        <w:t xml:space="preserve"> 2022</w:t>
      </w:r>
      <w:r w:rsidRPr="00B831E7">
        <w:t xml:space="preserve">, the results of their use and/or testing of the technical guidelines to the Secretariat for the consideration of the expert working </w:t>
      </w:r>
      <w:proofErr w:type="gramStart"/>
      <w:r w:rsidRPr="00B831E7">
        <w:t>group;</w:t>
      </w:r>
      <w:bookmarkEnd w:id="3"/>
      <w:proofErr w:type="gramEnd"/>
    </w:p>
    <w:p w14:paraId="00BBBFA5" w14:textId="77777777" w:rsidR="00C24420" w:rsidRPr="00B831E7" w:rsidRDefault="00C24420" w:rsidP="00C24420">
      <w:pPr>
        <w:pStyle w:val="Normal-pool"/>
        <w:numPr>
          <w:ilvl w:val="0"/>
          <w:numId w:val="1"/>
        </w:numPr>
        <w:tabs>
          <w:tab w:val="clear" w:pos="2381"/>
          <w:tab w:val="clear" w:pos="2948"/>
          <w:tab w:val="clear" w:pos="3515"/>
          <w:tab w:val="clear" w:pos="4082"/>
        </w:tabs>
        <w:spacing w:after="120"/>
        <w:ind w:left="1247" w:firstLine="624"/>
        <w:rPr>
          <w:i/>
          <w:iCs/>
        </w:rPr>
      </w:pPr>
      <w:r w:rsidRPr="00B831E7">
        <w:rPr>
          <w:i/>
          <w:iCs/>
        </w:rPr>
        <w:t>Requests</w:t>
      </w:r>
      <w:r w:rsidRPr="00B831E7">
        <w:t xml:space="preserve"> the expert working group, taking into account, inter alia, </w:t>
      </w:r>
      <w:bookmarkStart w:id="4" w:name="_Hlk106790104"/>
      <w:r w:rsidRPr="00B831E7">
        <w:t>the comments received in accordance with paragraph 4 of the present decision</w:t>
      </w:r>
      <w:bookmarkEnd w:id="4"/>
      <w:r w:rsidRPr="00B831E7">
        <w:t xml:space="preserve">, to prepare </w:t>
      </w:r>
      <w:bookmarkStart w:id="5" w:name="_Hlk106790019"/>
      <w:r w:rsidRPr="00B831E7">
        <w:rPr>
          <w:color w:val="000000"/>
        </w:rPr>
        <w:t>updated</w:t>
      </w:r>
      <w:r w:rsidRPr="00B831E7">
        <w:rPr>
          <w:b/>
          <w:bCs/>
          <w:color w:val="000000"/>
        </w:rPr>
        <w:t xml:space="preserve"> </w:t>
      </w:r>
      <w:r w:rsidRPr="00B831E7">
        <w:t xml:space="preserve">technical guidelines, taking into consideration </w:t>
      </w:r>
      <w:r w:rsidRPr="00B831E7">
        <w:rPr>
          <w:bCs/>
          <w:color w:val="000000"/>
        </w:rPr>
        <w:t>the amendments to Annexes II, VIII and IX to the Basel Convention adopted in decision BC-15/18 and</w:t>
      </w:r>
      <w:r w:rsidRPr="00B831E7">
        <w:rPr>
          <w:color w:val="000000"/>
        </w:rPr>
        <w:t xml:space="preserve"> paragraph 4 of decision BC-14/5, and to submit them for the consideration of the Conference of the Parties at its sixteenth </w:t>
      </w:r>
      <w:proofErr w:type="gramStart"/>
      <w:r w:rsidRPr="00B831E7">
        <w:rPr>
          <w:color w:val="000000"/>
        </w:rPr>
        <w:t>meeting;</w:t>
      </w:r>
      <w:proofErr w:type="gramEnd"/>
      <w:r w:rsidRPr="00B831E7">
        <w:rPr>
          <w:color w:val="000000"/>
        </w:rPr>
        <w:t xml:space="preserve"> </w:t>
      </w:r>
      <w:bookmarkEnd w:id="5"/>
    </w:p>
    <w:p w14:paraId="3DB3DA02" w14:textId="77777777" w:rsidR="00C24420" w:rsidRPr="00B831E7" w:rsidRDefault="00C24420" w:rsidP="00C24420">
      <w:pPr>
        <w:pStyle w:val="Normal-pool"/>
        <w:numPr>
          <w:ilvl w:val="0"/>
          <w:numId w:val="1"/>
        </w:numPr>
        <w:tabs>
          <w:tab w:val="clear" w:pos="2381"/>
          <w:tab w:val="clear" w:pos="2948"/>
          <w:tab w:val="clear" w:pos="3515"/>
          <w:tab w:val="clear" w:pos="4082"/>
        </w:tabs>
        <w:spacing w:after="120"/>
        <w:ind w:left="1247" w:firstLine="624"/>
      </w:pPr>
      <w:r w:rsidRPr="00B831E7">
        <w:rPr>
          <w:i/>
          <w:iCs/>
        </w:rPr>
        <w:t xml:space="preserve">Requests </w:t>
      </w:r>
      <w:r w:rsidRPr="00B831E7">
        <w:t>the Secretariat</w:t>
      </w:r>
      <w:r w:rsidRPr="00B831E7">
        <w:rPr>
          <w:i/>
          <w:iCs/>
        </w:rPr>
        <w:t>:</w:t>
      </w:r>
    </w:p>
    <w:p w14:paraId="37BF59FE" w14:textId="77777777" w:rsidR="00C24420" w:rsidRPr="00B831E7" w:rsidRDefault="00C24420" w:rsidP="00C24420">
      <w:pPr>
        <w:pStyle w:val="Normal-pool"/>
        <w:numPr>
          <w:ilvl w:val="0"/>
          <w:numId w:val="2"/>
        </w:numPr>
        <w:tabs>
          <w:tab w:val="clear" w:pos="2381"/>
          <w:tab w:val="clear" w:pos="2948"/>
          <w:tab w:val="clear" w:pos="3515"/>
          <w:tab w:val="clear" w:pos="4082"/>
        </w:tabs>
        <w:spacing w:after="120"/>
        <w:ind w:left="1247" w:firstLine="624"/>
      </w:pPr>
      <w:r w:rsidRPr="00B831E7">
        <w:t xml:space="preserve">To continue to undertake, subject to the availability of resources, technical assistance activities to support developing-country Parties and other Parties in need of assistance to use the technical guidelines adopted by decision BC-14/5, organizing such activities in cooperation with the Basel Convention regional and coordinating centres or by other appropriate </w:t>
      </w:r>
      <w:proofErr w:type="gramStart"/>
      <w:r w:rsidRPr="00B831E7">
        <w:t>means;</w:t>
      </w:r>
      <w:proofErr w:type="gramEnd"/>
    </w:p>
    <w:p w14:paraId="42EC2D5B" w14:textId="77777777" w:rsidR="00C24420" w:rsidRPr="00B831E7" w:rsidRDefault="00C24420" w:rsidP="00C24420">
      <w:pPr>
        <w:pStyle w:val="Normal-pool"/>
        <w:numPr>
          <w:ilvl w:val="0"/>
          <w:numId w:val="2"/>
        </w:numPr>
        <w:tabs>
          <w:tab w:val="clear" w:pos="2381"/>
          <w:tab w:val="clear" w:pos="2948"/>
          <w:tab w:val="clear" w:pos="3515"/>
          <w:tab w:val="clear" w:pos="4082"/>
        </w:tabs>
        <w:spacing w:after="120"/>
        <w:ind w:left="1247" w:firstLine="624"/>
      </w:pPr>
      <w:r w:rsidRPr="00B831E7">
        <w:t>To report on the implementation of the present decision to the Open-ended Working Group at its thirteenth meeting and to the Conference of the Parties at its sixteenth meeting.</w:t>
      </w:r>
    </w:p>
    <w:p w14:paraId="1D7F4CB3" w14:textId="76D1183F" w:rsidR="00F935A6" w:rsidRPr="00C24420" w:rsidRDefault="00F935A6" w:rsidP="00C24420">
      <w:pPr>
        <w:spacing w:after="120"/>
        <w:rPr>
          <w:rFonts w:eastAsia="Times New Roman"/>
          <w:lang w:val="en-GB"/>
        </w:rPr>
      </w:pPr>
    </w:p>
    <w:sectPr w:rsidR="00F935A6" w:rsidRPr="00C24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9535577">
    <w:abstractNumId w:val="1"/>
  </w:num>
  <w:num w:numId="2" w16cid:durableId="14732524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836B73"/>
    <w:rsid w:val="00C24420"/>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1989</Characters>
  <Application>Microsoft Office Word</Application>
  <DocSecurity>0</DocSecurity>
  <Lines>16</Lines>
  <Paragraphs>4</Paragraphs>
  <ScaleCrop>false</ScaleCrop>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2023-04-24T12:59:00Z</dcterms:created>
  <dcterms:modified xsi:type="dcterms:W3CDTF">2023-04-24T12:59:00Z</dcterms:modified>
</cp:coreProperties>
</file>