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A32A7" w14:textId="77777777" w:rsidR="00AD56CA" w:rsidRPr="00447994" w:rsidRDefault="00AD56CA" w:rsidP="00AD56CA">
      <w:pPr>
        <w:pStyle w:val="CH1"/>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15/7: Directrices técnicas sobre los movimientos transfronterizos de desechos eléctricos y electrónicos y de equipo eléctrico y electrónico usado, en particular respecto de la distinción entre desechos y materiales que no son desechos en el marco del Convenio de Basilea</w:t>
      </w:r>
      <w:bookmarkStart w:id="0" w:name="_Hlk106789395"/>
      <w:bookmarkStart w:id="1" w:name="_Hlk106789339"/>
      <w:bookmarkEnd w:id="0"/>
      <w:bookmarkEnd w:id="1"/>
    </w:p>
    <w:p w14:paraId="2B162B67" w14:textId="77777777" w:rsidR="00AD56CA" w:rsidRPr="00447994" w:rsidRDefault="00AD56CA" w:rsidP="00AD56CA">
      <w:pPr>
        <w:pStyle w:val="Normal-pool"/>
        <w:spacing w:after="120"/>
        <w:ind w:left="1247" w:firstLine="624"/>
        <w:rPr>
          <w:bCs/>
          <w:i/>
          <w:iCs/>
          <w:lang w:val="es-ES_tradnl"/>
        </w:rPr>
      </w:pPr>
      <w:r w:rsidRPr="00447994">
        <w:rPr>
          <w:i/>
          <w:iCs/>
          <w:lang w:val="es-ES_tradnl"/>
        </w:rPr>
        <w:t>La Conferencia de las Partes</w:t>
      </w:r>
    </w:p>
    <w:p w14:paraId="0C8BD647" w14:textId="77777777" w:rsidR="00AD56CA" w:rsidRPr="00447994" w:rsidRDefault="00AD56CA" w:rsidP="00AD56CA">
      <w:pPr>
        <w:pStyle w:val="Normal-pool"/>
        <w:numPr>
          <w:ilvl w:val="0"/>
          <w:numId w:val="11"/>
        </w:numPr>
        <w:spacing w:after="120"/>
        <w:ind w:left="1247" w:firstLine="624"/>
        <w:rPr>
          <w:lang w:val="es-ES_tradnl"/>
        </w:rPr>
      </w:pPr>
      <w:r w:rsidRPr="00447994">
        <w:rPr>
          <w:i/>
          <w:iCs/>
          <w:lang w:val="es-ES_tradnl"/>
        </w:rPr>
        <w:t>Acoge con aprecio</w:t>
      </w:r>
      <w:r w:rsidRPr="00447994">
        <w:rPr>
          <w:lang w:val="es-ES_tradnl"/>
        </w:rPr>
        <w:t xml:space="preserve"> las contribuciones efectuadas por el grupo de trabajo de expertos para realizar las tareas relacionadas con las directrices técnicas sobre los movimientos transfronterizos de desechos eléctricos y electrónicos y de equipo eléctrico y electrónico usado, en particular respecto de la distinción entre desechos y materiales que no son desechos en el marco del Convenio de Basilea; </w:t>
      </w:r>
    </w:p>
    <w:p w14:paraId="6BA81CAF" w14:textId="77777777" w:rsidR="00AD56CA" w:rsidRPr="00447994" w:rsidRDefault="00AD56CA" w:rsidP="00AD56CA">
      <w:pPr>
        <w:pStyle w:val="Normal-pool"/>
        <w:numPr>
          <w:ilvl w:val="0"/>
          <w:numId w:val="11"/>
        </w:numPr>
        <w:spacing w:after="120"/>
        <w:ind w:left="1247" w:firstLine="624"/>
        <w:rPr>
          <w:rFonts w:eastAsia="Times New Roman"/>
          <w:lang w:val="es-ES_tradnl"/>
        </w:rPr>
      </w:pPr>
      <w:bookmarkStart w:id="2" w:name="_Hlk106789439"/>
      <w:r w:rsidRPr="00447994">
        <w:rPr>
          <w:i/>
          <w:iCs/>
          <w:lang w:val="es-ES_tradnl"/>
        </w:rPr>
        <w:t>Decide</w:t>
      </w:r>
      <w:r w:rsidRPr="00447994">
        <w:rPr>
          <w:lang w:val="es-ES_tradnl"/>
        </w:rPr>
        <w:t xml:space="preserve"> prorrogar el grupo de trabajo de expertos establecido al amparo del párrafo 4 de la decisión BC</w:t>
      </w:r>
      <w:r w:rsidRPr="00447994">
        <w:rPr>
          <w:lang w:val="es-ES_tradnl"/>
        </w:rPr>
        <w:noBreakHyphen/>
        <w:t>13/5;</w:t>
      </w:r>
    </w:p>
    <w:bookmarkEnd w:id="2"/>
    <w:p w14:paraId="2B615CF0" w14:textId="77777777" w:rsidR="00AD56CA" w:rsidRPr="00447994" w:rsidRDefault="00AD56CA" w:rsidP="00AD56CA">
      <w:pPr>
        <w:pStyle w:val="Normal-pool"/>
        <w:numPr>
          <w:ilvl w:val="0"/>
          <w:numId w:val="11"/>
        </w:numPr>
        <w:spacing w:after="120"/>
        <w:ind w:left="1247" w:firstLine="624"/>
        <w:rPr>
          <w:rFonts w:eastAsia="Times New Roman"/>
          <w:lang w:val="es-ES_tradnl"/>
        </w:rPr>
      </w:pPr>
      <w:r w:rsidRPr="00447994">
        <w:rPr>
          <w:i/>
          <w:iCs/>
          <w:lang w:val="es-ES_tradnl"/>
        </w:rPr>
        <w:t>Invita</w:t>
      </w:r>
      <w:r w:rsidRPr="00447994">
        <w:rPr>
          <w:lang w:val="es-ES_tradnl"/>
        </w:rPr>
        <w:t xml:space="preserve"> a los grupos regionales a reexaminar sus candidaturas y, en su caso, a proponer por conducto de sus representantes en la Mesa, antes del 15 de agosto de 2022, unos candidatos que posean la competencia y los conocimientos necesarios para integrar el grupo de trabajo de expertos, y solicita a la Secretaría que facilite el proceso de presentación de candidaturas;</w:t>
      </w:r>
    </w:p>
    <w:p w14:paraId="5137244D" w14:textId="77777777" w:rsidR="00AD56CA" w:rsidRPr="00447994" w:rsidRDefault="00AD56CA" w:rsidP="00AD56CA">
      <w:pPr>
        <w:pStyle w:val="Normal-pool"/>
        <w:numPr>
          <w:ilvl w:val="0"/>
          <w:numId w:val="11"/>
        </w:numPr>
        <w:spacing w:after="120"/>
        <w:ind w:left="1247" w:firstLine="624"/>
        <w:rPr>
          <w:rFonts w:eastAsia="Times New Roman"/>
          <w:lang w:val="es-ES_tradnl"/>
        </w:rPr>
      </w:pPr>
      <w:r w:rsidRPr="00447994">
        <w:rPr>
          <w:i/>
          <w:iCs/>
          <w:lang w:val="es-ES_tradnl"/>
        </w:rPr>
        <w:t>Invita</w:t>
      </w:r>
      <w:r w:rsidRPr="00447994">
        <w:rPr>
          <w:lang w:val="es-ES_tradnl"/>
        </w:rPr>
        <w:t xml:space="preserve"> a las Partes y otros interesados a usar o poner a prueba, con carácter experimental, las directrices técnicas aprobadas de manera provisional por la decisión BC</w:t>
      </w:r>
      <w:r w:rsidRPr="00447994">
        <w:rPr>
          <w:lang w:val="es-ES_tradnl"/>
        </w:rPr>
        <w:noBreakHyphen/>
        <w:t>14/5 y a presentar a la Secretaría, a más tardar el 31 de octubre de 2022, los resultados de ese uso o puesta a prueba para que los examine el grupo de trabajo de expertos;</w:t>
      </w:r>
      <w:bookmarkStart w:id="3" w:name="_Hlk106789564"/>
      <w:bookmarkEnd w:id="3"/>
    </w:p>
    <w:p w14:paraId="4B7871E4" w14:textId="77777777" w:rsidR="00AD56CA" w:rsidRPr="00447994" w:rsidRDefault="00AD56CA" w:rsidP="00AD56CA">
      <w:pPr>
        <w:pStyle w:val="Normal-pool"/>
        <w:numPr>
          <w:ilvl w:val="0"/>
          <w:numId w:val="11"/>
        </w:numPr>
        <w:spacing w:after="120"/>
        <w:ind w:left="1247" w:firstLine="624"/>
        <w:rPr>
          <w:rFonts w:eastAsia="Times New Roman"/>
          <w:i/>
          <w:iCs/>
          <w:lang w:val="es-ES_tradnl"/>
        </w:rPr>
      </w:pPr>
      <w:r w:rsidRPr="00447994">
        <w:rPr>
          <w:i/>
          <w:iCs/>
          <w:lang w:val="es-ES_tradnl"/>
        </w:rPr>
        <w:t>Solicita</w:t>
      </w:r>
      <w:r w:rsidRPr="00447994">
        <w:rPr>
          <w:lang w:val="es-ES_tradnl"/>
        </w:rPr>
        <w:t xml:space="preserve"> al grupo de trabajo de expertos que, teniendo en cuenta, entre otras cosas, las observaciones recibidas según lo dispuesto en el párrafo 4 de la presente decisión, prepare unas directrices técnicas actualizadas, tomando en consideración las enmiendas de los anexos II, VIII y IX del Convenio de Basilea aprobadas en la decisión BC</w:t>
      </w:r>
      <w:r w:rsidRPr="00447994">
        <w:rPr>
          <w:lang w:val="es-ES_tradnl"/>
        </w:rPr>
        <w:noBreakHyphen/>
        <w:t>15/8 y el párrafo 4 de la decisión BC</w:t>
      </w:r>
      <w:r w:rsidRPr="00447994">
        <w:rPr>
          <w:lang w:val="es-ES_tradnl"/>
        </w:rPr>
        <w:noBreakHyphen/>
        <w:t xml:space="preserve">14/5, para que las examine la Conferencia de las Partes en su 16ª reunión; </w:t>
      </w:r>
      <w:bookmarkStart w:id="4" w:name="_Hlk106790104"/>
      <w:bookmarkStart w:id="5" w:name="_Hlk106790019"/>
      <w:bookmarkEnd w:id="4"/>
      <w:bookmarkEnd w:id="5"/>
    </w:p>
    <w:p w14:paraId="66B62273" w14:textId="77777777" w:rsidR="00AD56CA" w:rsidRPr="00447994" w:rsidRDefault="00AD56CA" w:rsidP="00AD56CA">
      <w:pPr>
        <w:pStyle w:val="Normal-pool"/>
        <w:numPr>
          <w:ilvl w:val="0"/>
          <w:numId w:val="11"/>
        </w:numPr>
        <w:spacing w:after="120"/>
        <w:ind w:left="1247" w:firstLine="624"/>
        <w:rPr>
          <w:rFonts w:eastAsia="Times New Roman"/>
          <w:lang w:val="es-ES_tradnl"/>
        </w:rPr>
      </w:pPr>
      <w:r w:rsidRPr="00447994">
        <w:rPr>
          <w:i/>
          <w:iCs/>
          <w:lang w:val="es-ES_tradnl"/>
        </w:rPr>
        <w:t>Solicita</w:t>
      </w:r>
      <w:r w:rsidRPr="00447994">
        <w:rPr>
          <w:lang w:val="es-ES_tradnl"/>
        </w:rPr>
        <w:t xml:space="preserve"> a la Secretaría que:</w:t>
      </w:r>
    </w:p>
    <w:p w14:paraId="745481D2" w14:textId="77777777" w:rsidR="00AD56CA" w:rsidRPr="00447994" w:rsidRDefault="00AD56CA" w:rsidP="00AD56CA">
      <w:pPr>
        <w:pStyle w:val="Normal-pool"/>
        <w:numPr>
          <w:ilvl w:val="0"/>
          <w:numId w:val="12"/>
        </w:numPr>
        <w:spacing w:after="120"/>
        <w:ind w:left="1247" w:firstLine="624"/>
        <w:rPr>
          <w:rFonts w:eastAsia="Times New Roman"/>
          <w:lang w:val="es-ES_tradnl"/>
        </w:rPr>
      </w:pPr>
      <w:r w:rsidRPr="00447994">
        <w:rPr>
          <w:lang w:val="es-ES_tradnl"/>
        </w:rPr>
        <w:t>Siga emprendiendo actividades de asistencia técnica, en función de los recursos disponibles, para ayudar a las Partes que sean países en desarrollo y otras Partes que necesiten asistencia a utilizar las directrices técnicas aprobadas en virtud de la decisión BC</w:t>
      </w:r>
      <w:r w:rsidRPr="00447994">
        <w:rPr>
          <w:lang w:val="es-ES_tradnl"/>
        </w:rPr>
        <w:noBreakHyphen/>
        <w:t>14/5, y organice esas actividades en cooperación con los centros regionales y de coordinación del Convenio de Basilea o por otros medios apropiados;</w:t>
      </w:r>
    </w:p>
    <w:p w14:paraId="690552A4" w14:textId="77777777" w:rsidR="00AD56CA" w:rsidRPr="00447994" w:rsidRDefault="00AD56CA" w:rsidP="00AD56CA">
      <w:pPr>
        <w:pStyle w:val="Normal-pool"/>
        <w:numPr>
          <w:ilvl w:val="0"/>
          <w:numId w:val="12"/>
        </w:numPr>
        <w:spacing w:after="120"/>
        <w:ind w:left="1247" w:firstLine="624"/>
        <w:rPr>
          <w:rFonts w:eastAsia="Times New Roman"/>
          <w:lang w:val="es-ES_tradnl"/>
        </w:rPr>
      </w:pPr>
      <w:r w:rsidRPr="00447994">
        <w:rPr>
          <w:lang w:val="es-ES_tradnl"/>
        </w:rPr>
        <w:t>Rinda informe sobre la aplicación de la presente decisión al Grupo de Trabajo de composición abierta en su 13ª reunión y a la Conferencia de las Partes en su 16ª reunión.</w:t>
      </w:r>
    </w:p>
    <w:p w14:paraId="5E5F9B2A" w14:textId="5E5BADBB" w:rsidR="00F935A6" w:rsidRPr="00AD56CA" w:rsidRDefault="00F935A6" w:rsidP="00AD56CA">
      <w:pPr>
        <w:pStyle w:val="Normal-pool"/>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25834" w14:textId="77777777" w:rsidR="00B21F61" w:rsidRDefault="00B21F61" w:rsidP="00162093">
      <w:r>
        <w:separator/>
      </w:r>
    </w:p>
  </w:endnote>
  <w:endnote w:type="continuationSeparator" w:id="0">
    <w:p w14:paraId="5F3C61AB" w14:textId="77777777" w:rsidR="00B21F61" w:rsidRDefault="00B21F61"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B3420" w14:textId="77777777" w:rsidR="00B21F61" w:rsidRDefault="00B21F61" w:rsidP="00162093">
      <w:r>
        <w:separator/>
      </w:r>
    </w:p>
  </w:footnote>
  <w:footnote w:type="continuationSeparator" w:id="0">
    <w:p w14:paraId="304C904E" w14:textId="77777777" w:rsidR="00B21F61" w:rsidRDefault="00B21F61" w:rsidP="001620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36FCE92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E84EB2C6"/>
    <w:lvl w:ilvl="0" w:tplc="F57297D4">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11C554E"/>
    <w:multiLevelType w:val="hybridMultilevel"/>
    <w:tmpl w:val="78689228"/>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8"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A22318"/>
    <w:multiLevelType w:val="hybridMultilevel"/>
    <w:tmpl w:val="7D2A20E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0" w15:restartNumberingAfterBreak="0">
    <w:nsid w:val="6F241682"/>
    <w:multiLevelType w:val="hybridMultilevel"/>
    <w:tmpl w:val="FB1861B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657F53"/>
    <w:multiLevelType w:val="hybridMultilevel"/>
    <w:tmpl w:val="7E062F5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39563191">
    <w:abstractNumId w:val="4"/>
  </w:num>
  <w:num w:numId="2" w16cid:durableId="856044302">
    <w:abstractNumId w:val="5"/>
  </w:num>
  <w:num w:numId="3" w16cid:durableId="462120716">
    <w:abstractNumId w:val="6"/>
  </w:num>
  <w:num w:numId="4" w16cid:durableId="789864886">
    <w:abstractNumId w:val="1"/>
  </w:num>
  <w:num w:numId="5" w16cid:durableId="1728645053">
    <w:abstractNumId w:val="8"/>
  </w:num>
  <w:num w:numId="6" w16cid:durableId="85813326">
    <w:abstractNumId w:val="10"/>
  </w:num>
  <w:num w:numId="7" w16cid:durableId="1191188355">
    <w:abstractNumId w:val="9"/>
  </w:num>
  <w:num w:numId="8" w16cid:durableId="999232160">
    <w:abstractNumId w:val="11"/>
  </w:num>
  <w:num w:numId="9" w16cid:durableId="1014069525">
    <w:abstractNumId w:val="0"/>
  </w:num>
  <w:num w:numId="10" w16cid:durableId="1870412707">
    <w:abstractNumId w:val="7"/>
  </w:num>
  <w:num w:numId="11" w16cid:durableId="841354719">
    <w:abstractNumId w:val="3"/>
  </w:num>
  <w:num w:numId="12" w16cid:durableId="17485267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162093"/>
    <w:rsid w:val="00245BBD"/>
    <w:rsid w:val="003C0CF7"/>
    <w:rsid w:val="0067579D"/>
    <w:rsid w:val="00836B73"/>
    <w:rsid w:val="00AD56CA"/>
    <w:rsid w:val="00B21F61"/>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386</Words>
  <Characters>2203</Characters>
  <Application>Microsoft Office Word</Application>
  <DocSecurity>0</DocSecurity>
  <Lines>18</Lines>
  <Paragraphs>5</Paragraphs>
  <ScaleCrop>false</ScaleCrop>
  <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2023-05-22T13:22:00Z</dcterms:created>
  <dcterms:modified xsi:type="dcterms:W3CDTF">2023-05-22T13:22:00Z</dcterms:modified>
</cp:coreProperties>
</file>