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8617A" w14:textId="77777777" w:rsidR="00F636BC" w:rsidRPr="002A632F" w:rsidRDefault="00F636BC" w:rsidP="00F636BC">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866584">
        <w:rPr>
          <w:rFonts w:eastAsia="SimHei"/>
          <w:bCs/>
          <w:sz w:val="32"/>
          <w:szCs w:val="32"/>
          <w:lang w:val="zh-CN" w:eastAsia="zh-CN"/>
        </w:rPr>
        <w:t>BC-15/8</w:t>
      </w:r>
      <w:r w:rsidRPr="00866584">
        <w:rPr>
          <w:rFonts w:eastAsia="SimHei"/>
          <w:bCs/>
          <w:sz w:val="32"/>
          <w:szCs w:val="32"/>
          <w:lang w:val="zh-CN" w:eastAsia="zh-CN"/>
        </w:rPr>
        <w:t>：关于陆地焚烧（</w:t>
      </w:r>
      <w:r w:rsidRPr="00866584">
        <w:rPr>
          <w:rFonts w:eastAsia="SimHei"/>
          <w:bCs/>
          <w:sz w:val="32"/>
          <w:szCs w:val="32"/>
          <w:lang w:val="zh-CN" w:eastAsia="zh-CN"/>
        </w:rPr>
        <w:t>D10</w:t>
      </w:r>
      <w:r w:rsidRPr="00866584">
        <w:rPr>
          <w:rFonts w:eastAsia="SimHei"/>
          <w:bCs/>
          <w:sz w:val="32"/>
          <w:szCs w:val="32"/>
          <w:lang w:val="zh-CN" w:eastAsia="zh-CN"/>
        </w:rPr>
        <w:t>）和关于特别设计的填埋场（</w:t>
      </w:r>
      <w:r w:rsidRPr="00866584">
        <w:rPr>
          <w:rFonts w:eastAsia="SimHei"/>
          <w:bCs/>
          <w:sz w:val="32"/>
          <w:szCs w:val="32"/>
          <w:lang w:val="zh-CN" w:eastAsia="zh-CN"/>
        </w:rPr>
        <w:t>D5</w:t>
      </w:r>
      <w:r w:rsidRPr="00866584">
        <w:rPr>
          <w:rFonts w:eastAsia="SimHei"/>
          <w:bCs/>
          <w:sz w:val="32"/>
          <w:szCs w:val="32"/>
          <w:lang w:val="zh-CN" w:eastAsia="zh-CN"/>
        </w:rPr>
        <w:t>）的技术准则</w:t>
      </w:r>
    </w:p>
    <w:p w14:paraId="08404E01" w14:textId="77777777" w:rsidR="00F636BC" w:rsidRPr="00866584" w:rsidRDefault="00F636BC" w:rsidP="00F636BC">
      <w:pPr>
        <w:pStyle w:val="Normal-pool"/>
        <w:spacing w:after="120"/>
        <w:ind w:left="1247" w:firstLine="624"/>
        <w:jc w:val="both"/>
        <w:rPr>
          <w:rFonts w:ascii="KaiTi" w:eastAsia="KaiTi" w:hAnsi="KaiTi"/>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25FD372F" w14:textId="77777777" w:rsidR="00F636BC" w:rsidRPr="002A632F" w:rsidRDefault="00F636BC" w:rsidP="00F636BC">
      <w:pPr>
        <w:pStyle w:val="Normal-pool"/>
        <w:numPr>
          <w:ilvl w:val="0"/>
          <w:numId w:val="13"/>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赞赏地欢迎</w:t>
      </w:r>
      <w:r w:rsidRPr="002A632F">
        <w:rPr>
          <w:rFonts w:eastAsia="SimSun"/>
          <w:sz w:val="24"/>
          <w:szCs w:val="24"/>
          <w:lang w:val="zh-CN" w:eastAsia="zh-CN"/>
        </w:rPr>
        <w:t>共同</w:t>
      </w:r>
      <w:proofErr w:type="gramStart"/>
      <w:r w:rsidRPr="002A632F">
        <w:rPr>
          <w:rFonts w:eastAsia="SimSun"/>
          <w:sz w:val="24"/>
          <w:szCs w:val="24"/>
          <w:lang w:val="zh-CN" w:eastAsia="zh-CN"/>
        </w:rPr>
        <w:t>牵头国</w:t>
      </w:r>
      <w:proofErr w:type="gramEnd"/>
      <w:r w:rsidRPr="002A632F">
        <w:rPr>
          <w:rFonts w:eastAsia="SimSun"/>
          <w:sz w:val="24"/>
          <w:szCs w:val="24"/>
          <w:lang w:val="zh-CN" w:eastAsia="zh-CN"/>
        </w:rPr>
        <w:t>阿根廷、加拿大和日本政府以及根据</w:t>
      </w:r>
      <w:r w:rsidRPr="002A632F">
        <w:rPr>
          <w:rFonts w:eastAsia="SimSun"/>
          <w:sz w:val="24"/>
          <w:szCs w:val="24"/>
          <w:lang w:val="zh-CN" w:eastAsia="zh-CN"/>
        </w:rPr>
        <w:t>BC-13/6</w:t>
      </w:r>
      <w:r w:rsidRPr="002A632F">
        <w:rPr>
          <w:rFonts w:eastAsia="SimSun"/>
          <w:sz w:val="24"/>
          <w:szCs w:val="24"/>
          <w:lang w:val="zh-CN" w:eastAsia="zh-CN"/>
        </w:rPr>
        <w:t>号决定第</w:t>
      </w:r>
      <w:r w:rsidRPr="002A632F">
        <w:rPr>
          <w:rFonts w:eastAsia="SimSun"/>
          <w:sz w:val="24"/>
          <w:szCs w:val="24"/>
          <w:lang w:val="zh-CN" w:eastAsia="zh-CN"/>
        </w:rPr>
        <w:t>6</w:t>
      </w:r>
      <w:r w:rsidRPr="002A632F">
        <w:rPr>
          <w:rFonts w:eastAsia="SimSun"/>
          <w:sz w:val="24"/>
          <w:szCs w:val="24"/>
          <w:lang w:val="zh-CN" w:eastAsia="zh-CN"/>
        </w:rPr>
        <w:t>段设立的小型闭会期间工作组所作的贡献，该工作组负责围绕关于陆地焚烧（</w:t>
      </w:r>
      <w:r w:rsidRPr="002A632F">
        <w:rPr>
          <w:rFonts w:eastAsia="SimSun"/>
          <w:sz w:val="24"/>
          <w:szCs w:val="24"/>
          <w:lang w:val="zh-CN" w:eastAsia="zh-CN"/>
        </w:rPr>
        <w:t>D10</w:t>
      </w:r>
      <w:r w:rsidRPr="002A632F">
        <w:rPr>
          <w:rFonts w:eastAsia="SimSun"/>
          <w:sz w:val="24"/>
          <w:szCs w:val="24"/>
          <w:lang w:val="zh-CN" w:eastAsia="zh-CN"/>
        </w:rPr>
        <w:t>）的技术准则和关于专门设计的垃圾填埋场（</w:t>
      </w:r>
      <w:r w:rsidRPr="002A632F">
        <w:rPr>
          <w:rFonts w:eastAsia="SimSun"/>
          <w:sz w:val="24"/>
          <w:szCs w:val="24"/>
          <w:lang w:val="zh-CN" w:eastAsia="zh-CN"/>
        </w:rPr>
        <w:t>D5</w:t>
      </w:r>
      <w:r w:rsidRPr="002A632F">
        <w:rPr>
          <w:rFonts w:eastAsia="SimSun"/>
          <w:sz w:val="24"/>
          <w:szCs w:val="24"/>
          <w:lang w:val="zh-CN" w:eastAsia="zh-CN"/>
        </w:rPr>
        <w:t>）的技术准则开展工作；</w:t>
      </w:r>
    </w:p>
    <w:p w14:paraId="7E3AD01A" w14:textId="77777777" w:rsidR="00F636BC" w:rsidRPr="002A632F" w:rsidRDefault="00F636BC" w:rsidP="00F636BC">
      <w:pPr>
        <w:pStyle w:val="Normal-pool"/>
        <w:numPr>
          <w:ilvl w:val="0"/>
          <w:numId w:val="13"/>
        </w:numPr>
        <w:spacing w:after="120"/>
        <w:ind w:left="1247" w:firstLine="624"/>
        <w:jc w:val="both"/>
        <w:rPr>
          <w:rFonts w:eastAsia="SimSun"/>
          <w:i/>
          <w:iCs/>
          <w:sz w:val="24"/>
          <w:szCs w:val="24"/>
        </w:rPr>
      </w:pPr>
      <w:proofErr w:type="spellStart"/>
      <w:r w:rsidRPr="00866584">
        <w:rPr>
          <w:rFonts w:ascii="KaiTi" w:eastAsia="KaiTi" w:hAnsi="KaiTi"/>
          <w:sz w:val="24"/>
          <w:szCs w:val="24"/>
          <w:lang w:val="zh-CN"/>
        </w:rPr>
        <w:t>通过</w:t>
      </w:r>
      <w:r w:rsidRPr="002A632F">
        <w:rPr>
          <w:rFonts w:eastAsia="SimSun"/>
          <w:sz w:val="24"/>
          <w:szCs w:val="24"/>
          <w:lang w:val="zh-CN"/>
        </w:rPr>
        <w:t>下列技术准则</w:t>
      </w:r>
      <w:proofErr w:type="spellEnd"/>
      <w:r w:rsidRPr="002A632F">
        <w:rPr>
          <w:rFonts w:eastAsia="SimSun"/>
          <w:sz w:val="24"/>
          <w:szCs w:val="24"/>
          <w:lang w:val="zh-CN"/>
        </w:rPr>
        <w:t>：</w:t>
      </w:r>
    </w:p>
    <w:p w14:paraId="314E60F8" w14:textId="77777777" w:rsidR="00F636BC" w:rsidRPr="002A632F" w:rsidRDefault="00F636BC" w:rsidP="00F636BC">
      <w:pPr>
        <w:pStyle w:val="Normal-pool"/>
        <w:numPr>
          <w:ilvl w:val="0"/>
          <w:numId w:val="14"/>
        </w:numPr>
        <w:spacing w:after="120"/>
        <w:ind w:left="1247" w:firstLine="624"/>
        <w:jc w:val="both"/>
        <w:rPr>
          <w:rFonts w:eastAsia="SimSun"/>
          <w:sz w:val="24"/>
          <w:szCs w:val="24"/>
          <w:lang w:eastAsia="zh-CN"/>
        </w:rPr>
      </w:pPr>
      <w:bookmarkStart w:id="0" w:name="_Hlk106803526"/>
      <w:r w:rsidRPr="002A632F">
        <w:rPr>
          <w:rFonts w:eastAsia="SimSun"/>
          <w:sz w:val="24"/>
          <w:szCs w:val="24"/>
          <w:lang w:val="zh-CN" w:eastAsia="zh-CN"/>
        </w:rPr>
        <w:t>关于处置作业</w:t>
      </w:r>
      <w:r w:rsidRPr="002A632F">
        <w:rPr>
          <w:rFonts w:eastAsia="SimSun"/>
          <w:sz w:val="24"/>
          <w:szCs w:val="24"/>
          <w:lang w:val="zh-CN" w:eastAsia="zh-CN"/>
        </w:rPr>
        <w:t>D10</w:t>
      </w:r>
      <w:r w:rsidRPr="002A632F">
        <w:rPr>
          <w:rFonts w:eastAsia="SimSun"/>
          <w:sz w:val="24"/>
          <w:szCs w:val="24"/>
          <w:lang w:val="zh-CN" w:eastAsia="zh-CN"/>
        </w:rPr>
        <w:t>和</w:t>
      </w:r>
      <w:r w:rsidRPr="002A632F">
        <w:rPr>
          <w:rFonts w:eastAsia="SimSun"/>
          <w:sz w:val="24"/>
          <w:szCs w:val="24"/>
          <w:lang w:val="zh-CN" w:eastAsia="zh-CN"/>
        </w:rPr>
        <w:t>R1</w:t>
      </w:r>
      <w:r w:rsidRPr="002A632F">
        <w:rPr>
          <w:rFonts w:eastAsia="SimSun"/>
          <w:sz w:val="24"/>
          <w:szCs w:val="24"/>
          <w:lang w:val="zh-CN" w:eastAsia="zh-CN"/>
        </w:rPr>
        <w:t>所涵盖的危险废物和其他废物的无害环境焚烧的技术准则；</w:t>
      </w:r>
      <w:r w:rsidRPr="002A632F">
        <w:rPr>
          <w:rFonts w:eastAsia="SimSun"/>
          <w:sz w:val="24"/>
          <w:szCs w:val="24"/>
          <w:vertAlign w:val="superscript"/>
          <w:lang w:val="zh-CN"/>
        </w:rPr>
        <w:footnoteReference w:id="1"/>
      </w:r>
      <w:bookmarkEnd w:id="0"/>
    </w:p>
    <w:p w14:paraId="26EAD6BF" w14:textId="77777777" w:rsidR="00F636BC" w:rsidRPr="002A632F" w:rsidRDefault="00F636BC" w:rsidP="00F636BC">
      <w:pPr>
        <w:pStyle w:val="Normal-pool"/>
        <w:numPr>
          <w:ilvl w:val="0"/>
          <w:numId w:val="14"/>
        </w:numPr>
        <w:spacing w:after="120"/>
        <w:ind w:left="1247" w:firstLine="624"/>
        <w:jc w:val="both"/>
        <w:rPr>
          <w:rFonts w:eastAsia="SimSun"/>
          <w:sz w:val="24"/>
          <w:szCs w:val="24"/>
          <w:lang w:eastAsia="zh-CN"/>
        </w:rPr>
      </w:pPr>
      <w:bookmarkStart w:id="1" w:name="_Hlk106803539"/>
      <w:r w:rsidRPr="002A632F">
        <w:rPr>
          <w:rFonts w:eastAsia="SimSun"/>
          <w:sz w:val="24"/>
          <w:szCs w:val="24"/>
          <w:lang w:val="zh-CN" w:eastAsia="zh-CN"/>
        </w:rPr>
        <w:t>关于在专门设计的垃圾填埋场（</w:t>
      </w:r>
      <w:r w:rsidRPr="002A632F">
        <w:rPr>
          <w:rFonts w:eastAsia="SimSun"/>
          <w:sz w:val="24"/>
          <w:szCs w:val="24"/>
          <w:lang w:val="zh-CN" w:eastAsia="zh-CN"/>
        </w:rPr>
        <w:t>D5</w:t>
      </w:r>
      <w:r w:rsidRPr="002A632F">
        <w:rPr>
          <w:rFonts w:eastAsia="SimSun"/>
          <w:sz w:val="24"/>
          <w:szCs w:val="24"/>
          <w:lang w:val="zh-CN" w:eastAsia="zh-CN"/>
        </w:rPr>
        <w:t>）中对危险废物和其他废物进行无害环境处置的技术准则；</w:t>
      </w:r>
      <w:r w:rsidRPr="002A632F">
        <w:rPr>
          <w:rFonts w:eastAsia="SimSun"/>
          <w:sz w:val="24"/>
          <w:szCs w:val="24"/>
          <w:vertAlign w:val="superscript"/>
          <w:lang w:val="zh-CN"/>
        </w:rPr>
        <w:footnoteReference w:id="2"/>
      </w:r>
      <w:bookmarkEnd w:id="1"/>
    </w:p>
    <w:p w14:paraId="1A3D3043" w14:textId="77777777" w:rsidR="00F636BC" w:rsidRPr="002A632F" w:rsidRDefault="00F636BC" w:rsidP="00F636BC">
      <w:pPr>
        <w:pStyle w:val="Normal-pool"/>
        <w:numPr>
          <w:ilvl w:val="0"/>
          <w:numId w:val="13"/>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注意到</w:t>
      </w:r>
      <w:r w:rsidRPr="002A632F">
        <w:rPr>
          <w:rFonts w:eastAsia="SimSun"/>
          <w:sz w:val="24"/>
          <w:szCs w:val="24"/>
          <w:lang w:val="zh-CN" w:eastAsia="zh-CN"/>
        </w:rPr>
        <w:t>关于陆地焚烧（</w:t>
      </w:r>
      <w:r w:rsidRPr="002A632F">
        <w:rPr>
          <w:rFonts w:eastAsia="SimSun"/>
          <w:sz w:val="24"/>
          <w:szCs w:val="24"/>
          <w:lang w:val="zh-CN" w:eastAsia="zh-CN"/>
        </w:rPr>
        <w:t>D10</w:t>
      </w:r>
      <w:r w:rsidRPr="002A632F">
        <w:rPr>
          <w:rFonts w:eastAsia="SimSun"/>
          <w:sz w:val="24"/>
          <w:szCs w:val="24"/>
          <w:lang w:val="zh-CN" w:eastAsia="zh-CN"/>
        </w:rPr>
        <w:t>）和关于专门设计的垃圾填埋场（</w:t>
      </w:r>
      <w:r w:rsidRPr="002A632F">
        <w:rPr>
          <w:rFonts w:eastAsia="SimSun"/>
          <w:sz w:val="24"/>
          <w:szCs w:val="24"/>
          <w:lang w:val="zh-CN" w:eastAsia="zh-CN"/>
        </w:rPr>
        <w:t>D5</w:t>
      </w:r>
      <w:r w:rsidRPr="002A632F">
        <w:rPr>
          <w:rFonts w:eastAsia="SimSun"/>
          <w:sz w:val="24"/>
          <w:szCs w:val="24"/>
          <w:lang w:val="zh-CN" w:eastAsia="zh-CN"/>
        </w:rPr>
        <w:t>）技术准则的小型闭会期间工作组已成功完成工作，并决定解散该工作组；</w:t>
      </w:r>
    </w:p>
    <w:p w14:paraId="387129C5" w14:textId="77777777" w:rsidR="00F636BC" w:rsidRPr="002A632F" w:rsidRDefault="00F636BC" w:rsidP="00F636BC">
      <w:pPr>
        <w:pStyle w:val="Normal-pool"/>
        <w:numPr>
          <w:ilvl w:val="0"/>
          <w:numId w:val="13"/>
        </w:numPr>
        <w:spacing w:after="120"/>
        <w:ind w:left="1247" w:firstLine="624"/>
        <w:jc w:val="both"/>
        <w:rPr>
          <w:rFonts w:eastAsia="SimSun"/>
          <w:iCs/>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685C4394" w14:textId="77777777" w:rsidR="00F636BC" w:rsidRPr="002A632F" w:rsidRDefault="00F636BC" w:rsidP="00F636BC">
      <w:pPr>
        <w:pStyle w:val="Normal-pool"/>
        <w:numPr>
          <w:ilvl w:val="0"/>
          <w:numId w:val="15"/>
        </w:numPr>
        <w:spacing w:after="120"/>
        <w:ind w:left="1247" w:firstLine="624"/>
        <w:jc w:val="both"/>
        <w:rPr>
          <w:rFonts w:eastAsia="SimSun"/>
          <w:i/>
          <w:iCs/>
          <w:sz w:val="24"/>
          <w:szCs w:val="24"/>
          <w:lang w:eastAsia="zh-CN"/>
        </w:rPr>
      </w:pPr>
      <w:r w:rsidRPr="002A632F">
        <w:rPr>
          <w:rFonts w:eastAsia="SimSun"/>
          <w:sz w:val="24"/>
          <w:szCs w:val="24"/>
          <w:lang w:val="zh-CN" w:eastAsia="zh-CN"/>
        </w:rPr>
        <w:t>用联合国六种正式语文将本决定第</w:t>
      </w:r>
      <w:r w:rsidRPr="002A632F">
        <w:rPr>
          <w:rFonts w:eastAsia="SimSun"/>
          <w:sz w:val="24"/>
          <w:szCs w:val="24"/>
          <w:lang w:val="zh-CN" w:eastAsia="zh-CN"/>
        </w:rPr>
        <w:t>2</w:t>
      </w:r>
      <w:r w:rsidRPr="002A632F">
        <w:rPr>
          <w:rFonts w:eastAsia="SimSun"/>
          <w:sz w:val="24"/>
          <w:szCs w:val="24"/>
          <w:lang w:val="zh-CN" w:eastAsia="zh-CN"/>
        </w:rPr>
        <w:t>段所述各项技术准则分发给缔约方及其他各方；</w:t>
      </w:r>
    </w:p>
    <w:p w14:paraId="36997CE0" w14:textId="77777777" w:rsidR="00F636BC" w:rsidRPr="002A632F" w:rsidRDefault="00F636BC" w:rsidP="00F636BC">
      <w:pPr>
        <w:pStyle w:val="Normal-pool"/>
        <w:numPr>
          <w:ilvl w:val="0"/>
          <w:numId w:val="15"/>
        </w:numPr>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在资源允许的情况下，开展技术援助活动，支持发展中国家缔约方和其他需要援助的缔约方使用已获通过的技术准则，并通过与巴塞尔公约区域和协调中心合作或通过其他适当方式安排此类活动；</w:t>
      </w:r>
    </w:p>
    <w:p w14:paraId="39587DBC" w14:textId="77777777" w:rsidR="00F636BC" w:rsidRPr="002A632F" w:rsidRDefault="00F636BC" w:rsidP="00F636BC">
      <w:pPr>
        <w:pStyle w:val="Normal-pool"/>
        <w:numPr>
          <w:ilvl w:val="0"/>
          <w:numId w:val="15"/>
        </w:numPr>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在资源允许的情况下，编写简短文件，解释如何在国家一级使用技术准则，以期作为其技术援助活动的一部分，促进技术准则的传播和使用。</w:t>
      </w:r>
    </w:p>
    <w:p w14:paraId="53A24FD6" w14:textId="60EAF9DF" w:rsidR="00F935A6" w:rsidRPr="00F636BC" w:rsidRDefault="00F935A6" w:rsidP="00F636BC">
      <w:pPr>
        <w:spacing w:line="240" w:lineRule="auto"/>
        <w:rPr>
          <w:rFonts w:eastAsia="SimSun"/>
          <w:sz w:val="24"/>
          <w:szCs w:val="24"/>
          <w:lang w:val="en-GB"/>
        </w:rPr>
      </w:pPr>
    </w:p>
    <w:sectPr w:rsidR="00F935A6" w:rsidRPr="00F636B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3E547" w14:textId="77777777" w:rsidR="00EB5E86" w:rsidRDefault="00EB5E86" w:rsidP="00FC11E6">
      <w:pPr>
        <w:spacing w:after="0" w:line="240" w:lineRule="auto"/>
      </w:pPr>
      <w:r>
        <w:separator/>
      </w:r>
    </w:p>
  </w:endnote>
  <w:endnote w:type="continuationSeparator" w:id="0">
    <w:p w14:paraId="6F9000B3" w14:textId="77777777" w:rsidR="00EB5E86" w:rsidRDefault="00EB5E86"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6A905F" w14:textId="77777777" w:rsidR="00EB5E86" w:rsidRDefault="00EB5E86" w:rsidP="00FC11E6">
      <w:pPr>
        <w:spacing w:after="0" w:line="240" w:lineRule="auto"/>
      </w:pPr>
      <w:r>
        <w:separator/>
      </w:r>
    </w:p>
  </w:footnote>
  <w:footnote w:type="continuationSeparator" w:id="0">
    <w:p w14:paraId="6117D99C" w14:textId="77777777" w:rsidR="00EB5E86" w:rsidRDefault="00EB5E86" w:rsidP="00FC11E6">
      <w:pPr>
        <w:spacing w:after="0" w:line="240" w:lineRule="auto"/>
      </w:pPr>
      <w:r>
        <w:continuationSeparator/>
      </w:r>
    </w:p>
  </w:footnote>
  <w:footnote w:id="1">
    <w:p w14:paraId="2B44BE8C" w14:textId="77777777" w:rsidR="00F636BC" w:rsidRPr="00DC7AB9" w:rsidRDefault="00F636BC" w:rsidP="00F636BC">
      <w:pPr>
        <w:pStyle w:val="Normal-pool"/>
        <w:spacing w:before="20" w:after="40"/>
        <w:ind w:left="1247"/>
        <w:rPr>
          <w:rFonts w:eastAsia="SimSun"/>
        </w:rPr>
      </w:pPr>
      <w:r w:rsidRPr="00DC7AB9">
        <w:rPr>
          <w:rFonts w:eastAsia="SimSun"/>
          <w:vertAlign w:val="superscript"/>
          <w:lang w:val="zh-CN"/>
        </w:rPr>
        <w:footnoteRef/>
      </w:r>
      <w:r w:rsidRPr="00DC7AB9">
        <w:rPr>
          <w:rFonts w:eastAsia="SimSun"/>
        </w:rPr>
        <w:t xml:space="preserve"> UNEP/CHW.15/6/Add.4/Rev.1</w:t>
      </w:r>
      <w:r w:rsidRPr="00DC7AB9">
        <w:rPr>
          <w:rFonts w:eastAsia="SimSun"/>
          <w:lang w:val="zh-CN"/>
        </w:rPr>
        <w:t>。</w:t>
      </w:r>
    </w:p>
  </w:footnote>
  <w:footnote w:id="2">
    <w:p w14:paraId="074EC952" w14:textId="77777777" w:rsidR="00F636BC" w:rsidRPr="0017351B" w:rsidRDefault="00F636BC" w:rsidP="00F636BC">
      <w:pPr>
        <w:pStyle w:val="Normal-pool"/>
        <w:spacing w:before="20" w:after="40"/>
        <w:ind w:left="1247"/>
        <w:rPr>
          <w:sz w:val="18"/>
          <w:szCs w:val="18"/>
        </w:rPr>
      </w:pPr>
      <w:r w:rsidRPr="00DC7AB9">
        <w:rPr>
          <w:rFonts w:eastAsia="SimSun"/>
          <w:vertAlign w:val="superscript"/>
          <w:lang w:val="zh-CN"/>
        </w:rPr>
        <w:footnoteRef/>
      </w:r>
      <w:r w:rsidRPr="00DC7AB9">
        <w:rPr>
          <w:rFonts w:eastAsia="SimSun"/>
        </w:rPr>
        <w:t xml:space="preserve"> UNEP/CHW.15/6/Add.5/Rev.1</w:t>
      </w:r>
      <w:r w:rsidRPr="00DC7AB9">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5"/>
    <w:lvlOverride w:ilvl="0">
      <w:lvl w:ilvl="0" w:tplc="9260D008">
        <w:start w:val="1"/>
        <w:numFmt w:val="decimal"/>
        <w:lvlText w:val="%1."/>
        <w:lvlJc w:val="left"/>
        <w:pPr>
          <w:ind w:left="720" w:hanging="360"/>
        </w:pPr>
        <w:rPr>
          <w:i w:val="0"/>
          <w:iCs/>
        </w:rPr>
      </w:lvl>
    </w:lvlOverride>
  </w:num>
  <w:num w:numId="2" w16cid:durableId="1342774805">
    <w:abstractNumId w:val="6"/>
    <w:lvlOverride w:ilvl="0">
      <w:lvl w:ilvl="0" w:tplc="0B82E394">
        <w:start w:val="1"/>
        <w:numFmt w:val="lowerLetter"/>
        <w:lvlText w:val="(%1)"/>
        <w:lvlJc w:val="left"/>
        <w:pPr>
          <w:ind w:left="720" w:hanging="360"/>
        </w:pPr>
        <w:rPr>
          <w:rFonts w:hint="default"/>
        </w:rPr>
      </w:lvl>
    </w:lvlOverride>
  </w:num>
  <w:num w:numId="3" w16cid:durableId="541482266">
    <w:abstractNumId w:val="7"/>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0"/>
    <w:lvlOverride w:ilvl="0">
      <w:lvl w:ilvl="0" w:tplc="0809000F">
        <w:start w:val="1"/>
        <w:numFmt w:val="decimal"/>
        <w:lvlText w:val="%1."/>
        <w:lvlJc w:val="left"/>
        <w:pPr>
          <w:ind w:left="720" w:hanging="360"/>
        </w:pPr>
      </w:lvl>
    </w:lvlOverride>
  </w:num>
  <w:num w:numId="6" w16cid:durableId="1933778142">
    <w:abstractNumId w:val="12"/>
    <w:lvlOverride w:ilvl="0">
      <w:lvl w:ilvl="0" w:tplc="0B82E394">
        <w:start w:val="1"/>
        <w:numFmt w:val="lowerLetter"/>
        <w:lvlText w:val="(%1)"/>
        <w:lvlJc w:val="left"/>
        <w:pPr>
          <w:ind w:left="720" w:hanging="360"/>
        </w:pPr>
        <w:rPr>
          <w:rFonts w:hint="default"/>
        </w:rPr>
      </w:lvl>
    </w:lvlOverride>
  </w:num>
  <w:num w:numId="7" w16cid:durableId="562719092">
    <w:abstractNumId w:val="11"/>
    <w:lvlOverride w:ilvl="0">
      <w:lvl w:ilvl="0" w:tplc="0B82E394">
        <w:start w:val="1"/>
        <w:numFmt w:val="lowerLetter"/>
        <w:lvlText w:val="(%1)"/>
        <w:lvlJc w:val="left"/>
        <w:pPr>
          <w:ind w:left="2231" w:hanging="360"/>
        </w:pPr>
        <w:rPr>
          <w:rFonts w:hint="default"/>
        </w:rPr>
      </w:lvl>
    </w:lvlOverride>
  </w:num>
  <w:num w:numId="8" w16cid:durableId="541944942">
    <w:abstractNumId w:val="14"/>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8"/>
    <w:lvlOverride w:ilvl="0">
      <w:lvl w:ilvl="0" w:tplc="FFFFFFFF">
        <w:start w:val="1"/>
        <w:numFmt w:val="lowerLetter"/>
        <w:lvlText w:val="(%1)"/>
        <w:lvlJc w:val="left"/>
        <w:pPr>
          <w:ind w:left="2174" w:hanging="360"/>
        </w:pPr>
        <w:rPr>
          <w:rFonts w:hint="default"/>
        </w:rPr>
      </w:lvl>
    </w:lvlOverride>
  </w:num>
  <w:num w:numId="11" w16cid:durableId="970476093">
    <w:abstractNumId w:val="4"/>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3"/>
    <w:lvlOverride w:ilvl="0">
      <w:lvl w:ilvl="0" w:tplc="026427D6">
        <w:start w:val="1"/>
        <w:numFmt w:val="decimal"/>
        <w:lvlText w:val="%1."/>
        <w:lvlJc w:val="left"/>
        <w:pPr>
          <w:ind w:left="720" w:hanging="360"/>
        </w:pPr>
        <w:rPr>
          <w:i w:val="0"/>
          <w:iCs/>
        </w:rPr>
      </w:lvl>
    </w:lvlOverride>
  </w:num>
  <w:num w:numId="14" w16cid:durableId="2033724970">
    <w:abstractNumId w:val="9"/>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157C5A"/>
    <w:rsid w:val="002C0517"/>
    <w:rsid w:val="007A6A20"/>
    <w:rsid w:val="00836B73"/>
    <w:rsid w:val="009A214F"/>
    <w:rsid w:val="00C84536"/>
    <w:rsid w:val="00EB5E86"/>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Words>
  <Characters>435</Characters>
  <Application>Microsoft Office Word</Application>
  <DocSecurity>0</DocSecurity>
  <Lines>3</Lines>
  <Paragraphs>1</Paragraphs>
  <ScaleCrop>false</ScaleCrop>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2023-04-25T09:42:00Z</dcterms:created>
  <dcterms:modified xsi:type="dcterms:W3CDTF">2023-04-25T09:42:00Z</dcterms:modified>
</cp:coreProperties>
</file>