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23B74" w14:textId="77777777" w:rsidR="007B69C9" w:rsidRPr="00447994" w:rsidRDefault="007B69C9" w:rsidP="007B69C9">
      <w:pPr>
        <w:pStyle w:val="CH1"/>
        <w:rPr>
          <w:lang w:val="es-ES_tradnl"/>
        </w:rPr>
      </w:pPr>
      <w:r w:rsidRPr="00447994">
        <w:rPr>
          <w:lang w:val="es-ES_tradnl"/>
        </w:rPr>
        <w:tab/>
      </w:r>
      <w:r w:rsidRPr="00447994">
        <w:rPr>
          <w:lang w:val="es-ES_tradnl"/>
        </w:rPr>
        <w:tab/>
      </w:r>
      <w:r w:rsidRPr="00447994">
        <w:rPr>
          <w:rFonts w:ascii="Times New Roman Bold" w:hAnsi="Times New Roman Bold"/>
          <w:bCs/>
          <w:spacing w:val="-4"/>
          <w:lang w:val="es-ES_tradnl"/>
        </w:rPr>
        <w:t>BC</w:t>
      </w:r>
      <w:r w:rsidRPr="00447994">
        <w:rPr>
          <w:rFonts w:ascii="Times New Roman Bold" w:hAnsi="Times New Roman Bold"/>
          <w:bCs/>
          <w:spacing w:val="-4"/>
          <w:lang w:val="es-ES_tradnl"/>
        </w:rPr>
        <w:noBreakHyphen/>
        <w:t>15/8: Directrices técnicas sobre la incineración en la tierra (D10)</w:t>
      </w:r>
      <w:r w:rsidRPr="00447994">
        <w:rPr>
          <w:bCs/>
          <w:lang w:val="es-ES_tradnl"/>
        </w:rPr>
        <w:t xml:space="preserve"> y sobre los vertederos diseñados especialmente (D5)</w:t>
      </w:r>
    </w:p>
    <w:p w14:paraId="73FF9AB8" w14:textId="77777777" w:rsidR="007B69C9" w:rsidRPr="00447994" w:rsidRDefault="007B69C9" w:rsidP="007B69C9">
      <w:pPr>
        <w:pStyle w:val="Normal-pool"/>
        <w:spacing w:after="120"/>
        <w:ind w:left="1247" w:firstLine="624"/>
        <w:rPr>
          <w:i/>
          <w:iCs/>
          <w:lang w:val="es-ES_tradnl"/>
        </w:rPr>
      </w:pPr>
      <w:r w:rsidRPr="00447994">
        <w:rPr>
          <w:i/>
          <w:iCs/>
          <w:lang w:val="es-ES_tradnl"/>
        </w:rPr>
        <w:t>La Conferencia de las Partes</w:t>
      </w:r>
    </w:p>
    <w:p w14:paraId="2FDF6CEC" w14:textId="77777777" w:rsidR="007B69C9" w:rsidRPr="00447994" w:rsidRDefault="007B69C9" w:rsidP="007B69C9">
      <w:pPr>
        <w:pStyle w:val="Normal-pool"/>
        <w:numPr>
          <w:ilvl w:val="0"/>
          <w:numId w:val="13"/>
        </w:numPr>
        <w:spacing w:after="120"/>
        <w:ind w:left="1247" w:firstLine="624"/>
        <w:rPr>
          <w:lang w:val="es-ES_tradnl"/>
        </w:rPr>
      </w:pPr>
      <w:r w:rsidRPr="00447994">
        <w:rPr>
          <w:i/>
          <w:iCs/>
          <w:lang w:val="es-ES_tradnl"/>
        </w:rPr>
        <w:t>Acoge con aprecio</w:t>
      </w:r>
      <w:r w:rsidRPr="00447994">
        <w:rPr>
          <w:lang w:val="es-ES_tradnl"/>
        </w:rPr>
        <w:t xml:space="preserve"> las contribuciones efectuadas por los Gobiernos de la Argentina, el Canadá y el Japón, en cuanto países encargados, y el pequeño grupo de trabajo entre reuniones establecido con arreglo a lo dispuesto en el párrafo 6 de la decisión BC</w:t>
      </w:r>
      <w:r w:rsidRPr="00447994">
        <w:rPr>
          <w:lang w:val="es-ES_tradnl"/>
        </w:rPr>
        <w:noBreakHyphen/>
        <w:t>13/6 para realizar las tareas relacionadas con las directrices técnicas sobre la incineración en la tierra (D10) y las directrices técnicas sobre los vertederos diseñados especialmente (D5);</w:t>
      </w:r>
    </w:p>
    <w:p w14:paraId="296258C0" w14:textId="77777777" w:rsidR="007B69C9" w:rsidRPr="00447994" w:rsidRDefault="007B69C9" w:rsidP="007B69C9">
      <w:pPr>
        <w:pStyle w:val="Normal-pool"/>
        <w:numPr>
          <w:ilvl w:val="0"/>
          <w:numId w:val="13"/>
        </w:numPr>
        <w:spacing w:after="120"/>
        <w:ind w:left="1247" w:firstLine="624"/>
        <w:rPr>
          <w:i/>
          <w:iCs/>
          <w:lang w:val="es-ES_tradnl"/>
        </w:rPr>
      </w:pPr>
      <w:r w:rsidRPr="00447994">
        <w:rPr>
          <w:i/>
          <w:iCs/>
          <w:lang w:val="es-ES_tradnl"/>
        </w:rPr>
        <w:t>Aprueba</w:t>
      </w:r>
      <w:r w:rsidRPr="00447994">
        <w:rPr>
          <w:lang w:val="es-ES_tradnl"/>
        </w:rPr>
        <w:t xml:space="preserve"> las siguientes directrices técnicas: </w:t>
      </w:r>
    </w:p>
    <w:p w14:paraId="3CF38E60" w14:textId="77777777" w:rsidR="007B69C9" w:rsidRPr="00447994" w:rsidRDefault="007B69C9" w:rsidP="007B69C9">
      <w:pPr>
        <w:pStyle w:val="Normal-pool"/>
        <w:numPr>
          <w:ilvl w:val="0"/>
          <w:numId w:val="14"/>
        </w:numPr>
        <w:spacing w:after="120"/>
        <w:ind w:left="1247" w:firstLine="624"/>
        <w:rPr>
          <w:lang w:val="es-ES_tradnl"/>
        </w:rPr>
      </w:pPr>
      <w:bookmarkStart w:id="0" w:name="_Hlk106803526"/>
      <w:r w:rsidRPr="00447994">
        <w:rPr>
          <w:lang w:val="es-ES_tradnl"/>
        </w:rPr>
        <w:t>Directrices técnicas sobre la incineración ambientalmente racional de desechos peligrosos y otros desechos en la forma prevista en las operaciones de eliminación D10 y R1</w:t>
      </w:r>
      <w:r w:rsidRPr="00447994">
        <w:rPr>
          <w:vertAlign w:val="superscript"/>
          <w:lang w:val="es-ES_tradnl"/>
        </w:rPr>
        <w:footnoteReference w:id="1"/>
      </w:r>
      <w:r w:rsidRPr="00447994">
        <w:rPr>
          <w:lang w:val="es-ES_tradnl"/>
        </w:rPr>
        <w:t>;</w:t>
      </w:r>
      <w:bookmarkEnd w:id="0"/>
    </w:p>
    <w:p w14:paraId="66A9BD6F" w14:textId="77777777" w:rsidR="007B69C9" w:rsidRPr="00447994" w:rsidRDefault="007B69C9" w:rsidP="007B69C9">
      <w:pPr>
        <w:pStyle w:val="Normal-pool"/>
        <w:numPr>
          <w:ilvl w:val="0"/>
          <w:numId w:val="14"/>
        </w:numPr>
        <w:spacing w:after="120"/>
        <w:ind w:left="1247" w:firstLine="624"/>
        <w:rPr>
          <w:lang w:val="es-ES_tradnl"/>
        </w:rPr>
      </w:pPr>
      <w:bookmarkStart w:id="1" w:name="_Hlk106803539"/>
      <w:r w:rsidRPr="00447994">
        <w:rPr>
          <w:lang w:val="es-ES_tradnl"/>
        </w:rPr>
        <w:t>Directrices técnicas sobre la eliminación ambientalmente racional de desechos peligrosos y otros desechos en vertederos diseñados especialmente (D5)</w:t>
      </w:r>
      <w:r w:rsidRPr="00447994">
        <w:rPr>
          <w:vertAlign w:val="superscript"/>
          <w:lang w:val="es-ES_tradnl"/>
        </w:rPr>
        <w:footnoteReference w:id="2"/>
      </w:r>
      <w:r w:rsidRPr="00447994">
        <w:rPr>
          <w:lang w:val="es-ES_tradnl"/>
        </w:rPr>
        <w:t>;</w:t>
      </w:r>
      <w:bookmarkEnd w:id="1"/>
    </w:p>
    <w:p w14:paraId="18D52CE2" w14:textId="77777777" w:rsidR="007B69C9" w:rsidRPr="00447994" w:rsidRDefault="007B69C9" w:rsidP="007B69C9">
      <w:pPr>
        <w:pStyle w:val="Normal-pool"/>
        <w:numPr>
          <w:ilvl w:val="0"/>
          <w:numId w:val="13"/>
        </w:numPr>
        <w:spacing w:after="120"/>
        <w:ind w:left="1247" w:firstLine="624"/>
        <w:rPr>
          <w:lang w:val="es-ES_tradnl"/>
        </w:rPr>
      </w:pPr>
      <w:r w:rsidRPr="00447994">
        <w:rPr>
          <w:i/>
          <w:iCs/>
          <w:lang w:val="es-ES_tradnl"/>
        </w:rPr>
        <w:t>Observa</w:t>
      </w:r>
      <w:r w:rsidRPr="00447994">
        <w:rPr>
          <w:lang w:val="es-ES_tradnl"/>
        </w:rPr>
        <w:t xml:space="preserve"> que el pequeño grupo de trabajo entre sesiones sobre las directrices técnicas relativas a la incineración en la tierra (D10) y a los vertederos diseñados especialmente (D5) ha concluido con éxito su labor, y decide disolverlo;</w:t>
      </w:r>
    </w:p>
    <w:p w14:paraId="4527A09C" w14:textId="77777777" w:rsidR="007B69C9" w:rsidRPr="00447994" w:rsidRDefault="007B69C9" w:rsidP="007B69C9">
      <w:pPr>
        <w:pStyle w:val="Normal-pool"/>
        <w:numPr>
          <w:ilvl w:val="0"/>
          <w:numId w:val="13"/>
        </w:numPr>
        <w:spacing w:after="120"/>
        <w:ind w:left="1247" w:firstLine="624"/>
        <w:rPr>
          <w:iCs/>
          <w:lang w:val="es-ES_tradnl"/>
        </w:rPr>
      </w:pPr>
      <w:r w:rsidRPr="00447994">
        <w:rPr>
          <w:i/>
          <w:iCs/>
          <w:lang w:val="es-ES_tradnl"/>
        </w:rPr>
        <w:t>Solicita</w:t>
      </w:r>
      <w:r w:rsidRPr="00447994">
        <w:rPr>
          <w:lang w:val="es-ES_tradnl"/>
        </w:rPr>
        <w:t xml:space="preserve"> a la Secretaría que:</w:t>
      </w:r>
    </w:p>
    <w:p w14:paraId="1C495797" w14:textId="77777777" w:rsidR="007B69C9" w:rsidRPr="00447994" w:rsidRDefault="007B69C9" w:rsidP="007B69C9">
      <w:pPr>
        <w:pStyle w:val="Normal-pool"/>
        <w:numPr>
          <w:ilvl w:val="0"/>
          <w:numId w:val="15"/>
        </w:numPr>
        <w:spacing w:after="120"/>
        <w:ind w:left="1247" w:firstLine="624"/>
        <w:rPr>
          <w:i/>
          <w:iCs/>
          <w:lang w:val="es-ES_tradnl"/>
        </w:rPr>
      </w:pPr>
      <w:r w:rsidRPr="00447994">
        <w:rPr>
          <w:lang w:val="es-ES_tradnl"/>
        </w:rPr>
        <w:t xml:space="preserve">Haga llegar a las Partes y otros interesados las directrices técnicas enumeradas en el párrafo 2 de la presente decisión en los seis idiomas oficiales de las Naciones Unidas; </w:t>
      </w:r>
    </w:p>
    <w:p w14:paraId="44B20A4E" w14:textId="77777777" w:rsidR="007B69C9" w:rsidRPr="00447994" w:rsidRDefault="007B69C9" w:rsidP="007B69C9">
      <w:pPr>
        <w:pStyle w:val="Normal-pool"/>
        <w:numPr>
          <w:ilvl w:val="0"/>
          <w:numId w:val="15"/>
        </w:numPr>
        <w:spacing w:after="120"/>
        <w:ind w:left="1247" w:firstLine="624"/>
        <w:rPr>
          <w:lang w:val="es-ES_tradnl"/>
        </w:rPr>
      </w:pPr>
      <w:r w:rsidRPr="00447994">
        <w:rPr>
          <w:lang w:val="es-ES_tradnl"/>
        </w:rPr>
        <w:t>Emprenda actividades de asistencia técnica, en función de los recursos disponibles, para ayudar a las Partes que sean países en desarrollo y otras Partes que necesiten asistencia a utilizar las directrices técnicas aprobadas, y organice esas actividades en cooperación con los centros regionales y de coordinación del Convenio de Basilea o por otros medios apropiados;</w:t>
      </w:r>
    </w:p>
    <w:p w14:paraId="7D4232FD" w14:textId="77777777" w:rsidR="007B69C9" w:rsidRPr="00447994" w:rsidRDefault="007B69C9" w:rsidP="007B69C9">
      <w:pPr>
        <w:pStyle w:val="Normal-pool"/>
        <w:numPr>
          <w:ilvl w:val="0"/>
          <w:numId w:val="15"/>
        </w:numPr>
        <w:spacing w:after="120"/>
        <w:ind w:left="1247" w:firstLine="624"/>
        <w:rPr>
          <w:lang w:val="es-ES_tradnl"/>
        </w:rPr>
      </w:pPr>
      <w:r w:rsidRPr="00447994">
        <w:rPr>
          <w:lang w:val="es-ES_tradnl"/>
        </w:rPr>
        <w:t>Prepare, en función de los recursos disponibles, unos documentos breves que expliquen la forma de utilizar las directrices técnicas a nivel nacional para facilitar la difusión y el uso de esas directrices, como parte de sus actividades de asistencia técnica.</w:t>
      </w:r>
    </w:p>
    <w:p w14:paraId="5E5F9B2A" w14:textId="50509FF1" w:rsidR="00F935A6" w:rsidRPr="00AD56CA" w:rsidRDefault="00F935A6" w:rsidP="007B69C9">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0C697" w14:textId="77777777" w:rsidR="000F1011" w:rsidRDefault="000F1011" w:rsidP="00162093">
      <w:r>
        <w:separator/>
      </w:r>
    </w:p>
  </w:endnote>
  <w:endnote w:type="continuationSeparator" w:id="0">
    <w:p w14:paraId="3C72E5E4" w14:textId="77777777" w:rsidR="000F1011" w:rsidRDefault="000F1011"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ld">
    <w:altName w:val="Times New Roman"/>
    <w:panose1 w:val="020208030705050203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034CA" w14:textId="77777777" w:rsidR="000F1011" w:rsidRDefault="000F1011" w:rsidP="00162093">
      <w:r>
        <w:separator/>
      </w:r>
    </w:p>
  </w:footnote>
  <w:footnote w:type="continuationSeparator" w:id="0">
    <w:p w14:paraId="2A55CD64" w14:textId="77777777" w:rsidR="000F1011" w:rsidRDefault="000F1011" w:rsidP="00162093">
      <w:r>
        <w:continuationSeparator/>
      </w:r>
    </w:p>
  </w:footnote>
  <w:footnote w:id="1">
    <w:p w14:paraId="13011956" w14:textId="77777777" w:rsidR="007B69C9" w:rsidRPr="00122920" w:rsidRDefault="007B69C9" w:rsidP="007B69C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UNEP/CHW.15/6/Add.4/Rev.1.</w:t>
      </w:r>
    </w:p>
  </w:footnote>
  <w:footnote w:id="2">
    <w:p w14:paraId="2C35A2E1" w14:textId="77777777" w:rsidR="007B69C9" w:rsidRPr="00122920" w:rsidRDefault="007B69C9" w:rsidP="007B69C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UNEP/CHW.15/6/Add.5/Rev.1.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5"/>
  </w:num>
  <w:num w:numId="2" w16cid:durableId="856044302">
    <w:abstractNumId w:val="6"/>
  </w:num>
  <w:num w:numId="3" w16cid:durableId="462120716">
    <w:abstractNumId w:val="7"/>
  </w:num>
  <w:num w:numId="4" w16cid:durableId="789864886">
    <w:abstractNumId w:val="1"/>
  </w:num>
  <w:num w:numId="5" w16cid:durableId="1728645053">
    <w:abstractNumId w:val="10"/>
  </w:num>
  <w:num w:numId="6" w16cid:durableId="85813326">
    <w:abstractNumId w:val="12"/>
  </w:num>
  <w:num w:numId="7" w16cid:durableId="1191188355">
    <w:abstractNumId w:val="11"/>
  </w:num>
  <w:num w:numId="8" w16cid:durableId="999232160">
    <w:abstractNumId w:val="14"/>
  </w:num>
  <w:num w:numId="9" w16cid:durableId="1014069525">
    <w:abstractNumId w:val="0"/>
  </w:num>
  <w:num w:numId="10" w16cid:durableId="1870412707">
    <w:abstractNumId w:val="8"/>
  </w:num>
  <w:num w:numId="11" w16cid:durableId="841354719">
    <w:abstractNumId w:val="4"/>
  </w:num>
  <w:num w:numId="12" w16cid:durableId="1748526776">
    <w:abstractNumId w:val="2"/>
  </w:num>
  <w:num w:numId="13" w16cid:durableId="587926112">
    <w:abstractNumId w:val="13"/>
  </w:num>
  <w:num w:numId="14" w16cid:durableId="858080661">
    <w:abstractNumId w:val="9"/>
  </w:num>
  <w:num w:numId="15" w16cid:durableId="9728292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F1011"/>
    <w:rsid w:val="00162093"/>
    <w:rsid w:val="00245BBD"/>
    <w:rsid w:val="003C0CF7"/>
    <w:rsid w:val="0067579D"/>
    <w:rsid w:val="007B69C9"/>
    <w:rsid w:val="00836B73"/>
    <w:rsid w:val="00AD56CA"/>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304</Words>
  <Characters>1734</Characters>
  <Application>Microsoft Office Word</Application>
  <DocSecurity>0</DocSecurity>
  <Lines>14</Lines>
  <Paragraphs>4</Paragraphs>
  <ScaleCrop>false</ScaleCrop>
  <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2023-05-22T13:22:00Z</dcterms:created>
  <dcterms:modified xsi:type="dcterms:W3CDTF">2023-05-22T13:22:00Z</dcterms:modified>
</cp:coreProperties>
</file>