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4591F" w14:textId="4E8860A5" w:rsidR="00290DCB" w:rsidRPr="00F5756E" w:rsidRDefault="00290DCB" w:rsidP="00290DCB">
      <w:pPr>
        <w:pStyle w:val="CH1"/>
        <w:rPr>
          <w:lang w:val="es-ES_tradnl"/>
        </w:rPr>
      </w:pPr>
      <w:r>
        <w:rPr>
          <w:bCs/>
          <w:lang w:val="es-ES_tradnl"/>
        </w:rPr>
        <w:tab/>
      </w:r>
      <w:r>
        <w:rPr>
          <w:bCs/>
          <w:lang w:val="es-ES_tradnl"/>
        </w:rPr>
        <w:tab/>
      </w:r>
      <w:r w:rsidRPr="00F5756E">
        <w:rPr>
          <w:bCs/>
          <w:lang w:val="es-ES_tradnl"/>
        </w:rPr>
        <w:t>BC-14/18: Asistencia técnica</w:t>
      </w:r>
    </w:p>
    <w:p w14:paraId="76EBAAAA" w14:textId="77777777" w:rsidR="00290DCB" w:rsidRPr="00F5756E" w:rsidRDefault="00290DCB" w:rsidP="00290DCB">
      <w:pPr>
        <w:pStyle w:val="CH3"/>
        <w:tabs>
          <w:tab w:val="clear" w:pos="851"/>
          <w:tab w:val="clear" w:pos="1247"/>
          <w:tab w:val="clear" w:pos="1814"/>
          <w:tab w:val="clear" w:pos="2381"/>
          <w:tab w:val="clear" w:pos="2948"/>
          <w:tab w:val="clear" w:pos="3515"/>
          <w:tab w:val="clear" w:pos="4082"/>
          <w:tab w:val="left" w:pos="624"/>
        </w:tabs>
        <w:ind w:firstLine="0"/>
        <w:jc w:val="center"/>
        <w:rPr>
          <w:lang w:val="es-ES_tradnl"/>
        </w:rPr>
      </w:pPr>
      <w:r w:rsidRPr="00F5756E">
        <w:rPr>
          <w:bCs/>
          <w:lang w:val="es-ES_tradnl"/>
        </w:rPr>
        <w:t>I</w:t>
      </w:r>
    </w:p>
    <w:p w14:paraId="49FF22A2" w14:textId="77777777" w:rsidR="00290DCB" w:rsidRPr="00F5756E" w:rsidRDefault="00290DCB" w:rsidP="00290DCB">
      <w:pPr>
        <w:pStyle w:val="CH3"/>
        <w:tabs>
          <w:tab w:val="clear" w:pos="851"/>
          <w:tab w:val="clear" w:pos="1247"/>
          <w:tab w:val="clear" w:pos="1814"/>
          <w:tab w:val="clear" w:pos="2381"/>
          <w:tab w:val="clear" w:pos="2948"/>
          <w:tab w:val="clear" w:pos="3515"/>
          <w:tab w:val="clear" w:pos="4082"/>
          <w:tab w:val="left" w:pos="624"/>
        </w:tabs>
        <w:ind w:firstLine="0"/>
        <w:jc w:val="center"/>
        <w:rPr>
          <w:lang w:val="es-ES_tradnl"/>
        </w:rPr>
      </w:pPr>
      <w:r w:rsidRPr="00F5756E">
        <w:rPr>
          <w:bCs/>
          <w:lang w:val="es-ES_tradnl"/>
        </w:rPr>
        <w:t>Asistencia técnica</w:t>
      </w:r>
    </w:p>
    <w:p w14:paraId="5BE089D3" w14:textId="77777777" w:rsidR="00290DCB" w:rsidRPr="00F5756E" w:rsidRDefault="00290DCB" w:rsidP="00290DCB">
      <w:pPr>
        <w:pStyle w:val="NormalNonumber"/>
        <w:tabs>
          <w:tab w:val="clear" w:pos="1247"/>
          <w:tab w:val="clear" w:pos="1814"/>
          <w:tab w:val="clear" w:pos="2381"/>
          <w:tab w:val="clear" w:pos="2948"/>
          <w:tab w:val="clear" w:pos="3515"/>
          <w:tab w:val="clear" w:pos="4082"/>
        </w:tabs>
        <w:ind w:firstLine="624"/>
        <w:rPr>
          <w:i/>
          <w:color w:val="000000" w:themeColor="text1"/>
          <w:lang w:val="es-ES_tradnl"/>
        </w:rPr>
      </w:pPr>
      <w:r w:rsidRPr="00F5756E">
        <w:rPr>
          <w:i/>
          <w:iCs/>
          <w:lang w:val="es-ES_tradnl"/>
        </w:rPr>
        <w:t>La Conferencia de las Partes</w:t>
      </w:r>
    </w:p>
    <w:p w14:paraId="50144FD9"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i/>
          <w:iCs/>
          <w:lang w:val="es-ES_tradnl"/>
        </w:rPr>
        <w:t xml:space="preserve">Toma nota </w:t>
      </w:r>
      <w:r w:rsidRPr="00F5756E">
        <w:rPr>
          <w:lang w:val="es-ES_tradnl"/>
        </w:rPr>
        <w:t>del informe sobre la ejecución del plan de asistencia técnica para el período 2018</w:t>
      </w:r>
      <w:r w:rsidRPr="00F5756E">
        <w:rPr>
          <w:lang w:val="es-ES_tradnl"/>
        </w:rPr>
        <w:noBreakHyphen/>
        <w:t>2021 en el bienio 2018</w:t>
      </w:r>
      <w:r w:rsidRPr="00F5756E">
        <w:rPr>
          <w:lang w:val="es-ES_tradnl"/>
        </w:rPr>
        <w:noBreakHyphen/>
        <w:t>2019</w:t>
      </w:r>
      <w:r w:rsidRPr="00F5756E">
        <w:rPr>
          <w:rStyle w:val="FootnoteReference"/>
          <w:lang w:val="es-ES_tradnl"/>
        </w:rPr>
        <w:footnoteReference w:id="1"/>
      </w:r>
      <w:r w:rsidRPr="00F5756E">
        <w:rPr>
          <w:lang w:val="es-ES_tradnl"/>
        </w:rPr>
        <w:t xml:space="preserve"> y la labor realizada sobre la supervisión y la evaluación; </w:t>
      </w:r>
    </w:p>
    <w:p w14:paraId="36481CC3"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i/>
          <w:iCs/>
          <w:lang w:val="es-ES_tradnl"/>
        </w:rPr>
        <w:t>Invita</w:t>
      </w:r>
      <w:r w:rsidRPr="00F5756E">
        <w:rPr>
          <w:lang w:val="es-ES_tradnl"/>
        </w:rPr>
        <w:t xml:space="preserve"> a las Partes que son países en desarrollo y países con economías en transición a que presenten a la Secretaría, a más tardar el 31 de marzo, información sobre sus necesidades de asistencia técnica y transferencia de tecnología, de conformidad con lo dispuesto en el Convenio de Basilea sobre el Control de los Movimientos Transfronterizos de los Desechos Peligrosos y su Eliminación;</w:t>
      </w:r>
    </w:p>
    <w:p w14:paraId="07843205"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i/>
          <w:lang w:val="es-ES_tradnl"/>
        </w:rPr>
        <w:t>Invita</w:t>
      </w:r>
      <w:r w:rsidRPr="00F5756E">
        <w:rPr>
          <w:lang w:val="es-ES_tradnl"/>
        </w:rPr>
        <w:t xml:space="preserve"> a las Partes que son países desarrollados y a otros interesados que estén en condiciones de hacerlo a que presenten a la Secretaría, hasta el 31 de marzo de 2020, información sobre la asistencia técnica y las tecnologías de que disponen para transferir, de conformidad con lo dispuesto en el Convenio de Basilea, a las Partes que son países en desarrollo y países con economías en transición;</w:t>
      </w:r>
      <w:bookmarkStart w:id="0" w:name="_Hlk518639189"/>
      <w:bookmarkEnd w:id="0"/>
    </w:p>
    <w:p w14:paraId="757FA0BC"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i/>
          <w:lang w:val="es-ES_tradnl"/>
        </w:rPr>
        <w:t>Solicita</w:t>
      </w:r>
      <w:r w:rsidRPr="00F5756E">
        <w:rPr>
          <w:lang w:val="es-ES_tradnl"/>
        </w:rPr>
        <w:t xml:space="preserve"> a la Secretaría que siga reuniendo información pertinente sobre asistencia técnica para la aplicación del Convenio de Basilea, incluida la información en línea, presentada por las Partes y otros interesados o disponible por otros medios, como la información relacionada con el mecanismo financiero del Convenio de Estocolmo, en la base de datos que se menciona en las decisiones BC-12/9, RC-7/7 y SC-7/16;</w:t>
      </w:r>
    </w:p>
    <w:p w14:paraId="3C4651F8"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i/>
          <w:lang w:val="es-ES_tradnl"/>
        </w:rPr>
        <w:t xml:space="preserve">Observa </w:t>
      </w:r>
      <w:r w:rsidRPr="00F5756E">
        <w:rPr>
          <w:lang w:val="es-ES_tradnl"/>
        </w:rPr>
        <w:t>que el plan de asistencia técnica para la aplicación del Convenio de Basilea, el Convenio de Estocolmo y el Convenio de Rotterdam sobre el Procedimiento de Consentimiento Fundamentado Previo Aplicable a Ciertos Plaguicidas y Productos Químicos Peligrosos Objeto de Comercio Internacional para el período 2018-2021</w:t>
      </w:r>
      <w:r w:rsidRPr="00F5756E">
        <w:rPr>
          <w:color w:val="000000" w:themeColor="text1"/>
          <w:vertAlign w:val="superscript"/>
          <w:lang w:val="es-ES_tradnl"/>
        </w:rPr>
        <w:footnoteReference w:id="2"/>
      </w:r>
      <w:r w:rsidRPr="00F5756E">
        <w:rPr>
          <w:lang w:val="es-ES_tradnl"/>
        </w:rPr>
        <w:t xml:space="preserve"> ofrece a las Partes oportunidades para la capacitación y la creación de capacidad; </w:t>
      </w:r>
    </w:p>
    <w:p w14:paraId="70C372BA"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i/>
          <w:iCs/>
          <w:lang w:val="es-ES_tradnl"/>
        </w:rPr>
        <w:t xml:space="preserve">Alienta </w:t>
      </w:r>
      <w:r w:rsidRPr="00F5756E">
        <w:rPr>
          <w:lang w:val="es-ES_tradnl"/>
        </w:rPr>
        <w:t>a las Partes, al Programa de las Naciones Unidas para el Medio Ambiente, a la Organización de las Naciones Unidas para la Alimentación y la Agricultura, al Fondo para el Medio Ambiente Mundial y al Programa Especial a que apoyen el fortalecimiento institucional a nivel nacional para la aplicación de los Convenios de Basilea, Estocolmo y Rotterdam, el Convenio de Minamata y el Enfoque Estratégico para la Gestión de Productos Químicos a Nivel Internacional de conformidad con sus mandatos y con las prioridades que se han establecido, a que sigan prestando apoyo al plan de asistencia técnica para la aplicación de los convenios de Basilea, Estocolmo y Rotterdam en el período 2018-2021;</w:t>
      </w:r>
    </w:p>
    <w:p w14:paraId="15154F65"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i/>
          <w:iCs/>
          <w:lang w:val="es-ES_tradnl"/>
        </w:rPr>
        <w:t>Alienta</w:t>
      </w:r>
      <w:r w:rsidRPr="00F5756E">
        <w:rPr>
          <w:lang w:val="es-ES_tradnl"/>
        </w:rPr>
        <w:t xml:space="preserve"> a las Partes pertinentes, de conformidad con el artículo 10 del Convenio de Basilea, el artículo 12 del Convenio de Estocolmo y el artículo 16 del Convenio de Rotterdam, e invita a otros interesados que estén en condiciones de hacerlo a que apoyen la aplicación del plan de asistencia técnica para la aplicación de los Convenios de Basilea, Estocolmo y Rotterdam en el período 2018-2021;</w:t>
      </w:r>
    </w:p>
    <w:p w14:paraId="6D93990D"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i/>
          <w:color w:val="000000" w:themeColor="text1"/>
          <w:lang w:val="es-ES_tradnl"/>
        </w:rPr>
      </w:pPr>
      <w:r w:rsidRPr="00F5756E">
        <w:rPr>
          <w:i/>
          <w:iCs/>
          <w:lang w:val="es-ES_tradnl"/>
        </w:rPr>
        <w:t>Solicita</w:t>
      </w:r>
      <w:r w:rsidRPr="00F5756E">
        <w:rPr>
          <w:lang w:val="es-ES_tradnl"/>
        </w:rPr>
        <w:t xml:space="preserve"> a la Secretaría que, con sujeción a la disponibilidad de recursos:</w:t>
      </w:r>
    </w:p>
    <w:p w14:paraId="52636CE0" w14:textId="77777777" w:rsidR="00290DCB" w:rsidRPr="00F5756E" w:rsidRDefault="00290DCB" w:rsidP="00290DCB">
      <w:pPr>
        <w:pStyle w:val="Normal-pool"/>
        <w:numPr>
          <w:ilvl w:val="0"/>
          <w:numId w:val="24"/>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lang w:val="es-ES_tradnl"/>
        </w:rPr>
        <w:t>Siga aplicando el plan de asistencia técnica para el período 2018-2021, en cooperación con los actores pertinentes;</w:t>
      </w:r>
    </w:p>
    <w:p w14:paraId="4B54AF9B" w14:textId="77777777" w:rsidR="00290DCB" w:rsidRPr="00F5756E" w:rsidRDefault="00290DCB" w:rsidP="00290DCB">
      <w:pPr>
        <w:pStyle w:val="Normal-pool"/>
        <w:numPr>
          <w:ilvl w:val="0"/>
          <w:numId w:val="24"/>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lang w:val="es-ES_tradnl"/>
        </w:rPr>
        <w:t xml:space="preserve">Elabore una encuesta en línea para recabar información de las Partes, de conformidad con lo dispuesto en los párrafos 2, 3 y 4 de la presente decisión, publique la información en los sitios web de los convenios y prepare un informe acerca de la evaluación de la información sobre las </w:t>
      </w:r>
      <w:r w:rsidRPr="00F5756E">
        <w:rPr>
          <w:lang w:val="es-ES_tradnl"/>
        </w:rPr>
        <w:lastRenderedPageBreak/>
        <w:t>necesidades de asistencia técnica y transferencia de tecnología de las Partes que son países en desarrollo y países con economías en transición, basándose en la información presentada por las Partes;</w:t>
      </w:r>
    </w:p>
    <w:p w14:paraId="0AE1AC2C" w14:textId="77777777" w:rsidR="00290DCB" w:rsidRPr="00F5756E" w:rsidRDefault="00290DCB" w:rsidP="00290DCB">
      <w:pPr>
        <w:pStyle w:val="Normal-pool"/>
        <w:numPr>
          <w:ilvl w:val="0"/>
          <w:numId w:val="24"/>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lang w:val="es-ES_tradnl"/>
        </w:rPr>
        <w:t>Continúe incluyendo información sobre el seguimiento y la evaluación de los proyectos que se lleven a cabo en el marco del plan de asistencia técnica para el período 2018-2021 en el informe solicitado en el párrafo 10 de la presente decisión;</w:t>
      </w:r>
    </w:p>
    <w:p w14:paraId="0E96C5D1" w14:textId="77777777" w:rsidR="00290DCB" w:rsidRPr="00F5756E" w:rsidRDefault="00290DCB" w:rsidP="00290DCB">
      <w:pPr>
        <w:pStyle w:val="Normal-pool"/>
        <w:numPr>
          <w:ilvl w:val="0"/>
          <w:numId w:val="24"/>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lang w:val="es-ES_tradnl"/>
        </w:rPr>
        <w:t>Elabore un plan de asistencia técnica para el período 2022</w:t>
      </w:r>
      <w:r w:rsidRPr="00F5756E">
        <w:rPr>
          <w:lang w:val="es-ES_tradnl"/>
        </w:rPr>
        <w:noBreakHyphen/>
        <w:t xml:space="preserve">2025, tomando en consideración los informes mencionados en los apartados b) y c) de la presente decisión y lo presente a la Conferencia de las Partes para su examen en su próxima reunión. </w:t>
      </w:r>
    </w:p>
    <w:p w14:paraId="492F8E62"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color w:val="000000" w:themeColor="text1"/>
          <w:lang w:val="es-ES_tradnl"/>
        </w:rPr>
      </w:pPr>
      <w:r w:rsidRPr="00F5756E">
        <w:rPr>
          <w:i/>
          <w:iCs/>
          <w:lang w:val="es-ES_tradnl"/>
        </w:rPr>
        <w:t>Pone de relieve</w:t>
      </w:r>
      <w:r w:rsidRPr="00F5756E">
        <w:rPr>
          <w:lang w:val="es-ES_tradnl"/>
        </w:rPr>
        <w:t xml:space="preserve"> el papel de los centros regionales, estipulado en las disposiciones del Convenio de Basilea y el Convenio de Estocolmo, y el de las oficinas regionales, subregionales y nacionales de la Organización de las Naciones Unidas para la Alimentación y la Agricultura, el Programa de las Naciones Unidas para el Medio Ambiente y otras organizaciones participantes en el Programa Interinstitucional para la Gestión Racional de los Productos Químicos, en la prestación de asistencia técnica, a solicitud de los interesados y en el plano regional, para la aplicación de los Convenios de Basilea, Estocolmo y Rotterdam, y en la facilitación de la transferencia de tecnología a las Partes que reúnan los requisitos para ello; </w:t>
      </w:r>
    </w:p>
    <w:p w14:paraId="40762CEE"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i/>
          <w:color w:val="000000" w:themeColor="text1"/>
          <w:lang w:val="es-ES_tradnl"/>
        </w:rPr>
      </w:pPr>
      <w:r w:rsidRPr="00F5756E">
        <w:rPr>
          <w:i/>
          <w:iCs/>
          <w:lang w:val="es-ES_tradnl"/>
        </w:rPr>
        <w:t>Solicita</w:t>
      </w:r>
      <w:r w:rsidRPr="00F5756E">
        <w:rPr>
          <w:lang w:val="es-ES_tradnl"/>
        </w:rPr>
        <w:t xml:space="preserve"> a la Secretaría que rinda informe a la Conferencia de las Partes en su próxima reunión sobre la aplicación de la presente decisión, incluido en particular el uso eficaz y continuado de la base de datos para recopilar la información pertinente;</w:t>
      </w:r>
    </w:p>
    <w:p w14:paraId="10A66C72" w14:textId="77777777" w:rsidR="00290DCB" w:rsidRPr="00F5756E" w:rsidRDefault="00290DCB" w:rsidP="00290DCB">
      <w:pPr>
        <w:pStyle w:val="CH3"/>
        <w:tabs>
          <w:tab w:val="clear" w:pos="851"/>
          <w:tab w:val="clear" w:pos="1247"/>
          <w:tab w:val="clear" w:pos="1814"/>
          <w:tab w:val="clear" w:pos="2381"/>
          <w:tab w:val="clear" w:pos="2948"/>
          <w:tab w:val="clear" w:pos="3515"/>
          <w:tab w:val="clear" w:pos="4082"/>
          <w:tab w:val="left" w:pos="624"/>
        </w:tabs>
        <w:ind w:firstLine="0"/>
        <w:jc w:val="center"/>
        <w:rPr>
          <w:lang w:val="es-ES_tradnl"/>
        </w:rPr>
      </w:pPr>
      <w:r w:rsidRPr="00F5756E">
        <w:rPr>
          <w:bCs/>
          <w:lang w:val="es-ES_tradnl"/>
        </w:rPr>
        <w:t>II</w:t>
      </w:r>
    </w:p>
    <w:p w14:paraId="5B9B1DEA" w14:textId="77777777" w:rsidR="00290DCB" w:rsidRPr="00F5756E" w:rsidRDefault="00290DCB" w:rsidP="00290DCB">
      <w:pPr>
        <w:pStyle w:val="CH3"/>
        <w:tabs>
          <w:tab w:val="clear" w:pos="851"/>
          <w:tab w:val="clear" w:pos="1247"/>
          <w:tab w:val="clear" w:pos="1814"/>
          <w:tab w:val="clear" w:pos="2381"/>
          <w:tab w:val="clear" w:pos="2948"/>
          <w:tab w:val="clear" w:pos="3515"/>
          <w:tab w:val="clear" w:pos="4082"/>
          <w:tab w:val="left" w:pos="624"/>
        </w:tabs>
        <w:ind w:firstLine="0"/>
        <w:jc w:val="center"/>
        <w:rPr>
          <w:lang w:val="es-ES_tradnl"/>
        </w:rPr>
      </w:pPr>
      <w:r w:rsidRPr="00F5756E">
        <w:rPr>
          <w:bCs/>
          <w:lang w:val="es-ES_tradnl"/>
        </w:rPr>
        <w:t>Centros regionales y de coordinación del Convenio de Basilea</w:t>
      </w:r>
    </w:p>
    <w:p w14:paraId="68D7854E"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Pone de relieve</w:t>
      </w:r>
      <w:r w:rsidRPr="00F5756E">
        <w:rPr>
          <w:lang w:val="es-ES_tradnl"/>
        </w:rPr>
        <w:t xml:space="preserve"> el papel de los centros regionales y de coordinación en la prestación de más asistencia técnica para la creación de capacidad a fin de apoyar la labor que realizan los países en desarrollo y los países con economías en transición a escala nacional para aplicar los convenios sobre productos químicos y desechos, de conformidad con sus funciones esenciales;</w:t>
      </w:r>
    </w:p>
    <w:p w14:paraId="2F21DF5F"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Pone de relieve también</w:t>
      </w:r>
      <w:r w:rsidRPr="00F5756E">
        <w:rPr>
          <w:lang w:val="es-ES_tradnl"/>
        </w:rPr>
        <w:t xml:space="preserve"> el papel de los centros regionales y de coordinación en el fomento de la transferencia de tecnología relacionada con la aplicación del Convenio de Basilea y los invita a cooperar y coordinarse entre sí y con los asociados pertinentes en las esferas de competencia en que puedan prestar asistencia;</w:t>
      </w:r>
    </w:p>
    <w:p w14:paraId="418317C7"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Toma nota de:</w:t>
      </w:r>
    </w:p>
    <w:p w14:paraId="5D340615" w14:textId="77777777" w:rsidR="00290DCB" w:rsidRPr="00F5756E" w:rsidRDefault="00290DCB" w:rsidP="00290DCB">
      <w:pPr>
        <w:pStyle w:val="Normal-pool"/>
        <w:numPr>
          <w:ilvl w:val="0"/>
          <w:numId w:val="25"/>
        </w:numPr>
        <w:tabs>
          <w:tab w:val="clear" w:pos="1247"/>
          <w:tab w:val="clear" w:pos="1814"/>
          <w:tab w:val="clear" w:pos="2381"/>
          <w:tab w:val="clear" w:pos="2948"/>
          <w:tab w:val="clear" w:pos="3515"/>
          <w:tab w:val="clear" w:pos="4082"/>
        </w:tabs>
        <w:spacing w:after="120"/>
        <w:ind w:left="1247" w:firstLine="624"/>
        <w:rPr>
          <w:iCs/>
          <w:lang w:val="es-ES_tradnl"/>
        </w:rPr>
      </w:pPr>
      <w:r w:rsidRPr="00F5756E">
        <w:rPr>
          <w:lang w:val="es-ES_tradnl"/>
        </w:rPr>
        <w:t>Los informes de actividades correspondientes al período comprendido entre enero de 2017 y diciembre de 2018</w:t>
      </w:r>
      <w:r w:rsidRPr="00F5756E">
        <w:rPr>
          <w:rStyle w:val="FootnoteReference"/>
          <w:lang w:val="es-ES_tradnl"/>
        </w:rPr>
        <w:footnoteReference w:id="3"/>
      </w:r>
      <w:r w:rsidRPr="00F5756E">
        <w:rPr>
          <w:lang w:val="es-ES_tradnl"/>
        </w:rPr>
        <w:t xml:space="preserve"> presentados por los centros regionales y subregionales del Convenio de Basilea;</w:t>
      </w:r>
    </w:p>
    <w:p w14:paraId="2FDA36D6" w14:textId="77777777" w:rsidR="00290DCB" w:rsidRPr="00F5756E" w:rsidRDefault="00290DCB" w:rsidP="00290DCB">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lang w:val="es-ES_tradnl"/>
        </w:rPr>
        <w:t>El informe sobre las actividades de los centros regionales y de coordinación</w:t>
      </w:r>
      <w:r w:rsidRPr="00F5756E">
        <w:rPr>
          <w:rStyle w:val="FootnoteReference"/>
          <w:lang w:val="es-ES_tradnl"/>
        </w:rPr>
        <w:footnoteReference w:id="4"/>
      </w:r>
      <w:r w:rsidRPr="00F5756E">
        <w:rPr>
          <w:lang w:val="es-ES_tradnl"/>
        </w:rPr>
        <w:t>;</w:t>
      </w:r>
    </w:p>
    <w:p w14:paraId="61767619" w14:textId="77777777" w:rsidR="00290DCB" w:rsidRPr="00F5756E" w:rsidRDefault="00290DCB" w:rsidP="00290DCB">
      <w:pPr>
        <w:pStyle w:val="Normal-pool"/>
        <w:numPr>
          <w:ilvl w:val="0"/>
          <w:numId w:val="25"/>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lang w:val="es-ES_tradnl"/>
        </w:rPr>
        <w:t>El texto completo del proyecto de informe de evaluación sobre el desempeño y la sostenibilidad de los 13 centros regionales y de coordinación del Convenio de Estocolmo preparado por la Secretaría</w:t>
      </w:r>
      <w:r w:rsidRPr="00F5756E">
        <w:rPr>
          <w:rStyle w:val="FootnoteReference"/>
          <w:lang w:val="es-ES_tradnl"/>
        </w:rPr>
        <w:footnoteReference w:id="5"/>
      </w:r>
      <w:r w:rsidRPr="00F5756E">
        <w:rPr>
          <w:lang w:val="es-ES_tradnl"/>
        </w:rPr>
        <w:t xml:space="preserve"> y el resumen del proyecto de evaluación</w:t>
      </w:r>
      <w:r w:rsidRPr="00F5756E">
        <w:rPr>
          <w:rStyle w:val="FootnoteReference"/>
          <w:lang w:val="es-ES_tradnl"/>
        </w:rPr>
        <w:footnoteReference w:id="6"/>
      </w:r>
      <w:r w:rsidRPr="00F5756E">
        <w:rPr>
          <w:lang w:val="es-ES_tradnl"/>
        </w:rPr>
        <w:t xml:space="preserve">; </w:t>
      </w:r>
    </w:p>
    <w:p w14:paraId="189D8C6E"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Toma nota también</w:t>
      </w:r>
      <w:r w:rsidRPr="00F5756E">
        <w:rPr>
          <w:lang w:val="es-ES_tradnl"/>
        </w:rPr>
        <w:t xml:space="preserve"> de la labor realizada por los centros regionales y de coordinación del Convenio de Basilea en relación con el seguimiento de la Asociación para la Acción en Materia de Equipos de Computadoras;</w:t>
      </w:r>
    </w:p>
    <w:p w14:paraId="6F21084A"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Acoge con beneplácito</w:t>
      </w:r>
      <w:r w:rsidRPr="00F5756E">
        <w:rPr>
          <w:lang w:val="es-ES_tradnl"/>
        </w:rPr>
        <w:t xml:space="preserve"> la amplia labor ya realizada por los centros regionales y de coordinación sobre los efectos de los desechos plásticos, incluida la basura plástica y los </w:t>
      </w:r>
      <w:proofErr w:type="spellStart"/>
      <w:r w:rsidRPr="00F5756E">
        <w:rPr>
          <w:lang w:val="es-ES_tradnl"/>
        </w:rPr>
        <w:lastRenderedPageBreak/>
        <w:t>microplásticos</w:t>
      </w:r>
      <w:proofErr w:type="spellEnd"/>
      <w:r w:rsidRPr="00F5756E">
        <w:rPr>
          <w:lang w:val="es-ES_tradnl"/>
        </w:rPr>
        <w:t xml:space="preserve"> marinos, y las medidas de prevención y gestión ambientalmente racional, y los invita a proseguir sus actividades; </w:t>
      </w:r>
    </w:p>
    <w:p w14:paraId="6147DECA"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lang w:val="es-ES_tradnl"/>
        </w:rPr>
      </w:pPr>
      <w:r w:rsidRPr="00F5756E">
        <w:rPr>
          <w:i/>
          <w:iCs/>
          <w:lang w:val="es-ES_tradnl"/>
        </w:rPr>
        <w:t>Acoge con beneplácito también</w:t>
      </w:r>
      <w:r w:rsidRPr="00F5756E">
        <w:rPr>
          <w:lang w:val="es-ES_tradnl"/>
        </w:rPr>
        <w:t xml:space="preserve"> la evaluación de la capacidad en materia de adquisiciones</w:t>
      </w:r>
      <w:r w:rsidRPr="00F5756E">
        <w:rPr>
          <w:vertAlign w:val="superscript"/>
          <w:lang w:val="es-ES_tradnl"/>
        </w:rPr>
        <w:footnoteReference w:id="7"/>
      </w:r>
      <w:r w:rsidRPr="00F5756E">
        <w:rPr>
          <w:lang w:val="es-ES_tradnl"/>
        </w:rPr>
        <w:t xml:space="preserve"> integrada en la evaluación del desempeño y la sostenibilidad de los centros regionales y de coordinación del Convenio de Basilea establecidos en virtud del Convenio</w:t>
      </w:r>
      <w:r w:rsidRPr="00F5756E">
        <w:rPr>
          <w:vertAlign w:val="superscript"/>
          <w:lang w:val="es-ES_tradnl"/>
        </w:rPr>
        <w:footnoteReference w:id="8"/>
      </w:r>
      <w:r w:rsidRPr="00F5756E">
        <w:rPr>
          <w:lang w:val="es-ES_tradnl"/>
        </w:rPr>
        <w:t>;</w:t>
      </w:r>
    </w:p>
    <w:p w14:paraId="1D3AD868"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Hace notar</w:t>
      </w:r>
      <w:r w:rsidRPr="00F5756E">
        <w:rPr>
          <w:lang w:val="es-ES_tradnl"/>
        </w:rPr>
        <w:t xml:space="preserve"> que ha evaluado, según los criterios y la metodología provisionales que se establecen en los anexos I y II, respectivamente, de la decisión BC-11/13, el desempeño y la sostenibilidad de los 13 centros regionales y de coordinación del Convenio de Basilea establecidos con arreglo a las decisiones III/19, VI/6, VI/8 y VII/10;</w:t>
      </w:r>
    </w:p>
    <w:p w14:paraId="758CCC45"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Hace notar también</w:t>
      </w:r>
      <w:r w:rsidRPr="00F5756E">
        <w:rPr>
          <w:lang w:val="es-ES_tradnl"/>
        </w:rPr>
        <w:t xml:space="preserve"> los resultados obtenidos por los centros regionales y pide que se mantengan los esfuerzos encaminados a mejorar su desempeño y las actividades que despliegan esos centros en apoyo de las Partes que son países en desarrollo;</w:t>
      </w:r>
    </w:p>
    <w:p w14:paraId="35855FA3"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Solicita</w:t>
      </w:r>
      <w:r w:rsidRPr="00F5756E">
        <w:rPr>
          <w:lang w:val="es-ES_tradnl"/>
        </w:rPr>
        <w:t xml:space="preserve"> a los centros regionales y de coordinación del Convenio de Basilea que presenten a la Secretaría, para su examen por la Conferencia de las Partes en su 15ª reunión, lo siguiente:</w:t>
      </w:r>
    </w:p>
    <w:p w14:paraId="58B2D1B2" w14:textId="77777777" w:rsidR="00290DCB" w:rsidRPr="00F5756E" w:rsidRDefault="00290DCB" w:rsidP="00290DCB">
      <w:pPr>
        <w:pStyle w:val="Normal-pool"/>
        <w:numPr>
          <w:ilvl w:val="1"/>
          <w:numId w:val="27"/>
        </w:numPr>
        <w:tabs>
          <w:tab w:val="clear" w:pos="1247"/>
          <w:tab w:val="clear" w:pos="1814"/>
          <w:tab w:val="clear" w:pos="2381"/>
          <w:tab w:val="clear" w:pos="2948"/>
          <w:tab w:val="clear" w:pos="3515"/>
          <w:tab w:val="clear" w:pos="4082"/>
        </w:tabs>
        <w:spacing w:after="120"/>
        <w:ind w:left="1247" w:firstLine="624"/>
        <w:rPr>
          <w:lang w:val="es-ES_tradnl"/>
        </w:rPr>
      </w:pPr>
      <w:r w:rsidRPr="00F5756E">
        <w:rPr>
          <w:lang w:val="es-ES_tradnl"/>
        </w:rPr>
        <w:t>Sus planes de trabajo para el período comprendido entre el 1 de enero de 2020 y el 31 de diciembre de 2023, a más tardar el 30 de septiembre de 2019;</w:t>
      </w:r>
    </w:p>
    <w:p w14:paraId="5F237F91" w14:textId="77777777" w:rsidR="00290DCB" w:rsidRPr="00F5756E" w:rsidRDefault="00290DCB" w:rsidP="00290DCB">
      <w:pPr>
        <w:pStyle w:val="Normal-pool"/>
        <w:numPr>
          <w:ilvl w:val="1"/>
          <w:numId w:val="27"/>
        </w:numPr>
        <w:tabs>
          <w:tab w:val="clear" w:pos="1247"/>
          <w:tab w:val="clear" w:pos="1814"/>
          <w:tab w:val="clear" w:pos="2381"/>
          <w:tab w:val="clear" w:pos="2948"/>
          <w:tab w:val="clear" w:pos="3515"/>
          <w:tab w:val="clear" w:pos="4082"/>
          <w:tab w:val="left" w:pos="624"/>
        </w:tabs>
        <w:spacing w:after="120"/>
        <w:ind w:left="1247" w:firstLine="624"/>
        <w:rPr>
          <w:iCs/>
          <w:lang w:val="es-ES_tradnl"/>
        </w:rPr>
      </w:pPr>
      <w:r w:rsidRPr="00F5756E">
        <w:rPr>
          <w:lang w:val="es-ES_tradnl"/>
        </w:rPr>
        <w:t>Sus informes de actividad correspondientes al período comprendido entre el 1 de enero de 2019 y el 31 de diciembre de 2020, antes del 31 de diciembre de 2020;</w:t>
      </w:r>
    </w:p>
    <w:p w14:paraId="6FE1B8B6"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Solicita</w:t>
      </w:r>
      <w:r w:rsidRPr="00F5756E">
        <w:rPr>
          <w:lang w:val="es-ES_tradnl"/>
        </w:rPr>
        <w:t xml:space="preserve"> a la Secretaría que:</w:t>
      </w:r>
    </w:p>
    <w:p w14:paraId="4178128E" w14:textId="77777777" w:rsidR="00290DCB" w:rsidRPr="00F5756E" w:rsidRDefault="00290DCB" w:rsidP="00290DCB">
      <w:pPr>
        <w:pStyle w:val="Normal-pool"/>
        <w:numPr>
          <w:ilvl w:val="1"/>
          <w:numId w:val="28"/>
        </w:numPr>
        <w:tabs>
          <w:tab w:val="clear" w:pos="1247"/>
          <w:tab w:val="clear" w:pos="1814"/>
          <w:tab w:val="clear" w:pos="2381"/>
          <w:tab w:val="clear" w:pos="2654"/>
          <w:tab w:val="clear" w:pos="2948"/>
          <w:tab w:val="clear" w:pos="3515"/>
          <w:tab w:val="clear" w:pos="4082"/>
          <w:tab w:val="left" w:pos="624"/>
        </w:tabs>
        <w:spacing w:after="120"/>
        <w:ind w:left="1247" w:firstLine="624"/>
        <w:rPr>
          <w:iCs/>
          <w:lang w:val="es-ES_tradnl"/>
        </w:rPr>
      </w:pPr>
      <w:r w:rsidRPr="00F5756E">
        <w:rPr>
          <w:lang w:val="es-ES_tradnl"/>
        </w:rPr>
        <w:t>Prepare un informe sobre las actividades de los centros regionales y de coordinación del Convenio de Basilea para su examen por la Conferencia de las Partes en su 15ª reunión;</w:t>
      </w:r>
    </w:p>
    <w:p w14:paraId="366CB5EA" w14:textId="77777777" w:rsidR="00290DCB" w:rsidRPr="00F5756E" w:rsidRDefault="00290DCB" w:rsidP="00290DCB">
      <w:pPr>
        <w:pStyle w:val="Normal-pool"/>
        <w:numPr>
          <w:ilvl w:val="1"/>
          <w:numId w:val="28"/>
        </w:numPr>
        <w:tabs>
          <w:tab w:val="clear" w:pos="1247"/>
          <w:tab w:val="clear" w:pos="1814"/>
          <w:tab w:val="clear" w:pos="2381"/>
          <w:tab w:val="clear" w:pos="2654"/>
          <w:tab w:val="clear" w:pos="2948"/>
          <w:tab w:val="clear" w:pos="3515"/>
          <w:tab w:val="clear" w:pos="4082"/>
          <w:tab w:val="left" w:pos="624"/>
        </w:tabs>
        <w:spacing w:after="120"/>
        <w:ind w:left="1247" w:firstLine="624"/>
        <w:rPr>
          <w:iCs/>
          <w:lang w:val="es-ES_tradnl"/>
        </w:rPr>
      </w:pPr>
      <w:r w:rsidRPr="00F5756E">
        <w:rPr>
          <w:lang w:val="es-ES_tradnl"/>
        </w:rPr>
        <w:t>Prepare un informe sobre la evaluación de los centros regionales y de coordinación del Convenio de Basilea, basándose en la metodología y los criterios provisionales a que se hace referencia en el párrafo 17 de la presente decisión, para que la Conferencia de las Partes lo examine en su 16ª reunión;</w:t>
      </w:r>
    </w:p>
    <w:p w14:paraId="038BB42B" w14:textId="77777777" w:rsidR="00290DCB" w:rsidRPr="00F5756E" w:rsidRDefault="00290DCB" w:rsidP="00290DCB">
      <w:pPr>
        <w:pStyle w:val="Normal-pool"/>
        <w:numPr>
          <w:ilvl w:val="1"/>
          <w:numId w:val="28"/>
        </w:numPr>
        <w:tabs>
          <w:tab w:val="clear" w:pos="1247"/>
          <w:tab w:val="clear" w:pos="1814"/>
          <w:tab w:val="clear" w:pos="2381"/>
          <w:tab w:val="clear" w:pos="2654"/>
          <w:tab w:val="clear" w:pos="2948"/>
          <w:tab w:val="clear" w:pos="3515"/>
          <w:tab w:val="clear" w:pos="4082"/>
          <w:tab w:val="left" w:pos="624"/>
        </w:tabs>
        <w:spacing w:after="120"/>
        <w:ind w:left="1247" w:firstLine="624"/>
        <w:rPr>
          <w:iCs/>
          <w:lang w:val="es-ES_tradnl"/>
        </w:rPr>
      </w:pPr>
      <w:r w:rsidRPr="00F5756E">
        <w:rPr>
          <w:lang w:val="es-ES_tradnl"/>
        </w:rPr>
        <w:t>Emprenda las tareas siguientes para facilitar la labor de los centros regionales, con sujeción a la disponibilidad de recursos:</w:t>
      </w:r>
    </w:p>
    <w:p w14:paraId="218B8727" w14:textId="77777777" w:rsidR="00290DCB" w:rsidRPr="00F5756E" w:rsidRDefault="00290DCB" w:rsidP="00290DCB">
      <w:pPr>
        <w:pStyle w:val="Normal-pool"/>
        <w:numPr>
          <w:ilvl w:val="0"/>
          <w:numId w:val="26"/>
        </w:numPr>
        <w:tabs>
          <w:tab w:val="clear" w:pos="1247"/>
          <w:tab w:val="clear" w:pos="1814"/>
          <w:tab w:val="clear" w:pos="2381"/>
          <w:tab w:val="clear" w:pos="2948"/>
          <w:tab w:val="clear" w:pos="3515"/>
          <w:tab w:val="clear" w:pos="4082"/>
        </w:tabs>
        <w:spacing w:after="120"/>
        <w:ind w:left="3119" w:hanging="624"/>
        <w:rPr>
          <w:iCs/>
          <w:lang w:val="es-ES_tradnl"/>
        </w:rPr>
      </w:pPr>
      <w:r w:rsidRPr="00F5756E">
        <w:rPr>
          <w:lang w:val="es-ES_tradnl"/>
        </w:rPr>
        <w:t>Organice reuniones anuales de los directores de los centros regionales del Convenio de Basilea y el Convenio de Estocolmo con vistas a mejorar el desempeño de los centros regionales y promover la cooperación y la colaboración entre ellos y asistir a las reuniones de los comités directivos de los centros regionales;</w:t>
      </w:r>
    </w:p>
    <w:p w14:paraId="00CC991F" w14:textId="77777777" w:rsidR="00290DCB" w:rsidRPr="00F5756E" w:rsidRDefault="00290DCB" w:rsidP="00290DCB">
      <w:pPr>
        <w:pStyle w:val="Normal-pool"/>
        <w:numPr>
          <w:ilvl w:val="0"/>
          <w:numId w:val="26"/>
        </w:numPr>
        <w:tabs>
          <w:tab w:val="clear" w:pos="1247"/>
          <w:tab w:val="clear" w:pos="1814"/>
          <w:tab w:val="clear" w:pos="2381"/>
          <w:tab w:val="clear" w:pos="2948"/>
          <w:tab w:val="clear" w:pos="3515"/>
          <w:tab w:val="clear" w:pos="4082"/>
          <w:tab w:val="left" w:pos="624"/>
        </w:tabs>
        <w:spacing w:after="120"/>
        <w:ind w:left="3119" w:hanging="624"/>
        <w:rPr>
          <w:iCs/>
          <w:lang w:val="es-ES_tradnl"/>
        </w:rPr>
      </w:pPr>
      <w:r w:rsidRPr="00F5756E">
        <w:rPr>
          <w:lang w:val="es-ES_tradnl"/>
        </w:rPr>
        <w:t xml:space="preserve">Facilite la ejecución de proyectos regionales, subregionales y nacionales basados en los planes de actividades o planes de trabajo de los centros regionales mediante el Programa de Pequeñas Donaciones de los Convenios; </w:t>
      </w:r>
    </w:p>
    <w:p w14:paraId="441AE558" w14:textId="77777777" w:rsidR="00290DCB" w:rsidRPr="00F5756E" w:rsidRDefault="00290DCB" w:rsidP="00290DCB">
      <w:pPr>
        <w:pStyle w:val="Normal-pool"/>
        <w:numPr>
          <w:ilvl w:val="0"/>
          <w:numId w:val="26"/>
        </w:numPr>
        <w:tabs>
          <w:tab w:val="clear" w:pos="1247"/>
          <w:tab w:val="clear" w:pos="1814"/>
          <w:tab w:val="clear" w:pos="2381"/>
          <w:tab w:val="clear" w:pos="2948"/>
          <w:tab w:val="clear" w:pos="3515"/>
          <w:tab w:val="clear" w:pos="4082"/>
          <w:tab w:val="left" w:pos="624"/>
        </w:tabs>
        <w:spacing w:after="120"/>
        <w:ind w:left="3119" w:hanging="624"/>
        <w:rPr>
          <w:iCs/>
          <w:lang w:val="es-ES_tradnl"/>
        </w:rPr>
      </w:pPr>
      <w:r w:rsidRPr="00F5756E">
        <w:rPr>
          <w:lang w:val="es-ES_tradnl"/>
        </w:rPr>
        <w:t xml:space="preserve">Fomente las actividades de los centros regionales para aumentar su visibilidad; </w:t>
      </w:r>
    </w:p>
    <w:p w14:paraId="56DD4BD1"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s>
        <w:spacing w:after="120"/>
        <w:ind w:left="1247" w:firstLine="624"/>
        <w:rPr>
          <w:i/>
          <w:iCs/>
          <w:lang w:val="es-ES_tradnl"/>
        </w:rPr>
      </w:pPr>
      <w:r w:rsidRPr="00F5756E">
        <w:rPr>
          <w:i/>
          <w:iCs/>
          <w:lang w:val="es-ES_tradnl"/>
        </w:rPr>
        <w:t>Invita</w:t>
      </w:r>
      <w:r w:rsidRPr="00F5756E">
        <w:rPr>
          <w:lang w:val="es-ES_tradnl"/>
        </w:rPr>
        <w:t xml:space="preserve"> a los Gobiernos de la Federación de Rusia y de Eslovaquia y autoriza a la Secretaría a adoptar las medidas necesarias para hacer efectiva la firma, de conformidad con la decisión VI/3, de acuerdos marco para formalizar el establecimiento, en la Federación de Rusia y en Eslovaquia, de los centros regionales del Convenio de Basilea para la región de Europa Central y Oriental; </w:t>
      </w:r>
    </w:p>
    <w:p w14:paraId="02B276FB"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Decide</w:t>
      </w:r>
      <w:r w:rsidRPr="00F5756E">
        <w:rPr>
          <w:lang w:val="es-ES_tradnl"/>
        </w:rPr>
        <w:t xml:space="preserve"> elegir a Panamá como sede del centro regional del Convenio de Basilea que se establecerá para la subregión de Centroamérica y México, y autoriza a la Secretaría a adoptar las medidas necesarias para hacer efectiva la firma, de conformidad con la decisión VI/3 y el párrafo 11 de la decisión BC/13/11, de un acuerdo marco con el Gobierno de Panamá para el establecimiento </w:t>
      </w:r>
      <w:r w:rsidRPr="00F5756E">
        <w:rPr>
          <w:lang w:val="es-ES_tradnl"/>
        </w:rPr>
        <w:lastRenderedPageBreak/>
        <w:t xml:space="preserve">del centro regional del Convenio de Basilea correspondiente a la subregión de Centroamérica y México; </w:t>
      </w:r>
    </w:p>
    <w:p w14:paraId="138B3DCC" w14:textId="77777777" w:rsidR="00290DCB" w:rsidRPr="00F5756E"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rPr>
          <w:i/>
          <w:iCs/>
          <w:lang w:val="es-ES_tradnl"/>
        </w:rPr>
      </w:pPr>
      <w:r w:rsidRPr="00F5756E">
        <w:rPr>
          <w:i/>
          <w:iCs/>
          <w:lang w:val="es-ES_tradnl"/>
        </w:rPr>
        <w:t>Decide también</w:t>
      </w:r>
      <w:r w:rsidRPr="00F5756E">
        <w:rPr>
          <w:lang w:val="es-ES_tradnl"/>
        </w:rPr>
        <w:t xml:space="preserve"> evaluar, de conformidad con los criterios y la metodología provisionales establecidos en los anexos I y II de la decisión BC-11/13, el desempeño y la sostenibilidad de los centros regionales y de coordinación del Convenio de Basilea en su 16ª reunión y, de ahí en adelante, cada cuatro años; </w:t>
      </w:r>
    </w:p>
    <w:p w14:paraId="12795CE3" w14:textId="0C944015" w:rsidR="00F935A6" w:rsidRPr="00290DCB" w:rsidRDefault="00290DCB" w:rsidP="00290DCB">
      <w:pPr>
        <w:pStyle w:val="Normal-pool"/>
        <w:numPr>
          <w:ilvl w:val="0"/>
          <w:numId w:val="23"/>
        </w:numPr>
        <w:tabs>
          <w:tab w:val="clear" w:pos="1247"/>
          <w:tab w:val="clear" w:pos="1814"/>
          <w:tab w:val="clear" w:pos="2381"/>
          <w:tab w:val="clear" w:pos="2948"/>
          <w:tab w:val="clear" w:pos="3515"/>
          <w:tab w:val="clear" w:pos="4082"/>
          <w:tab w:val="left" w:pos="624"/>
        </w:tabs>
        <w:spacing w:after="120"/>
        <w:ind w:left="1247" w:firstLine="624"/>
      </w:pPr>
      <w:r w:rsidRPr="00290DCB">
        <w:rPr>
          <w:i/>
          <w:iCs/>
          <w:lang w:val="es-ES_tradnl"/>
        </w:rPr>
        <w:t>Invita</w:t>
      </w:r>
      <w:r w:rsidRPr="00F5756E">
        <w:rPr>
          <w:lang w:val="es-ES_tradnl"/>
        </w:rPr>
        <w:t xml:space="preserve"> a las Partes, los observadores y las instituciones financieras que estén en condiciones de hacerlo a prestar apoyo financiero para que los centros regionales y de coordinación del Convenio de Basilea puedan ejecutar sus planes de trabajo con el objeto de ayudar a las Partes a cumplir las obligaciones que les impone el Convenio.</w:t>
      </w:r>
      <w:bookmarkStart w:id="1" w:name="_GoBack"/>
      <w:bookmarkEnd w:id="1"/>
    </w:p>
    <w:sectPr w:rsidR="00F935A6" w:rsidRPr="00290DCB" w:rsidSect="00195952">
      <w:headerReference w:type="even" r:id="rId7"/>
      <w:footerReference w:type="even" r:id="rId8"/>
      <w:headerReference w:type="first" r:id="rId9"/>
      <w:pgSz w:w="12240" w:h="15840"/>
      <w:pgMar w:top="135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DC9D73" w14:textId="77777777" w:rsidR="00790B48" w:rsidRDefault="00790B48" w:rsidP="006A43BE">
      <w:r>
        <w:separator/>
      </w:r>
    </w:p>
  </w:endnote>
  <w:endnote w:type="continuationSeparator" w:id="0">
    <w:p w14:paraId="16A10CF6" w14:textId="77777777" w:rsidR="00790B48" w:rsidRDefault="00790B48" w:rsidP="006A4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B1845" w14:textId="77777777" w:rsidR="00EF42B0" w:rsidRDefault="00EF42B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88</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0A06B" w14:textId="77777777" w:rsidR="00790B48" w:rsidRDefault="00790B48" w:rsidP="006A43BE">
      <w:r>
        <w:separator/>
      </w:r>
    </w:p>
  </w:footnote>
  <w:footnote w:type="continuationSeparator" w:id="0">
    <w:p w14:paraId="39934AE5" w14:textId="77777777" w:rsidR="00790B48" w:rsidRDefault="00790B48" w:rsidP="006A43BE">
      <w:r>
        <w:continuationSeparator/>
      </w:r>
    </w:p>
  </w:footnote>
  <w:footnote w:id="1">
    <w:p w14:paraId="734DEE27" w14:textId="77777777" w:rsidR="00290DCB" w:rsidRPr="008C7A84" w:rsidRDefault="00290DCB" w:rsidP="00290DCB">
      <w:pPr>
        <w:pStyle w:val="FootnoteText"/>
        <w:tabs>
          <w:tab w:val="left" w:pos="624"/>
        </w:tabs>
        <w:ind w:right="57"/>
        <w:rPr>
          <w:szCs w:val="18"/>
          <w:lang w:val="en-US"/>
        </w:rPr>
      </w:pPr>
      <w:r w:rsidRPr="00D72107">
        <w:rPr>
          <w:rStyle w:val="FootnoteReference"/>
          <w:lang w:val="es-ES_tradnl"/>
        </w:rPr>
        <w:footnoteRef/>
      </w:r>
      <w:r w:rsidRPr="008C7A84">
        <w:rPr>
          <w:szCs w:val="18"/>
          <w:lang w:val="en-US"/>
        </w:rPr>
        <w:t xml:space="preserve"> UNEP/CHW.14/INF/25/Rev.1-UNEP/FAO/RC/COP.9/INF/24/Rev.1-UNEP/POPS/COP.9/INF/25/Rev.1.</w:t>
      </w:r>
    </w:p>
  </w:footnote>
  <w:footnote w:id="2">
    <w:p w14:paraId="0FB652A5" w14:textId="77777777" w:rsidR="00290DCB" w:rsidRPr="008C7A84" w:rsidRDefault="00290DCB" w:rsidP="00290DCB">
      <w:pPr>
        <w:pStyle w:val="FootnoteText"/>
        <w:tabs>
          <w:tab w:val="clear" w:pos="1247"/>
          <w:tab w:val="clear" w:pos="1814"/>
          <w:tab w:val="clear" w:pos="2381"/>
          <w:tab w:val="clear" w:pos="2948"/>
          <w:tab w:val="clear" w:pos="3515"/>
          <w:tab w:val="clear" w:pos="4082"/>
          <w:tab w:val="left" w:pos="624"/>
        </w:tabs>
        <w:ind w:right="57"/>
        <w:rPr>
          <w:szCs w:val="18"/>
          <w:lang w:val="en-US"/>
        </w:rPr>
      </w:pPr>
      <w:r w:rsidRPr="00D72107">
        <w:rPr>
          <w:rStyle w:val="FootnoteReference"/>
          <w:lang w:val="es-ES_tradnl"/>
        </w:rPr>
        <w:footnoteRef/>
      </w:r>
      <w:r w:rsidRPr="008C7A84">
        <w:rPr>
          <w:szCs w:val="18"/>
          <w:lang w:val="en-US"/>
        </w:rPr>
        <w:t xml:space="preserve"> UNEP/CHW.13/INF/36-UNEP/FAO/RC/COP.8/INF/26-UNEP/POPS/COP.8/INF/25.</w:t>
      </w:r>
    </w:p>
  </w:footnote>
  <w:footnote w:id="3">
    <w:p w14:paraId="608D3CCF" w14:textId="77777777" w:rsidR="00290DCB" w:rsidRPr="008C7A84" w:rsidRDefault="00290DCB" w:rsidP="00290DCB">
      <w:pPr>
        <w:pStyle w:val="NormalNonumber"/>
        <w:tabs>
          <w:tab w:val="left" w:pos="624"/>
        </w:tabs>
        <w:spacing w:before="20" w:after="40"/>
        <w:ind w:right="57"/>
        <w:rPr>
          <w:sz w:val="18"/>
          <w:szCs w:val="18"/>
          <w:lang w:val="es-ES_tradnl"/>
        </w:rPr>
      </w:pPr>
      <w:r w:rsidRPr="008C7A84">
        <w:rPr>
          <w:rStyle w:val="FootnoteReference"/>
          <w:lang w:val="es-ES_tradnl"/>
        </w:rPr>
        <w:footnoteRef/>
      </w:r>
      <w:r w:rsidRPr="008C7A84">
        <w:rPr>
          <w:sz w:val="18"/>
          <w:szCs w:val="18"/>
          <w:lang w:val="es-ES_tradnl"/>
        </w:rPr>
        <w:t xml:space="preserve"> Puede consultarse en </w:t>
      </w:r>
      <w:hyperlink r:id="rId1" w:history="1">
        <w:r w:rsidRPr="008C7A84">
          <w:rPr>
            <w:rStyle w:val="Hyperlink"/>
            <w:sz w:val="18"/>
            <w:szCs w:val="18"/>
            <w:lang w:val="es-ES_tradnl"/>
          </w:rPr>
          <w:t>http://www.basel.int/Partners/RegionalCentres/ActivityReports/tabid/2992/Default.aspx</w:t>
        </w:r>
      </w:hyperlink>
      <w:r w:rsidRPr="008C7A84">
        <w:rPr>
          <w:sz w:val="18"/>
          <w:szCs w:val="18"/>
          <w:lang w:val="es-ES_tradnl"/>
        </w:rPr>
        <w:t>.</w:t>
      </w:r>
    </w:p>
  </w:footnote>
  <w:footnote w:id="4">
    <w:p w14:paraId="2562CC3C" w14:textId="77777777" w:rsidR="00290DCB" w:rsidRPr="00C85666" w:rsidRDefault="00290DCB" w:rsidP="00290DCB">
      <w:pPr>
        <w:pStyle w:val="NormalNonumber"/>
        <w:tabs>
          <w:tab w:val="left" w:pos="624"/>
        </w:tabs>
        <w:spacing w:before="20" w:after="40"/>
        <w:ind w:right="57"/>
        <w:rPr>
          <w:sz w:val="18"/>
          <w:szCs w:val="18"/>
          <w:lang w:val="en-US"/>
        </w:rPr>
      </w:pPr>
      <w:r w:rsidRPr="008C7A84">
        <w:rPr>
          <w:rStyle w:val="FootnoteReference"/>
          <w:lang w:val="es-ES_tradnl"/>
        </w:rPr>
        <w:footnoteRef/>
      </w:r>
      <w:r w:rsidRPr="00C85666">
        <w:rPr>
          <w:sz w:val="18"/>
          <w:szCs w:val="18"/>
          <w:lang w:val="en-US"/>
        </w:rPr>
        <w:t xml:space="preserve"> </w:t>
      </w:r>
      <w:proofErr w:type="spellStart"/>
      <w:r w:rsidRPr="00C85666">
        <w:rPr>
          <w:sz w:val="18"/>
          <w:szCs w:val="18"/>
          <w:lang w:val="en-US"/>
        </w:rPr>
        <w:t>Véase</w:t>
      </w:r>
      <w:proofErr w:type="spellEnd"/>
      <w:r w:rsidRPr="00C85666">
        <w:rPr>
          <w:sz w:val="18"/>
          <w:szCs w:val="18"/>
          <w:lang w:val="en-US"/>
        </w:rPr>
        <w:t xml:space="preserve"> UNEP/CHW.14/INF/29-UNEP/POPS/COP.9/INF/28.</w:t>
      </w:r>
    </w:p>
  </w:footnote>
  <w:footnote w:id="5">
    <w:p w14:paraId="5A41D703" w14:textId="77777777" w:rsidR="00290DCB" w:rsidRPr="00C85666" w:rsidRDefault="00290DCB" w:rsidP="00290DCB">
      <w:pPr>
        <w:pStyle w:val="NormalNonumber"/>
        <w:tabs>
          <w:tab w:val="left" w:pos="624"/>
        </w:tabs>
        <w:spacing w:before="20" w:after="40"/>
        <w:ind w:right="57"/>
        <w:rPr>
          <w:sz w:val="18"/>
          <w:szCs w:val="18"/>
          <w:lang w:val="en-US"/>
        </w:rPr>
      </w:pPr>
      <w:r w:rsidRPr="008C7A84">
        <w:rPr>
          <w:rStyle w:val="FootnoteReference"/>
          <w:lang w:val="es-ES_tradnl"/>
        </w:rPr>
        <w:footnoteRef/>
      </w:r>
      <w:r w:rsidRPr="00C85666">
        <w:rPr>
          <w:sz w:val="18"/>
          <w:szCs w:val="18"/>
          <w:lang w:val="en-US"/>
        </w:rPr>
        <w:t xml:space="preserve"> </w:t>
      </w:r>
      <w:proofErr w:type="spellStart"/>
      <w:r w:rsidRPr="00C85666">
        <w:rPr>
          <w:sz w:val="18"/>
          <w:szCs w:val="18"/>
          <w:lang w:val="en-US"/>
        </w:rPr>
        <w:t>Véase</w:t>
      </w:r>
      <w:proofErr w:type="spellEnd"/>
      <w:r w:rsidRPr="00C85666">
        <w:rPr>
          <w:sz w:val="18"/>
          <w:szCs w:val="18"/>
          <w:lang w:val="en-US"/>
        </w:rPr>
        <w:t xml:space="preserve"> UNEP/CHW.14/INF/28/Rev.1</w:t>
      </w:r>
      <w:r w:rsidRPr="00C85666">
        <w:rPr>
          <w:sz w:val="18"/>
          <w:szCs w:val="18"/>
          <w:lang w:val="en-US"/>
        </w:rPr>
        <w:noBreakHyphen/>
        <w:t xml:space="preserve">UNEP/POPS/COP.9/INF/27/Rev.1. </w:t>
      </w:r>
    </w:p>
  </w:footnote>
  <w:footnote w:id="6">
    <w:p w14:paraId="2AE2774A" w14:textId="77777777" w:rsidR="00290DCB" w:rsidRPr="00C85666" w:rsidRDefault="00290DCB" w:rsidP="00290DCB">
      <w:pPr>
        <w:pStyle w:val="NormalNonumber"/>
        <w:tabs>
          <w:tab w:val="left" w:pos="624"/>
        </w:tabs>
        <w:spacing w:before="20" w:after="40"/>
        <w:ind w:right="57"/>
        <w:rPr>
          <w:sz w:val="18"/>
          <w:szCs w:val="18"/>
          <w:lang w:val="en-US"/>
        </w:rPr>
      </w:pPr>
      <w:r w:rsidRPr="008C7A84">
        <w:rPr>
          <w:rStyle w:val="FootnoteReference"/>
          <w:lang w:val="es-ES_tradnl"/>
        </w:rPr>
        <w:footnoteRef/>
      </w:r>
      <w:r w:rsidRPr="00C85666">
        <w:rPr>
          <w:sz w:val="18"/>
          <w:szCs w:val="18"/>
          <w:lang w:val="en-US"/>
        </w:rPr>
        <w:t xml:space="preserve"> UNEP/CHW.14/17, </w:t>
      </w:r>
      <w:proofErr w:type="spellStart"/>
      <w:r w:rsidRPr="00C85666">
        <w:rPr>
          <w:sz w:val="18"/>
          <w:szCs w:val="18"/>
          <w:lang w:val="en-US"/>
        </w:rPr>
        <w:t>anexo</w:t>
      </w:r>
      <w:proofErr w:type="spellEnd"/>
      <w:r w:rsidRPr="00C85666">
        <w:rPr>
          <w:sz w:val="18"/>
          <w:szCs w:val="18"/>
          <w:lang w:val="en-US"/>
        </w:rPr>
        <w:t>.</w:t>
      </w:r>
    </w:p>
  </w:footnote>
  <w:footnote w:id="7">
    <w:p w14:paraId="4D072C9F" w14:textId="77777777" w:rsidR="00290DCB" w:rsidRPr="00C85666" w:rsidRDefault="00290DCB" w:rsidP="00290DCB">
      <w:pPr>
        <w:pStyle w:val="NormalNonumber"/>
        <w:tabs>
          <w:tab w:val="left" w:pos="624"/>
        </w:tabs>
        <w:spacing w:before="20" w:after="40"/>
        <w:ind w:right="57"/>
        <w:rPr>
          <w:sz w:val="18"/>
          <w:szCs w:val="18"/>
          <w:lang w:val="en-US"/>
        </w:rPr>
      </w:pPr>
      <w:r w:rsidRPr="008C7A84">
        <w:rPr>
          <w:rStyle w:val="FootnoteReference"/>
          <w:lang w:val="es-ES_tradnl"/>
        </w:rPr>
        <w:footnoteRef/>
      </w:r>
      <w:r w:rsidRPr="00C85666">
        <w:rPr>
          <w:sz w:val="18"/>
          <w:szCs w:val="18"/>
          <w:lang w:val="en-US"/>
        </w:rPr>
        <w:t xml:space="preserve"> UNEP/CHW.14/INF/28/Rev.1</w:t>
      </w:r>
      <w:r w:rsidRPr="00C85666">
        <w:rPr>
          <w:sz w:val="18"/>
          <w:szCs w:val="18"/>
          <w:lang w:val="en-US"/>
        </w:rPr>
        <w:noBreakHyphen/>
        <w:t xml:space="preserve">UNEP/POPS/COP.9/INF/27/Rev.1, </w:t>
      </w:r>
      <w:proofErr w:type="spellStart"/>
      <w:r w:rsidRPr="00C85666">
        <w:rPr>
          <w:sz w:val="18"/>
          <w:szCs w:val="18"/>
          <w:lang w:val="en-US"/>
        </w:rPr>
        <w:t>anexo</w:t>
      </w:r>
      <w:proofErr w:type="spellEnd"/>
      <w:r w:rsidRPr="00C85666">
        <w:rPr>
          <w:sz w:val="18"/>
          <w:szCs w:val="18"/>
          <w:lang w:val="en-US"/>
        </w:rPr>
        <w:t xml:space="preserve"> II.</w:t>
      </w:r>
    </w:p>
  </w:footnote>
  <w:footnote w:id="8">
    <w:p w14:paraId="2747A854" w14:textId="77777777" w:rsidR="00290DCB" w:rsidRPr="00D72107" w:rsidRDefault="00290DCB" w:rsidP="00290DCB">
      <w:pPr>
        <w:pStyle w:val="NormalNonumber"/>
        <w:tabs>
          <w:tab w:val="left" w:pos="624"/>
        </w:tabs>
        <w:spacing w:before="20" w:after="40"/>
        <w:ind w:right="57"/>
        <w:rPr>
          <w:sz w:val="18"/>
          <w:szCs w:val="18"/>
          <w:lang w:val="es-ES_tradnl"/>
        </w:rPr>
      </w:pPr>
      <w:r w:rsidRPr="008C7A84">
        <w:rPr>
          <w:rStyle w:val="FootnoteReference"/>
          <w:lang w:val="es-ES_tradnl"/>
        </w:rPr>
        <w:footnoteRef/>
      </w:r>
      <w:r w:rsidRPr="008C7A84">
        <w:rPr>
          <w:sz w:val="18"/>
          <w:szCs w:val="18"/>
          <w:lang w:val="es-ES_tradnl"/>
        </w:rPr>
        <w:t xml:space="preserve"> Véanse las decisiones III/19, VI/6, VI/8 y VII/10.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01C08" w14:textId="77777777" w:rsidR="00EF42B0" w:rsidRPr="001817D8" w:rsidRDefault="00EF42B0" w:rsidP="001817D8">
    <w:pPr>
      <w:pStyle w:val="Header"/>
      <w:rPr>
        <w:szCs w:val="18"/>
      </w:rPr>
    </w:pPr>
    <w:r>
      <w:rPr>
        <w:bCs/>
        <w:szCs w:val="18"/>
      </w:rPr>
      <w:t>U</w:t>
    </w:r>
    <w:r w:rsidRPr="00123A6A">
      <w:rPr>
        <w:bCs/>
        <w:szCs w:val="18"/>
      </w:rPr>
      <w:t>NEP</w:t>
    </w:r>
    <w:r>
      <w:rPr>
        <w:szCs w:val="18"/>
      </w:rPr>
      <w:t>/CHW.14/28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3C730" w14:textId="77777777" w:rsidR="00EF42B0" w:rsidRDefault="00EF42B0">
    <w:pPr>
      <w:pStyle w:val="Header"/>
    </w:pPr>
    <w:r>
      <w:rPr>
        <w:noProof/>
        <w:lang w:val="es-ES" w:eastAsia="es-ES"/>
      </w:rPr>
      <mc:AlternateContent>
        <mc:Choice Requires="wps">
          <w:drawing>
            <wp:anchor distT="0" distB="0" distL="114300" distR="114300" simplePos="0" relativeHeight="251659264" behindDoc="1" locked="0" layoutInCell="0" allowOverlap="1" wp14:anchorId="5E3C2BE4" wp14:editId="456CBCEB">
              <wp:simplePos x="0" y="0"/>
              <wp:positionH relativeFrom="margin">
                <wp:align>center</wp:align>
              </wp:positionH>
              <wp:positionV relativeFrom="margin">
                <wp:align>center</wp:align>
              </wp:positionV>
              <wp:extent cx="6612255" cy="1889125"/>
              <wp:effectExtent l="0" t="1828800" r="0" b="176847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12255" cy="18891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56B284D" w14:textId="77777777" w:rsidR="00EF42B0" w:rsidRDefault="00EF42B0" w:rsidP="00653BEB">
                          <w:pPr>
                            <w:pStyle w:val="NormalWeb"/>
                            <w:spacing w:before="0" w:beforeAutospacing="0" w:after="0" w:afterAutospacing="0"/>
                            <w:jc w:val="center"/>
                          </w:pPr>
                          <w:r>
                            <w:rPr>
                              <w:color w:val="C0C0C0"/>
                              <w:sz w:val="2"/>
                              <w:szCs w:val="2"/>
                            </w:rPr>
                            <w:t>ADVANCE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E3C2BE4" id="_x0000_t202" coordsize="21600,21600" o:spt="202" path="m,l,21600r21600,l21600,xe">
              <v:stroke joinstyle="miter"/>
              <v:path gradientshapeok="t" o:connecttype="rect"/>
            </v:shapetype>
            <v:shape id="WordArt 4" o:spid="_x0000_s1026" type="#_x0000_t202" style="position:absolute;margin-left:0;margin-top:0;width:520.65pt;height:148.7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" o:allowincell="f" filled="f" stroked="f">
              <v:stroke joinstyle="round"/>
              <o:lock v:ext="edit" shapetype="t"/>
              <v:textbox style="mso-fit-shape-to-text:t">
                <w:txbxContent>
                  <w:p w14:paraId="756B284D" w14:textId="77777777" w:rsidR="00EF42B0" w:rsidRDefault="00EF42B0" w:rsidP="00653BEB">
                    <w:pPr>
                      <w:pStyle w:val="NormalWeb"/>
                      <w:spacing w:before="0" w:beforeAutospacing="0" w:after="0" w:afterAutospacing="0"/>
                      <w:jc w:val="center"/>
                    </w:pPr>
                    <w:r>
                      <w:rPr>
                        <w:color w:val="C0C0C0"/>
                        <w:sz w:val="2"/>
                        <w:szCs w:val="2"/>
                      </w:rPr>
                      <w:t>ADVANCE</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07D8D"/>
    <w:multiLevelType w:val="hybridMultilevel"/>
    <w:tmpl w:val="BB52EFA8"/>
    <w:lvl w:ilvl="0" w:tplc="7A66FA26">
      <w:start w:val="1"/>
      <w:numFmt w:val="decimal"/>
      <w:lvlText w:val="%1."/>
      <w:lvlJc w:val="left"/>
      <w:pPr>
        <w:tabs>
          <w:tab w:val="num" w:pos="2654"/>
        </w:tabs>
        <w:ind w:left="2654" w:hanging="360"/>
      </w:pPr>
      <w:rPr>
        <w:rFonts w:cs="Times New Roman" w:hint="default"/>
        <w:sz w:val="20"/>
        <w:szCs w:val="20"/>
      </w:rPr>
    </w:lvl>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 w:ilvl="2" w:tplc="FFFFFFFF">
      <w:start w:val="1"/>
      <w:numFmt w:val="lowerRoman"/>
      <w:lvlText w:val="%3."/>
      <w:lvlJc w:val="right"/>
      <w:pPr>
        <w:tabs>
          <w:tab w:val="num" w:pos="3374"/>
        </w:tabs>
        <w:ind w:left="3374" w:hanging="180"/>
      </w:pPr>
      <w:rPr>
        <w:rFonts w:cs="Times New Roman"/>
      </w:rPr>
    </w:lvl>
    <w:lvl w:ilvl="3" w:tplc="FFFFFFFF">
      <w:start w:val="1"/>
      <w:numFmt w:val="decimal"/>
      <w:lvlText w:val="%4."/>
      <w:lvlJc w:val="left"/>
      <w:pPr>
        <w:tabs>
          <w:tab w:val="num" w:pos="4094"/>
        </w:tabs>
        <w:ind w:left="4094" w:hanging="360"/>
      </w:pPr>
      <w:rPr>
        <w:rFonts w:cs="Times New Roman"/>
      </w:rPr>
    </w:lvl>
    <w:lvl w:ilvl="4" w:tplc="FFFFFFFF">
      <w:start w:val="1"/>
      <w:numFmt w:val="lowerLetter"/>
      <w:lvlText w:val="%5."/>
      <w:lvlJc w:val="left"/>
      <w:pPr>
        <w:tabs>
          <w:tab w:val="num" w:pos="4814"/>
        </w:tabs>
        <w:ind w:left="4814" w:hanging="360"/>
      </w:pPr>
      <w:rPr>
        <w:rFonts w:cs="Times New Roman"/>
      </w:rPr>
    </w:lvl>
    <w:lvl w:ilvl="5" w:tplc="FFFFFFFF" w:tentative="1">
      <w:start w:val="1"/>
      <w:numFmt w:val="lowerRoman"/>
      <w:lvlText w:val="%6."/>
      <w:lvlJc w:val="right"/>
      <w:pPr>
        <w:tabs>
          <w:tab w:val="num" w:pos="5534"/>
        </w:tabs>
        <w:ind w:left="5534" w:hanging="180"/>
      </w:pPr>
      <w:rPr>
        <w:rFonts w:cs="Times New Roman"/>
      </w:rPr>
    </w:lvl>
    <w:lvl w:ilvl="6" w:tplc="FFFFFFFF" w:tentative="1">
      <w:start w:val="1"/>
      <w:numFmt w:val="decimal"/>
      <w:lvlText w:val="%7."/>
      <w:lvlJc w:val="left"/>
      <w:pPr>
        <w:tabs>
          <w:tab w:val="num" w:pos="6254"/>
        </w:tabs>
        <w:ind w:left="6254" w:hanging="360"/>
      </w:pPr>
      <w:rPr>
        <w:rFonts w:cs="Times New Roman"/>
      </w:rPr>
    </w:lvl>
    <w:lvl w:ilvl="7" w:tplc="FFFFFFFF" w:tentative="1">
      <w:start w:val="1"/>
      <w:numFmt w:val="lowerLetter"/>
      <w:lvlText w:val="%8."/>
      <w:lvlJc w:val="left"/>
      <w:pPr>
        <w:tabs>
          <w:tab w:val="num" w:pos="6974"/>
        </w:tabs>
        <w:ind w:left="6974" w:hanging="360"/>
      </w:pPr>
      <w:rPr>
        <w:rFonts w:cs="Times New Roman"/>
      </w:rPr>
    </w:lvl>
    <w:lvl w:ilvl="8" w:tplc="FFFFFFFF" w:tentative="1">
      <w:start w:val="1"/>
      <w:numFmt w:val="lowerRoman"/>
      <w:lvlText w:val="%9."/>
      <w:lvlJc w:val="right"/>
      <w:pPr>
        <w:tabs>
          <w:tab w:val="num" w:pos="7694"/>
        </w:tabs>
        <w:ind w:left="7694" w:hanging="180"/>
      </w:pPr>
      <w:rPr>
        <w:rFonts w:cs="Times New Roman"/>
      </w:rPr>
    </w:lvl>
  </w:abstractNum>
  <w:abstractNum w:abstractNumId="1" w15:restartNumberingAfterBreak="0">
    <w:nsid w:val="08D17B35"/>
    <w:multiLevelType w:val="multilevel"/>
    <w:tmpl w:val="714CE63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171113A7"/>
    <w:multiLevelType w:val="multilevel"/>
    <w:tmpl w:val="714CE63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1C0472BE"/>
    <w:multiLevelType w:val="hybridMultilevel"/>
    <w:tmpl w:val="11EAB252"/>
    <w:lvl w:ilvl="0" w:tplc="85324EC6">
      <w:start w:val="8"/>
      <w:numFmt w:val="decimal"/>
      <w:lvlText w:val="%1."/>
      <w:lvlJc w:val="left"/>
      <w:pPr>
        <w:ind w:left="2855" w:hanging="360"/>
      </w:pPr>
      <w:rPr>
        <w:rFonts w:hint="default"/>
        <w:i w:val="0"/>
      </w:rPr>
    </w:lvl>
    <w:lvl w:ilvl="1" w:tplc="04090019" w:tentative="1">
      <w:start w:val="1"/>
      <w:numFmt w:val="lowerLetter"/>
      <w:lvlText w:val="%2."/>
      <w:lvlJc w:val="left"/>
      <w:pPr>
        <w:ind w:left="3575" w:hanging="360"/>
      </w:pPr>
    </w:lvl>
    <w:lvl w:ilvl="2" w:tplc="0409001B" w:tentative="1">
      <w:start w:val="1"/>
      <w:numFmt w:val="lowerRoman"/>
      <w:lvlText w:val="%3."/>
      <w:lvlJc w:val="right"/>
      <w:pPr>
        <w:ind w:left="4295" w:hanging="180"/>
      </w:pPr>
    </w:lvl>
    <w:lvl w:ilvl="3" w:tplc="0409000F">
      <w:start w:val="1"/>
      <w:numFmt w:val="decimal"/>
      <w:lvlText w:val="%4."/>
      <w:lvlJc w:val="left"/>
      <w:pPr>
        <w:ind w:left="5015" w:hanging="360"/>
      </w:pPr>
    </w:lvl>
    <w:lvl w:ilvl="4" w:tplc="04090019" w:tentative="1">
      <w:start w:val="1"/>
      <w:numFmt w:val="lowerLetter"/>
      <w:lvlText w:val="%5."/>
      <w:lvlJc w:val="left"/>
      <w:pPr>
        <w:ind w:left="5735" w:hanging="360"/>
      </w:pPr>
    </w:lvl>
    <w:lvl w:ilvl="5" w:tplc="0409001B" w:tentative="1">
      <w:start w:val="1"/>
      <w:numFmt w:val="lowerRoman"/>
      <w:lvlText w:val="%6."/>
      <w:lvlJc w:val="right"/>
      <w:pPr>
        <w:ind w:left="6455" w:hanging="180"/>
      </w:pPr>
    </w:lvl>
    <w:lvl w:ilvl="6" w:tplc="0409000F" w:tentative="1">
      <w:start w:val="1"/>
      <w:numFmt w:val="decimal"/>
      <w:lvlText w:val="%7."/>
      <w:lvlJc w:val="left"/>
      <w:pPr>
        <w:ind w:left="7175" w:hanging="360"/>
      </w:pPr>
    </w:lvl>
    <w:lvl w:ilvl="7" w:tplc="04090019" w:tentative="1">
      <w:start w:val="1"/>
      <w:numFmt w:val="lowerLetter"/>
      <w:lvlText w:val="%8."/>
      <w:lvlJc w:val="left"/>
      <w:pPr>
        <w:ind w:left="7895" w:hanging="360"/>
      </w:pPr>
    </w:lvl>
    <w:lvl w:ilvl="8" w:tplc="0409001B" w:tentative="1">
      <w:start w:val="1"/>
      <w:numFmt w:val="lowerRoman"/>
      <w:lvlText w:val="%9."/>
      <w:lvlJc w:val="right"/>
      <w:pPr>
        <w:ind w:left="8615" w:hanging="180"/>
      </w:pPr>
    </w:lvl>
  </w:abstractNum>
  <w:abstractNum w:abstractNumId="4" w15:restartNumberingAfterBreak="0">
    <w:nsid w:val="2AF06125"/>
    <w:multiLevelType w:val="hybridMultilevel"/>
    <w:tmpl w:val="F5F69B58"/>
    <w:lvl w:ilvl="0" w:tplc="B6764E98">
      <w:start w:val="1"/>
      <w:numFmt w:val="lowerLetter"/>
      <w:lvlText w:val="(%1)"/>
      <w:lvlJc w:val="left"/>
      <w:pPr>
        <w:ind w:left="3215" w:hanging="360"/>
      </w:pPr>
      <w:rPr>
        <w:rFonts w:ascii="Times New Roman" w:hAnsi="Times New Roman" w:cs="Times New Roman" w:hint="default"/>
      </w:rPr>
    </w:lvl>
    <w:lvl w:ilvl="1" w:tplc="08090019" w:tentative="1">
      <w:start w:val="1"/>
      <w:numFmt w:val="lowerLetter"/>
      <w:lvlText w:val="%2."/>
      <w:lvlJc w:val="left"/>
      <w:pPr>
        <w:ind w:left="3935" w:hanging="360"/>
      </w:pPr>
      <w:rPr>
        <w:rFonts w:cs="Times New Roman"/>
      </w:rPr>
    </w:lvl>
    <w:lvl w:ilvl="2" w:tplc="0809001B" w:tentative="1">
      <w:start w:val="1"/>
      <w:numFmt w:val="lowerRoman"/>
      <w:lvlText w:val="%3."/>
      <w:lvlJc w:val="right"/>
      <w:pPr>
        <w:ind w:left="4655" w:hanging="180"/>
      </w:pPr>
      <w:rPr>
        <w:rFonts w:cs="Times New Roman"/>
      </w:rPr>
    </w:lvl>
    <w:lvl w:ilvl="3" w:tplc="0809000F" w:tentative="1">
      <w:start w:val="1"/>
      <w:numFmt w:val="decimal"/>
      <w:lvlText w:val="%4."/>
      <w:lvlJc w:val="left"/>
      <w:pPr>
        <w:ind w:left="5375" w:hanging="360"/>
      </w:pPr>
      <w:rPr>
        <w:rFonts w:cs="Times New Roman"/>
      </w:rPr>
    </w:lvl>
    <w:lvl w:ilvl="4" w:tplc="08090019" w:tentative="1">
      <w:start w:val="1"/>
      <w:numFmt w:val="lowerLetter"/>
      <w:lvlText w:val="%5."/>
      <w:lvlJc w:val="left"/>
      <w:pPr>
        <w:ind w:left="6095" w:hanging="360"/>
      </w:pPr>
      <w:rPr>
        <w:rFonts w:cs="Times New Roman"/>
      </w:rPr>
    </w:lvl>
    <w:lvl w:ilvl="5" w:tplc="0809001B" w:tentative="1">
      <w:start w:val="1"/>
      <w:numFmt w:val="lowerRoman"/>
      <w:lvlText w:val="%6."/>
      <w:lvlJc w:val="right"/>
      <w:pPr>
        <w:ind w:left="6815" w:hanging="180"/>
      </w:pPr>
      <w:rPr>
        <w:rFonts w:cs="Times New Roman"/>
      </w:rPr>
    </w:lvl>
    <w:lvl w:ilvl="6" w:tplc="0809000F" w:tentative="1">
      <w:start w:val="1"/>
      <w:numFmt w:val="decimal"/>
      <w:lvlText w:val="%7."/>
      <w:lvlJc w:val="left"/>
      <w:pPr>
        <w:ind w:left="7535" w:hanging="360"/>
      </w:pPr>
      <w:rPr>
        <w:rFonts w:cs="Times New Roman"/>
      </w:rPr>
    </w:lvl>
    <w:lvl w:ilvl="7" w:tplc="08090019" w:tentative="1">
      <w:start w:val="1"/>
      <w:numFmt w:val="lowerLetter"/>
      <w:lvlText w:val="%8."/>
      <w:lvlJc w:val="left"/>
      <w:pPr>
        <w:ind w:left="8255" w:hanging="360"/>
      </w:pPr>
      <w:rPr>
        <w:rFonts w:cs="Times New Roman"/>
      </w:rPr>
    </w:lvl>
    <w:lvl w:ilvl="8" w:tplc="0809001B" w:tentative="1">
      <w:start w:val="1"/>
      <w:numFmt w:val="lowerRoman"/>
      <w:lvlText w:val="%9."/>
      <w:lvlJc w:val="right"/>
      <w:pPr>
        <w:ind w:left="8975" w:hanging="180"/>
      </w:pPr>
      <w:rPr>
        <w:rFonts w:cs="Times New Roman"/>
      </w:rPr>
    </w:lvl>
  </w:abstractNum>
  <w:abstractNum w:abstractNumId="5" w15:restartNumberingAfterBreak="0">
    <w:nsid w:val="2B923D5E"/>
    <w:multiLevelType w:val="hybridMultilevel"/>
    <w:tmpl w:val="1BB09DF2"/>
    <w:lvl w:ilvl="0" w:tplc="072C78F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BA56F5A2">
      <w:start w:val="1"/>
      <w:numFmt w:val="decimal"/>
      <w:lvlText w:val="%4."/>
      <w:lvlJc w:val="left"/>
      <w:pPr>
        <w:ind w:left="2880" w:hanging="360"/>
      </w:pPr>
      <w:rPr>
        <w:i w:val="0"/>
        <w:iCs w:val="0"/>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D1705E"/>
    <w:multiLevelType w:val="hybridMultilevel"/>
    <w:tmpl w:val="E8081980"/>
    <w:lvl w:ilvl="0" w:tplc="0F7674F2">
      <w:start w:val="1"/>
      <w:numFmt w:val="lowerLetter"/>
      <w:lvlText w:val="(%1)"/>
      <w:lvlJc w:val="left"/>
      <w:pPr>
        <w:ind w:left="3215" w:hanging="360"/>
      </w:pPr>
      <w:rPr>
        <w:rFonts w:ascii="Times New Roman" w:hAnsi="Times New Roman" w:cs="Arial" w:hint="default"/>
        <w:b w:val="0"/>
        <w:i w:val="0"/>
        <w:caps w:val="0"/>
        <w:strike w:val="0"/>
        <w:dstrike w:val="0"/>
        <w:vanish w:val="0"/>
        <w:color w:val="000000"/>
        <w:sz w:val="22"/>
        <w:vertAlign w:val="baseline"/>
      </w:rPr>
    </w:lvl>
    <w:lvl w:ilvl="1" w:tplc="6586368C">
      <w:start w:val="1"/>
      <w:numFmt w:val="lowerLetter"/>
      <w:lvlText w:val="(%2)"/>
      <w:lvlJc w:val="left"/>
      <w:pPr>
        <w:ind w:left="3935" w:hanging="360"/>
      </w:pPr>
      <w:rPr>
        <w:rFonts w:ascii="Times New Roman" w:hAnsi="Times New Roman" w:cs="Arial" w:hint="default"/>
        <w:b w:val="0"/>
        <w:i w:val="0"/>
        <w:caps w:val="0"/>
        <w:strike w:val="0"/>
        <w:dstrike w:val="0"/>
        <w:vanish w:val="0"/>
        <w:color w:val="000000"/>
        <w:sz w:val="20"/>
        <w:vertAlign w:val="baseline"/>
      </w:rPr>
    </w:lvl>
    <w:lvl w:ilvl="2" w:tplc="1009001B">
      <w:start w:val="1"/>
      <w:numFmt w:val="lowerRoman"/>
      <w:lvlText w:val="%3."/>
      <w:lvlJc w:val="right"/>
      <w:pPr>
        <w:ind w:left="4655" w:hanging="180"/>
      </w:pPr>
      <w:rPr>
        <w:rFonts w:cs="Times New Roman"/>
      </w:rPr>
    </w:lvl>
    <w:lvl w:ilvl="3" w:tplc="1009000F" w:tentative="1">
      <w:start w:val="1"/>
      <w:numFmt w:val="decimal"/>
      <w:lvlText w:val="%4."/>
      <w:lvlJc w:val="left"/>
      <w:pPr>
        <w:ind w:left="5375" w:hanging="360"/>
      </w:pPr>
      <w:rPr>
        <w:rFonts w:cs="Times New Roman"/>
      </w:rPr>
    </w:lvl>
    <w:lvl w:ilvl="4" w:tplc="10090019" w:tentative="1">
      <w:start w:val="1"/>
      <w:numFmt w:val="lowerLetter"/>
      <w:lvlText w:val="%5."/>
      <w:lvlJc w:val="left"/>
      <w:pPr>
        <w:ind w:left="6095" w:hanging="360"/>
      </w:pPr>
      <w:rPr>
        <w:rFonts w:cs="Times New Roman"/>
      </w:rPr>
    </w:lvl>
    <w:lvl w:ilvl="5" w:tplc="1009001B" w:tentative="1">
      <w:start w:val="1"/>
      <w:numFmt w:val="lowerRoman"/>
      <w:lvlText w:val="%6."/>
      <w:lvlJc w:val="right"/>
      <w:pPr>
        <w:ind w:left="6815" w:hanging="180"/>
      </w:pPr>
      <w:rPr>
        <w:rFonts w:cs="Times New Roman"/>
      </w:rPr>
    </w:lvl>
    <w:lvl w:ilvl="6" w:tplc="1009000F" w:tentative="1">
      <w:start w:val="1"/>
      <w:numFmt w:val="decimal"/>
      <w:lvlText w:val="%7."/>
      <w:lvlJc w:val="left"/>
      <w:pPr>
        <w:ind w:left="7535" w:hanging="360"/>
      </w:pPr>
      <w:rPr>
        <w:rFonts w:cs="Times New Roman"/>
      </w:rPr>
    </w:lvl>
    <w:lvl w:ilvl="7" w:tplc="10090019" w:tentative="1">
      <w:start w:val="1"/>
      <w:numFmt w:val="lowerLetter"/>
      <w:lvlText w:val="%8."/>
      <w:lvlJc w:val="left"/>
      <w:pPr>
        <w:ind w:left="8255" w:hanging="360"/>
      </w:pPr>
      <w:rPr>
        <w:rFonts w:cs="Times New Roman"/>
      </w:rPr>
    </w:lvl>
    <w:lvl w:ilvl="8" w:tplc="1009001B" w:tentative="1">
      <w:start w:val="1"/>
      <w:numFmt w:val="lowerRoman"/>
      <w:lvlText w:val="%9."/>
      <w:lvlJc w:val="right"/>
      <w:pPr>
        <w:ind w:left="8975" w:hanging="180"/>
      </w:pPr>
      <w:rPr>
        <w:rFonts w:cs="Times New Roman"/>
      </w:rPr>
    </w:lvl>
  </w:abstractNum>
  <w:abstractNum w:abstractNumId="7" w15:restartNumberingAfterBreak="0">
    <w:nsid w:val="313D2E41"/>
    <w:multiLevelType w:val="hybridMultilevel"/>
    <w:tmpl w:val="638423D4"/>
    <w:lvl w:ilvl="0" w:tplc="487C1F10">
      <w:start w:val="1"/>
      <w:numFmt w:val="lowerRoman"/>
      <w:lvlText w:val="(%1)"/>
      <w:lvlJc w:val="left"/>
      <w:pPr>
        <w:ind w:left="3331" w:hanging="360"/>
      </w:pPr>
      <w:rPr>
        <w:rFonts w:cs="Times New Roman" w:hint="default"/>
      </w:rPr>
    </w:lvl>
    <w:lvl w:ilvl="1" w:tplc="08090019">
      <w:start w:val="1"/>
      <w:numFmt w:val="lowerLetter"/>
      <w:lvlText w:val="%2."/>
      <w:lvlJc w:val="left"/>
      <w:pPr>
        <w:ind w:left="4051" w:hanging="360"/>
      </w:pPr>
      <w:rPr>
        <w:rFonts w:cs="Times New Roman"/>
      </w:rPr>
    </w:lvl>
    <w:lvl w:ilvl="2" w:tplc="0809001B" w:tentative="1">
      <w:start w:val="1"/>
      <w:numFmt w:val="lowerRoman"/>
      <w:lvlText w:val="%3."/>
      <w:lvlJc w:val="right"/>
      <w:pPr>
        <w:ind w:left="4771" w:hanging="180"/>
      </w:pPr>
      <w:rPr>
        <w:rFonts w:cs="Times New Roman"/>
      </w:rPr>
    </w:lvl>
    <w:lvl w:ilvl="3" w:tplc="0809000F" w:tentative="1">
      <w:start w:val="1"/>
      <w:numFmt w:val="decimal"/>
      <w:lvlText w:val="%4."/>
      <w:lvlJc w:val="left"/>
      <w:pPr>
        <w:ind w:left="5491" w:hanging="360"/>
      </w:pPr>
      <w:rPr>
        <w:rFonts w:cs="Times New Roman"/>
      </w:rPr>
    </w:lvl>
    <w:lvl w:ilvl="4" w:tplc="08090019" w:tentative="1">
      <w:start w:val="1"/>
      <w:numFmt w:val="lowerLetter"/>
      <w:lvlText w:val="%5."/>
      <w:lvlJc w:val="left"/>
      <w:pPr>
        <w:ind w:left="6211" w:hanging="360"/>
      </w:pPr>
      <w:rPr>
        <w:rFonts w:cs="Times New Roman"/>
      </w:rPr>
    </w:lvl>
    <w:lvl w:ilvl="5" w:tplc="0809001B" w:tentative="1">
      <w:start w:val="1"/>
      <w:numFmt w:val="lowerRoman"/>
      <w:lvlText w:val="%6."/>
      <w:lvlJc w:val="right"/>
      <w:pPr>
        <w:ind w:left="6931" w:hanging="180"/>
      </w:pPr>
      <w:rPr>
        <w:rFonts w:cs="Times New Roman"/>
      </w:rPr>
    </w:lvl>
    <w:lvl w:ilvl="6" w:tplc="0809000F" w:tentative="1">
      <w:start w:val="1"/>
      <w:numFmt w:val="decimal"/>
      <w:lvlText w:val="%7."/>
      <w:lvlJc w:val="left"/>
      <w:pPr>
        <w:ind w:left="7651" w:hanging="360"/>
      </w:pPr>
      <w:rPr>
        <w:rFonts w:cs="Times New Roman"/>
      </w:rPr>
    </w:lvl>
    <w:lvl w:ilvl="7" w:tplc="08090019" w:tentative="1">
      <w:start w:val="1"/>
      <w:numFmt w:val="lowerLetter"/>
      <w:lvlText w:val="%8."/>
      <w:lvlJc w:val="left"/>
      <w:pPr>
        <w:ind w:left="8371" w:hanging="360"/>
      </w:pPr>
      <w:rPr>
        <w:rFonts w:cs="Times New Roman"/>
      </w:rPr>
    </w:lvl>
    <w:lvl w:ilvl="8" w:tplc="0809001B" w:tentative="1">
      <w:start w:val="1"/>
      <w:numFmt w:val="lowerRoman"/>
      <w:lvlText w:val="%9."/>
      <w:lvlJc w:val="right"/>
      <w:pPr>
        <w:ind w:left="9091" w:hanging="180"/>
      </w:pPr>
      <w:rPr>
        <w:rFonts w:cs="Times New Roman"/>
      </w:rPr>
    </w:lvl>
  </w:abstractNum>
  <w:abstractNum w:abstractNumId="8" w15:restartNumberingAfterBreak="0">
    <w:nsid w:val="3AF93026"/>
    <w:multiLevelType w:val="hybridMultilevel"/>
    <w:tmpl w:val="585A0606"/>
    <w:lvl w:ilvl="0" w:tplc="04090005">
      <w:start w:val="1"/>
      <w:numFmt w:val="bullet"/>
      <w:lvlText w:val=""/>
      <w:lvlJc w:val="left"/>
      <w:pPr>
        <w:ind w:left="2053" w:hanging="360"/>
      </w:pPr>
      <w:rPr>
        <w:rFonts w:ascii="Wingdings" w:hAnsi="Wingdings" w:hint="default"/>
      </w:rPr>
    </w:lvl>
    <w:lvl w:ilvl="1" w:tplc="04090003" w:tentative="1">
      <w:start w:val="1"/>
      <w:numFmt w:val="bullet"/>
      <w:lvlText w:val="o"/>
      <w:lvlJc w:val="left"/>
      <w:pPr>
        <w:ind w:left="2773" w:hanging="360"/>
      </w:pPr>
      <w:rPr>
        <w:rFonts w:ascii="Courier New" w:hAnsi="Courier New" w:cs="Courier New" w:hint="default"/>
      </w:rPr>
    </w:lvl>
    <w:lvl w:ilvl="2" w:tplc="04090005" w:tentative="1">
      <w:start w:val="1"/>
      <w:numFmt w:val="bullet"/>
      <w:lvlText w:val=""/>
      <w:lvlJc w:val="left"/>
      <w:pPr>
        <w:ind w:left="3493" w:hanging="360"/>
      </w:pPr>
      <w:rPr>
        <w:rFonts w:ascii="Wingdings" w:hAnsi="Wingdings" w:hint="default"/>
      </w:rPr>
    </w:lvl>
    <w:lvl w:ilvl="3" w:tplc="04090001" w:tentative="1">
      <w:start w:val="1"/>
      <w:numFmt w:val="bullet"/>
      <w:lvlText w:val=""/>
      <w:lvlJc w:val="left"/>
      <w:pPr>
        <w:ind w:left="4213" w:hanging="360"/>
      </w:pPr>
      <w:rPr>
        <w:rFonts w:ascii="Symbol" w:hAnsi="Symbol" w:hint="default"/>
      </w:rPr>
    </w:lvl>
    <w:lvl w:ilvl="4" w:tplc="04090003" w:tentative="1">
      <w:start w:val="1"/>
      <w:numFmt w:val="bullet"/>
      <w:lvlText w:val="o"/>
      <w:lvlJc w:val="left"/>
      <w:pPr>
        <w:ind w:left="4933" w:hanging="360"/>
      </w:pPr>
      <w:rPr>
        <w:rFonts w:ascii="Courier New" w:hAnsi="Courier New" w:cs="Courier New" w:hint="default"/>
      </w:rPr>
    </w:lvl>
    <w:lvl w:ilvl="5" w:tplc="04090005" w:tentative="1">
      <w:start w:val="1"/>
      <w:numFmt w:val="bullet"/>
      <w:lvlText w:val=""/>
      <w:lvlJc w:val="left"/>
      <w:pPr>
        <w:ind w:left="5653" w:hanging="360"/>
      </w:pPr>
      <w:rPr>
        <w:rFonts w:ascii="Wingdings" w:hAnsi="Wingdings" w:hint="default"/>
      </w:rPr>
    </w:lvl>
    <w:lvl w:ilvl="6" w:tplc="04090001" w:tentative="1">
      <w:start w:val="1"/>
      <w:numFmt w:val="bullet"/>
      <w:lvlText w:val=""/>
      <w:lvlJc w:val="left"/>
      <w:pPr>
        <w:ind w:left="6373" w:hanging="360"/>
      </w:pPr>
      <w:rPr>
        <w:rFonts w:ascii="Symbol" w:hAnsi="Symbol" w:hint="default"/>
      </w:rPr>
    </w:lvl>
    <w:lvl w:ilvl="7" w:tplc="04090003" w:tentative="1">
      <w:start w:val="1"/>
      <w:numFmt w:val="bullet"/>
      <w:lvlText w:val="o"/>
      <w:lvlJc w:val="left"/>
      <w:pPr>
        <w:ind w:left="7093" w:hanging="360"/>
      </w:pPr>
      <w:rPr>
        <w:rFonts w:ascii="Courier New" w:hAnsi="Courier New" w:cs="Courier New" w:hint="default"/>
      </w:rPr>
    </w:lvl>
    <w:lvl w:ilvl="8" w:tplc="04090005" w:tentative="1">
      <w:start w:val="1"/>
      <w:numFmt w:val="bullet"/>
      <w:lvlText w:val=""/>
      <w:lvlJc w:val="left"/>
      <w:pPr>
        <w:ind w:left="7813" w:hanging="360"/>
      </w:pPr>
      <w:rPr>
        <w:rFonts w:ascii="Wingdings" w:hAnsi="Wingdings" w:hint="default"/>
      </w:rPr>
    </w:lvl>
  </w:abstractNum>
  <w:abstractNum w:abstractNumId="9" w15:restartNumberingAfterBreak="0">
    <w:nsid w:val="3B235AF7"/>
    <w:multiLevelType w:val="hybridMultilevel"/>
    <w:tmpl w:val="F306E382"/>
    <w:lvl w:ilvl="0" w:tplc="0409000F">
      <w:start w:val="1"/>
      <w:numFmt w:val="decimal"/>
      <w:lvlText w:val="%1."/>
      <w:lvlJc w:val="left"/>
      <w:pPr>
        <w:ind w:left="1344" w:hanging="360"/>
      </w:pPr>
    </w:lvl>
    <w:lvl w:ilvl="1" w:tplc="04090019">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10" w15:restartNumberingAfterBreak="0">
    <w:nsid w:val="3D065284"/>
    <w:multiLevelType w:val="hybridMultilevel"/>
    <w:tmpl w:val="D6C035E6"/>
    <w:lvl w:ilvl="0" w:tplc="04090003">
      <w:start w:val="1"/>
      <w:numFmt w:val="bullet"/>
      <w:lvlText w:val="o"/>
      <w:lvlJc w:val="left"/>
      <w:pPr>
        <w:ind w:left="1598" w:hanging="360"/>
      </w:pPr>
      <w:rPr>
        <w:rFonts w:ascii="Courier New" w:hAnsi="Courier New" w:cs="Courier New" w:hint="default"/>
      </w:rPr>
    </w:lvl>
    <w:lvl w:ilvl="1" w:tplc="04090003" w:tentative="1">
      <w:start w:val="1"/>
      <w:numFmt w:val="bullet"/>
      <w:lvlText w:val="o"/>
      <w:lvlJc w:val="left"/>
      <w:pPr>
        <w:ind w:left="2318" w:hanging="360"/>
      </w:pPr>
      <w:rPr>
        <w:rFonts w:ascii="Courier New" w:hAnsi="Courier New" w:cs="Courier New" w:hint="default"/>
      </w:rPr>
    </w:lvl>
    <w:lvl w:ilvl="2" w:tplc="04090005" w:tentative="1">
      <w:start w:val="1"/>
      <w:numFmt w:val="bullet"/>
      <w:lvlText w:val=""/>
      <w:lvlJc w:val="left"/>
      <w:pPr>
        <w:ind w:left="3038" w:hanging="360"/>
      </w:pPr>
      <w:rPr>
        <w:rFonts w:ascii="Wingdings" w:hAnsi="Wingdings" w:hint="default"/>
      </w:rPr>
    </w:lvl>
    <w:lvl w:ilvl="3" w:tplc="04090001" w:tentative="1">
      <w:start w:val="1"/>
      <w:numFmt w:val="bullet"/>
      <w:lvlText w:val=""/>
      <w:lvlJc w:val="left"/>
      <w:pPr>
        <w:ind w:left="3758" w:hanging="360"/>
      </w:pPr>
      <w:rPr>
        <w:rFonts w:ascii="Symbol" w:hAnsi="Symbol" w:hint="default"/>
      </w:rPr>
    </w:lvl>
    <w:lvl w:ilvl="4" w:tplc="04090003" w:tentative="1">
      <w:start w:val="1"/>
      <w:numFmt w:val="bullet"/>
      <w:lvlText w:val="o"/>
      <w:lvlJc w:val="left"/>
      <w:pPr>
        <w:ind w:left="4478" w:hanging="360"/>
      </w:pPr>
      <w:rPr>
        <w:rFonts w:ascii="Courier New" w:hAnsi="Courier New" w:cs="Courier New" w:hint="default"/>
      </w:rPr>
    </w:lvl>
    <w:lvl w:ilvl="5" w:tplc="04090005" w:tentative="1">
      <w:start w:val="1"/>
      <w:numFmt w:val="bullet"/>
      <w:lvlText w:val=""/>
      <w:lvlJc w:val="left"/>
      <w:pPr>
        <w:ind w:left="5198" w:hanging="360"/>
      </w:pPr>
      <w:rPr>
        <w:rFonts w:ascii="Wingdings" w:hAnsi="Wingdings" w:hint="default"/>
      </w:rPr>
    </w:lvl>
    <w:lvl w:ilvl="6" w:tplc="04090001" w:tentative="1">
      <w:start w:val="1"/>
      <w:numFmt w:val="bullet"/>
      <w:lvlText w:val=""/>
      <w:lvlJc w:val="left"/>
      <w:pPr>
        <w:ind w:left="5918" w:hanging="360"/>
      </w:pPr>
      <w:rPr>
        <w:rFonts w:ascii="Symbol" w:hAnsi="Symbol" w:hint="default"/>
      </w:rPr>
    </w:lvl>
    <w:lvl w:ilvl="7" w:tplc="04090003" w:tentative="1">
      <w:start w:val="1"/>
      <w:numFmt w:val="bullet"/>
      <w:lvlText w:val="o"/>
      <w:lvlJc w:val="left"/>
      <w:pPr>
        <w:ind w:left="6638" w:hanging="360"/>
      </w:pPr>
      <w:rPr>
        <w:rFonts w:ascii="Courier New" w:hAnsi="Courier New" w:cs="Courier New" w:hint="default"/>
      </w:rPr>
    </w:lvl>
    <w:lvl w:ilvl="8" w:tplc="04090005" w:tentative="1">
      <w:start w:val="1"/>
      <w:numFmt w:val="bullet"/>
      <w:lvlText w:val=""/>
      <w:lvlJc w:val="left"/>
      <w:pPr>
        <w:ind w:left="7358" w:hanging="360"/>
      </w:pPr>
      <w:rPr>
        <w:rFonts w:ascii="Wingdings" w:hAnsi="Wingdings" w:hint="default"/>
      </w:rPr>
    </w:lvl>
  </w:abstractNum>
  <w:abstractNum w:abstractNumId="11" w15:restartNumberingAfterBreak="0">
    <w:nsid w:val="3DB8730C"/>
    <w:multiLevelType w:val="hybridMultilevel"/>
    <w:tmpl w:val="DB82C7B2"/>
    <w:lvl w:ilvl="0" w:tplc="D466EC8A">
      <w:start w:val="1"/>
      <w:numFmt w:val="lowerRoman"/>
      <w:lvlText w:val="(%1)"/>
      <w:lvlJc w:val="right"/>
      <w:pPr>
        <w:ind w:left="3455" w:hanging="360"/>
      </w:pPr>
      <w:rPr>
        <w:rFonts w:hint="default"/>
      </w:rPr>
    </w:lvl>
    <w:lvl w:ilvl="1" w:tplc="04090019">
      <w:start w:val="1"/>
      <w:numFmt w:val="lowerLetter"/>
      <w:lvlText w:val="%2."/>
      <w:lvlJc w:val="left"/>
      <w:pPr>
        <w:ind w:left="4175" w:hanging="360"/>
      </w:pPr>
      <w:rPr>
        <w:rFonts w:hint="default"/>
      </w:rPr>
    </w:lvl>
    <w:lvl w:ilvl="2" w:tplc="041D0005" w:tentative="1">
      <w:start w:val="1"/>
      <w:numFmt w:val="bullet"/>
      <w:lvlText w:val=""/>
      <w:lvlJc w:val="left"/>
      <w:pPr>
        <w:ind w:left="4895" w:hanging="360"/>
      </w:pPr>
      <w:rPr>
        <w:rFonts w:ascii="Wingdings" w:hAnsi="Wingdings" w:hint="default"/>
      </w:rPr>
    </w:lvl>
    <w:lvl w:ilvl="3" w:tplc="041D0001" w:tentative="1">
      <w:start w:val="1"/>
      <w:numFmt w:val="bullet"/>
      <w:lvlText w:val=""/>
      <w:lvlJc w:val="left"/>
      <w:pPr>
        <w:ind w:left="5615" w:hanging="360"/>
      </w:pPr>
      <w:rPr>
        <w:rFonts w:ascii="Symbol" w:hAnsi="Symbol" w:hint="default"/>
      </w:rPr>
    </w:lvl>
    <w:lvl w:ilvl="4" w:tplc="041D0003" w:tentative="1">
      <w:start w:val="1"/>
      <w:numFmt w:val="bullet"/>
      <w:lvlText w:val="o"/>
      <w:lvlJc w:val="left"/>
      <w:pPr>
        <w:ind w:left="6335" w:hanging="360"/>
      </w:pPr>
      <w:rPr>
        <w:rFonts w:ascii="Courier New" w:hAnsi="Courier New" w:cs="Courier New" w:hint="default"/>
      </w:rPr>
    </w:lvl>
    <w:lvl w:ilvl="5" w:tplc="041D0005" w:tentative="1">
      <w:start w:val="1"/>
      <w:numFmt w:val="bullet"/>
      <w:lvlText w:val=""/>
      <w:lvlJc w:val="left"/>
      <w:pPr>
        <w:ind w:left="7055" w:hanging="360"/>
      </w:pPr>
      <w:rPr>
        <w:rFonts w:ascii="Wingdings" w:hAnsi="Wingdings" w:hint="default"/>
      </w:rPr>
    </w:lvl>
    <w:lvl w:ilvl="6" w:tplc="041D0001" w:tentative="1">
      <w:start w:val="1"/>
      <w:numFmt w:val="bullet"/>
      <w:lvlText w:val=""/>
      <w:lvlJc w:val="left"/>
      <w:pPr>
        <w:ind w:left="7775" w:hanging="360"/>
      </w:pPr>
      <w:rPr>
        <w:rFonts w:ascii="Symbol" w:hAnsi="Symbol" w:hint="default"/>
      </w:rPr>
    </w:lvl>
    <w:lvl w:ilvl="7" w:tplc="041D0003" w:tentative="1">
      <w:start w:val="1"/>
      <w:numFmt w:val="bullet"/>
      <w:lvlText w:val="o"/>
      <w:lvlJc w:val="left"/>
      <w:pPr>
        <w:ind w:left="8495" w:hanging="360"/>
      </w:pPr>
      <w:rPr>
        <w:rFonts w:ascii="Courier New" w:hAnsi="Courier New" w:cs="Courier New" w:hint="default"/>
      </w:rPr>
    </w:lvl>
    <w:lvl w:ilvl="8" w:tplc="041D0005" w:tentative="1">
      <w:start w:val="1"/>
      <w:numFmt w:val="bullet"/>
      <w:lvlText w:val=""/>
      <w:lvlJc w:val="left"/>
      <w:pPr>
        <w:ind w:left="9215" w:hanging="360"/>
      </w:pPr>
      <w:rPr>
        <w:rFonts w:ascii="Wingdings" w:hAnsi="Wingdings" w:hint="default"/>
      </w:rPr>
    </w:lvl>
  </w:abstractNum>
  <w:abstractNum w:abstractNumId="12" w15:restartNumberingAfterBreak="0">
    <w:nsid w:val="40681B62"/>
    <w:multiLevelType w:val="hybridMultilevel"/>
    <w:tmpl w:val="899477E2"/>
    <w:lvl w:ilvl="0" w:tplc="78083696">
      <w:start w:val="1"/>
      <w:numFmt w:val="lowerLetter"/>
      <w:lvlText w:val="(%1)"/>
      <w:lvlJc w:val="left"/>
      <w:pPr>
        <w:ind w:left="720" w:hanging="360"/>
      </w:pPr>
      <w:rPr>
        <w:rFonts w:hint="default"/>
      </w:rPr>
    </w:lvl>
    <w:lvl w:ilvl="1" w:tplc="7808369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32F25E2"/>
    <w:multiLevelType w:val="hybridMultilevel"/>
    <w:tmpl w:val="FD008B70"/>
    <w:lvl w:ilvl="0" w:tplc="04090005">
      <w:start w:val="1"/>
      <w:numFmt w:val="bullet"/>
      <w:lvlText w:val=""/>
      <w:lvlJc w:val="left"/>
      <w:pPr>
        <w:ind w:left="1636" w:hanging="360"/>
      </w:pPr>
      <w:rPr>
        <w:rFonts w:ascii="Wingdings" w:hAnsi="Wingdings" w:hint="default"/>
      </w:rPr>
    </w:lvl>
    <w:lvl w:ilvl="1" w:tplc="0C0A0003" w:tentative="1">
      <w:start w:val="1"/>
      <w:numFmt w:val="bullet"/>
      <w:lvlText w:val="o"/>
      <w:lvlJc w:val="left"/>
      <w:pPr>
        <w:ind w:left="2356" w:hanging="360"/>
      </w:pPr>
      <w:rPr>
        <w:rFonts w:ascii="Courier New" w:hAnsi="Courier New" w:cs="Courier New" w:hint="default"/>
      </w:rPr>
    </w:lvl>
    <w:lvl w:ilvl="2" w:tplc="0C0A0005" w:tentative="1">
      <w:start w:val="1"/>
      <w:numFmt w:val="bullet"/>
      <w:lvlText w:val=""/>
      <w:lvlJc w:val="left"/>
      <w:pPr>
        <w:ind w:left="3076" w:hanging="360"/>
      </w:pPr>
      <w:rPr>
        <w:rFonts w:ascii="Wingdings" w:hAnsi="Wingdings" w:hint="default"/>
      </w:rPr>
    </w:lvl>
    <w:lvl w:ilvl="3" w:tplc="0C0A0001" w:tentative="1">
      <w:start w:val="1"/>
      <w:numFmt w:val="bullet"/>
      <w:lvlText w:val=""/>
      <w:lvlJc w:val="left"/>
      <w:pPr>
        <w:ind w:left="3796" w:hanging="360"/>
      </w:pPr>
      <w:rPr>
        <w:rFonts w:ascii="Symbol" w:hAnsi="Symbol" w:hint="default"/>
      </w:rPr>
    </w:lvl>
    <w:lvl w:ilvl="4" w:tplc="0C0A0003" w:tentative="1">
      <w:start w:val="1"/>
      <w:numFmt w:val="bullet"/>
      <w:lvlText w:val="o"/>
      <w:lvlJc w:val="left"/>
      <w:pPr>
        <w:ind w:left="4516" w:hanging="360"/>
      </w:pPr>
      <w:rPr>
        <w:rFonts w:ascii="Courier New" w:hAnsi="Courier New" w:cs="Courier New" w:hint="default"/>
      </w:rPr>
    </w:lvl>
    <w:lvl w:ilvl="5" w:tplc="0C0A0005" w:tentative="1">
      <w:start w:val="1"/>
      <w:numFmt w:val="bullet"/>
      <w:lvlText w:val=""/>
      <w:lvlJc w:val="left"/>
      <w:pPr>
        <w:ind w:left="5236" w:hanging="360"/>
      </w:pPr>
      <w:rPr>
        <w:rFonts w:ascii="Wingdings" w:hAnsi="Wingdings" w:hint="default"/>
      </w:rPr>
    </w:lvl>
    <w:lvl w:ilvl="6" w:tplc="0C0A0001" w:tentative="1">
      <w:start w:val="1"/>
      <w:numFmt w:val="bullet"/>
      <w:lvlText w:val=""/>
      <w:lvlJc w:val="left"/>
      <w:pPr>
        <w:ind w:left="5956" w:hanging="360"/>
      </w:pPr>
      <w:rPr>
        <w:rFonts w:ascii="Symbol" w:hAnsi="Symbol" w:hint="default"/>
      </w:rPr>
    </w:lvl>
    <w:lvl w:ilvl="7" w:tplc="0C0A0003" w:tentative="1">
      <w:start w:val="1"/>
      <w:numFmt w:val="bullet"/>
      <w:lvlText w:val="o"/>
      <w:lvlJc w:val="left"/>
      <w:pPr>
        <w:ind w:left="6676" w:hanging="360"/>
      </w:pPr>
      <w:rPr>
        <w:rFonts w:ascii="Courier New" w:hAnsi="Courier New" w:cs="Courier New" w:hint="default"/>
      </w:rPr>
    </w:lvl>
    <w:lvl w:ilvl="8" w:tplc="0C0A0005" w:tentative="1">
      <w:start w:val="1"/>
      <w:numFmt w:val="bullet"/>
      <w:lvlText w:val=""/>
      <w:lvlJc w:val="left"/>
      <w:pPr>
        <w:ind w:left="7396" w:hanging="360"/>
      </w:pPr>
      <w:rPr>
        <w:rFonts w:ascii="Wingdings" w:hAnsi="Wingdings" w:hint="default"/>
      </w:rPr>
    </w:lvl>
  </w:abstractNum>
  <w:abstractNum w:abstractNumId="14" w15:restartNumberingAfterBreak="0">
    <w:nsid w:val="44EB2831"/>
    <w:multiLevelType w:val="hybridMultilevel"/>
    <w:tmpl w:val="1EBEC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951F39"/>
    <w:multiLevelType w:val="hybridMultilevel"/>
    <w:tmpl w:val="4502F364"/>
    <w:lvl w:ilvl="0" w:tplc="6C22DE42">
      <w:start w:val="1"/>
      <w:numFmt w:val="lowerLetter"/>
      <w:lvlText w:val="(%1)"/>
      <w:lvlJc w:val="left"/>
      <w:pPr>
        <w:ind w:left="644" w:hanging="36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6"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CE53E86"/>
    <w:multiLevelType w:val="hybridMultilevel"/>
    <w:tmpl w:val="A50673AA"/>
    <w:lvl w:ilvl="0" w:tplc="6A8A974C">
      <w:start w:val="1"/>
      <w:numFmt w:val="decimal"/>
      <w:lvlText w:val="%1."/>
      <w:lvlJc w:val="left"/>
      <w:pPr>
        <w:ind w:left="2487" w:hanging="360"/>
      </w:pPr>
      <w:rPr>
        <w:rFonts w:hint="eastAsia"/>
        <w:b w:val="0"/>
        <w:i w:val="0"/>
        <w:sz w:val="20"/>
        <w:szCs w:val="2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1991311"/>
    <w:multiLevelType w:val="hybridMultilevel"/>
    <w:tmpl w:val="F452752A"/>
    <w:lvl w:ilvl="0" w:tplc="27544982">
      <w:start w:val="3"/>
      <w:numFmt w:val="bullet"/>
      <w:lvlText w:val="-"/>
      <w:lvlJc w:val="left"/>
      <w:pPr>
        <w:ind w:left="1080" w:hanging="360"/>
      </w:pPr>
      <w:rPr>
        <w:rFonts w:ascii="Times New Roman" w:eastAsia="Calibri" w:hAnsi="Times New Roman" w:cs="Times New Roman"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abstractNum w:abstractNumId="19" w15:restartNumberingAfterBreak="0">
    <w:nsid w:val="52ED134B"/>
    <w:multiLevelType w:val="multilevel"/>
    <w:tmpl w:val="C76AD634"/>
    <w:lvl w:ilvl="0">
      <w:start w:val="1"/>
      <w:numFmt w:val="decimal"/>
      <w:lvlText w:val="%1."/>
      <w:lvlJc w:val="left"/>
      <w:pPr>
        <w:tabs>
          <w:tab w:val="num" w:pos="9716"/>
        </w:tabs>
        <w:ind w:left="9716" w:hanging="360"/>
      </w:pPr>
      <w:rPr>
        <w:rFonts w:ascii="Times New Roman" w:eastAsia="Times New Roman" w:hAnsi="Times New Roman" w:cs="Times New Roman"/>
      </w:rPr>
    </w:lvl>
    <w:lvl w:ilvl="1">
      <w:start w:val="1"/>
      <w:numFmt w:val="decimal"/>
      <w:lvlText w:val="(%2)"/>
      <w:lvlJc w:val="left"/>
      <w:pPr>
        <w:ind w:left="10436" w:hanging="360"/>
      </w:pPr>
      <w:rPr>
        <w:rFonts w:cs="Times New Roman" w:hint="default"/>
        <w:sz w:val="20"/>
      </w:rPr>
    </w:lvl>
    <w:lvl w:ilvl="2">
      <w:start w:val="1"/>
      <w:numFmt w:val="decimal"/>
      <w:lvlText w:val="%3."/>
      <w:lvlJc w:val="left"/>
      <w:pPr>
        <w:tabs>
          <w:tab w:val="num" w:pos="11156"/>
        </w:tabs>
        <w:ind w:left="11156" w:hanging="360"/>
      </w:pPr>
      <w:rPr>
        <w:rFonts w:cs="Times New Roman"/>
      </w:rPr>
    </w:lvl>
    <w:lvl w:ilvl="3">
      <w:start w:val="1"/>
      <w:numFmt w:val="decimal"/>
      <w:lvlText w:val="%4."/>
      <w:lvlJc w:val="left"/>
      <w:pPr>
        <w:tabs>
          <w:tab w:val="num" w:pos="11876"/>
        </w:tabs>
        <w:ind w:left="11876" w:hanging="360"/>
      </w:pPr>
      <w:rPr>
        <w:rFonts w:cs="Times New Roman"/>
      </w:rPr>
    </w:lvl>
    <w:lvl w:ilvl="4">
      <w:start w:val="1"/>
      <w:numFmt w:val="decimal"/>
      <w:lvlText w:val="%5."/>
      <w:lvlJc w:val="left"/>
      <w:pPr>
        <w:tabs>
          <w:tab w:val="num" w:pos="12596"/>
        </w:tabs>
        <w:ind w:left="12596" w:hanging="360"/>
      </w:pPr>
      <w:rPr>
        <w:rFonts w:cs="Times New Roman"/>
      </w:rPr>
    </w:lvl>
    <w:lvl w:ilvl="5">
      <w:start w:val="1"/>
      <w:numFmt w:val="decimal"/>
      <w:lvlText w:val="%6."/>
      <w:lvlJc w:val="left"/>
      <w:pPr>
        <w:tabs>
          <w:tab w:val="num" w:pos="13316"/>
        </w:tabs>
        <w:ind w:left="13316" w:hanging="360"/>
      </w:pPr>
      <w:rPr>
        <w:rFonts w:cs="Times New Roman"/>
      </w:rPr>
    </w:lvl>
    <w:lvl w:ilvl="6">
      <w:start w:val="1"/>
      <w:numFmt w:val="decimal"/>
      <w:lvlText w:val="%7."/>
      <w:lvlJc w:val="left"/>
      <w:pPr>
        <w:tabs>
          <w:tab w:val="num" w:pos="14036"/>
        </w:tabs>
        <w:ind w:left="14036" w:hanging="360"/>
      </w:pPr>
      <w:rPr>
        <w:rFonts w:cs="Times New Roman"/>
      </w:rPr>
    </w:lvl>
    <w:lvl w:ilvl="7">
      <w:start w:val="1"/>
      <w:numFmt w:val="decimal"/>
      <w:lvlText w:val="%8."/>
      <w:lvlJc w:val="left"/>
      <w:pPr>
        <w:tabs>
          <w:tab w:val="num" w:pos="14756"/>
        </w:tabs>
        <w:ind w:left="14756" w:hanging="360"/>
      </w:pPr>
      <w:rPr>
        <w:rFonts w:cs="Times New Roman"/>
      </w:rPr>
    </w:lvl>
    <w:lvl w:ilvl="8">
      <w:start w:val="1"/>
      <w:numFmt w:val="decimal"/>
      <w:lvlText w:val="%9."/>
      <w:lvlJc w:val="left"/>
      <w:pPr>
        <w:tabs>
          <w:tab w:val="num" w:pos="15476"/>
        </w:tabs>
        <w:ind w:left="15476" w:hanging="360"/>
      </w:pPr>
      <w:rPr>
        <w:rFonts w:cs="Times New Roman"/>
      </w:rPr>
    </w:lvl>
  </w:abstractNum>
  <w:abstractNum w:abstractNumId="20" w15:restartNumberingAfterBreak="0">
    <w:nsid w:val="5360442B"/>
    <w:multiLevelType w:val="hybridMultilevel"/>
    <w:tmpl w:val="96CEEA58"/>
    <w:lvl w:ilvl="0" w:tplc="0A1E7442">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5F243FFB"/>
    <w:multiLevelType w:val="hybridMultilevel"/>
    <w:tmpl w:val="5428DBB0"/>
    <w:lvl w:ilvl="0" w:tplc="AE846BE4">
      <w:start w:val="1"/>
      <w:numFmt w:val="lowerLetter"/>
      <w:lvlText w:val="(%1)"/>
      <w:lvlJc w:val="left"/>
      <w:pPr>
        <w:ind w:left="2520" w:hanging="360"/>
      </w:pPr>
      <w:rPr>
        <w:rFonts w:eastAsiaTheme="minorHAnsi" w:hint="default"/>
      </w:rPr>
    </w:lvl>
    <w:lvl w:ilvl="1" w:tplc="0409001B">
      <w:start w:val="1"/>
      <w:numFmt w:val="lowerRoman"/>
      <w:lvlText w:val="%2."/>
      <w:lvlJc w:val="righ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15:restartNumberingAfterBreak="0">
    <w:nsid w:val="6F444AED"/>
    <w:multiLevelType w:val="hybridMultilevel"/>
    <w:tmpl w:val="B05419A8"/>
    <w:lvl w:ilvl="0" w:tplc="73BECF00">
      <w:start w:val="1"/>
      <w:numFmt w:val="lowerLetter"/>
      <w:lvlText w:val="(%1)"/>
      <w:lvlJc w:val="left"/>
      <w:pPr>
        <w:ind w:left="630" w:hanging="63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5D1E49"/>
    <w:multiLevelType w:val="multilevel"/>
    <w:tmpl w:val="1E6A495C"/>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4" w15:restartNumberingAfterBreak="0">
    <w:nsid w:val="7DA15DF5"/>
    <w:multiLevelType w:val="hybridMultilevel"/>
    <w:tmpl w:val="3756509A"/>
    <w:lvl w:ilvl="0" w:tplc="9F0E5222">
      <w:start w:val="22"/>
      <w:numFmt w:val="decimal"/>
      <w:lvlText w:val="%1."/>
      <w:lvlJc w:val="left"/>
      <w:pPr>
        <w:ind w:left="2855" w:hanging="360"/>
      </w:pPr>
      <w:rPr>
        <w:rFonts w:hint="default"/>
        <w:i w:val="0"/>
      </w:rPr>
    </w:lvl>
    <w:lvl w:ilvl="1" w:tplc="04090019" w:tentative="1">
      <w:start w:val="1"/>
      <w:numFmt w:val="lowerLetter"/>
      <w:lvlText w:val="%2."/>
      <w:lvlJc w:val="left"/>
      <w:pPr>
        <w:ind w:left="3575" w:hanging="360"/>
      </w:pPr>
    </w:lvl>
    <w:lvl w:ilvl="2" w:tplc="0409001B" w:tentative="1">
      <w:start w:val="1"/>
      <w:numFmt w:val="lowerRoman"/>
      <w:lvlText w:val="%3."/>
      <w:lvlJc w:val="right"/>
      <w:pPr>
        <w:ind w:left="4295" w:hanging="180"/>
      </w:pPr>
    </w:lvl>
    <w:lvl w:ilvl="3" w:tplc="0409000F">
      <w:start w:val="1"/>
      <w:numFmt w:val="decimal"/>
      <w:lvlText w:val="%4."/>
      <w:lvlJc w:val="left"/>
      <w:pPr>
        <w:ind w:left="5015" w:hanging="360"/>
      </w:pPr>
    </w:lvl>
    <w:lvl w:ilvl="4" w:tplc="04090019" w:tentative="1">
      <w:start w:val="1"/>
      <w:numFmt w:val="lowerLetter"/>
      <w:lvlText w:val="%5."/>
      <w:lvlJc w:val="left"/>
      <w:pPr>
        <w:ind w:left="5735" w:hanging="360"/>
      </w:pPr>
    </w:lvl>
    <w:lvl w:ilvl="5" w:tplc="0409001B" w:tentative="1">
      <w:start w:val="1"/>
      <w:numFmt w:val="lowerRoman"/>
      <w:lvlText w:val="%6."/>
      <w:lvlJc w:val="right"/>
      <w:pPr>
        <w:ind w:left="6455" w:hanging="180"/>
      </w:pPr>
    </w:lvl>
    <w:lvl w:ilvl="6" w:tplc="0409000F" w:tentative="1">
      <w:start w:val="1"/>
      <w:numFmt w:val="decimal"/>
      <w:lvlText w:val="%7."/>
      <w:lvlJc w:val="left"/>
      <w:pPr>
        <w:ind w:left="7175" w:hanging="360"/>
      </w:pPr>
    </w:lvl>
    <w:lvl w:ilvl="7" w:tplc="04090019" w:tentative="1">
      <w:start w:val="1"/>
      <w:numFmt w:val="lowerLetter"/>
      <w:lvlText w:val="%8."/>
      <w:lvlJc w:val="left"/>
      <w:pPr>
        <w:ind w:left="7895" w:hanging="360"/>
      </w:pPr>
    </w:lvl>
    <w:lvl w:ilvl="8" w:tplc="0409001B" w:tentative="1">
      <w:start w:val="1"/>
      <w:numFmt w:val="lowerRoman"/>
      <w:lvlText w:val="%9."/>
      <w:lvlJc w:val="right"/>
      <w:pPr>
        <w:ind w:left="8615" w:hanging="180"/>
      </w:pPr>
    </w:lvl>
  </w:abstractNum>
  <w:abstractNum w:abstractNumId="25" w15:restartNumberingAfterBreak="0">
    <w:nsid w:val="7FE833DC"/>
    <w:multiLevelType w:val="hybridMultilevel"/>
    <w:tmpl w:val="9E443296"/>
    <w:lvl w:ilvl="0" w:tplc="04090003">
      <w:start w:val="1"/>
      <w:numFmt w:val="bullet"/>
      <w:lvlText w:val="o"/>
      <w:lvlJc w:val="left"/>
      <w:pPr>
        <w:ind w:left="1080" w:hanging="360"/>
      </w:pPr>
      <w:rPr>
        <w:rFonts w:ascii="Courier New" w:hAnsi="Courier New" w:cs="Courier New" w:hint="default"/>
      </w:rPr>
    </w:lvl>
    <w:lvl w:ilvl="1" w:tplc="041D0003">
      <w:start w:val="1"/>
      <w:numFmt w:val="bullet"/>
      <w:lvlText w:val="o"/>
      <w:lvlJc w:val="left"/>
      <w:pPr>
        <w:ind w:left="1800" w:hanging="360"/>
      </w:pPr>
      <w:rPr>
        <w:rFonts w:ascii="Courier New" w:hAnsi="Courier New" w:cs="Courier New" w:hint="default"/>
      </w:rPr>
    </w:lvl>
    <w:lvl w:ilvl="2" w:tplc="041D0005" w:tentative="1">
      <w:start w:val="1"/>
      <w:numFmt w:val="bullet"/>
      <w:lvlText w:val=""/>
      <w:lvlJc w:val="left"/>
      <w:pPr>
        <w:ind w:left="2520" w:hanging="360"/>
      </w:pPr>
      <w:rPr>
        <w:rFonts w:ascii="Wingdings" w:hAnsi="Wingdings" w:hint="default"/>
      </w:rPr>
    </w:lvl>
    <w:lvl w:ilvl="3" w:tplc="041D0001" w:tentative="1">
      <w:start w:val="1"/>
      <w:numFmt w:val="bullet"/>
      <w:lvlText w:val=""/>
      <w:lvlJc w:val="left"/>
      <w:pPr>
        <w:ind w:left="3240" w:hanging="360"/>
      </w:pPr>
      <w:rPr>
        <w:rFonts w:ascii="Symbol" w:hAnsi="Symbol" w:hint="default"/>
      </w:rPr>
    </w:lvl>
    <w:lvl w:ilvl="4" w:tplc="041D0003" w:tentative="1">
      <w:start w:val="1"/>
      <w:numFmt w:val="bullet"/>
      <w:lvlText w:val="o"/>
      <w:lvlJc w:val="left"/>
      <w:pPr>
        <w:ind w:left="3960" w:hanging="360"/>
      </w:pPr>
      <w:rPr>
        <w:rFonts w:ascii="Courier New" w:hAnsi="Courier New" w:cs="Courier New" w:hint="default"/>
      </w:rPr>
    </w:lvl>
    <w:lvl w:ilvl="5" w:tplc="041D0005" w:tentative="1">
      <w:start w:val="1"/>
      <w:numFmt w:val="bullet"/>
      <w:lvlText w:val=""/>
      <w:lvlJc w:val="left"/>
      <w:pPr>
        <w:ind w:left="4680" w:hanging="360"/>
      </w:pPr>
      <w:rPr>
        <w:rFonts w:ascii="Wingdings" w:hAnsi="Wingdings" w:hint="default"/>
      </w:rPr>
    </w:lvl>
    <w:lvl w:ilvl="6" w:tplc="041D0001" w:tentative="1">
      <w:start w:val="1"/>
      <w:numFmt w:val="bullet"/>
      <w:lvlText w:val=""/>
      <w:lvlJc w:val="left"/>
      <w:pPr>
        <w:ind w:left="5400" w:hanging="360"/>
      </w:pPr>
      <w:rPr>
        <w:rFonts w:ascii="Symbol" w:hAnsi="Symbol" w:hint="default"/>
      </w:rPr>
    </w:lvl>
    <w:lvl w:ilvl="7" w:tplc="041D0003" w:tentative="1">
      <w:start w:val="1"/>
      <w:numFmt w:val="bullet"/>
      <w:lvlText w:val="o"/>
      <w:lvlJc w:val="left"/>
      <w:pPr>
        <w:ind w:left="6120" w:hanging="360"/>
      </w:pPr>
      <w:rPr>
        <w:rFonts w:ascii="Courier New" w:hAnsi="Courier New" w:cs="Courier New" w:hint="default"/>
      </w:rPr>
    </w:lvl>
    <w:lvl w:ilvl="8" w:tplc="041D0005" w:tentative="1">
      <w:start w:val="1"/>
      <w:numFmt w:val="bullet"/>
      <w:lvlText w:val=""/>
      <w:lvlJc w:val="left"/>
      <w:pPr>
        <w:ind w:left="6840" w:hanging="360"/>
      </w:pPr>
      <w:rPr>
        <w:rFonts w:ascii="Wingdings" w:hAnsi="Wingdings" w:hint="default"/>
      </w:rPr>
    </w:lvl>
  </w:abstractNum>
  <w:num w:numId="1">
    <w:abstractNumId w:val="2"/>
    <w:lvlOverride w:ilvl="0">
      <w:lvl w:ilvl="0">
        <w:start w:val="1"/>
        <w:numFmt w:val="decimal"/>
        <w:lvlText w:val="%1."/>
        <w:lvlJc w:val="left"/>
        <w:pPr>
          <w:tabs>
            <w:tab w:val="num" w:pos="567"/>
          </w:tabs>
          <w:ind w:left="1247" w:firstLine="0"/>
        </w:pPr>
      </w:lvl>
    </w:lvlOverride>
    <w:lvlOverride w:ilvl="1">
      <w:lvl w:ilvl="1">
        <w:start w:val="1"/>
        <w:numFmt w:val="lowerLetter"/>
        <w:lvlText w:val="%2)"/>
        <w:lvlJc w:val="left"/>
        <w:pPr>
          <w:tabs>
            <w:tab w:val="num" w:pos="567"/>
          </w:tabs>
          <w:ind w:left="1247" w:firstLine="567"/>
        </w:pPr>
      </w:lvl>
    </w:lvlOverride>
    <w:lvlOverride w:ilvl="2">
      <w:lvl w:ilvl="2">
        <w:start w:val="1"/>
        <w:numFmt w:val="lowerRoman"/>
        <w:lvlText w:val="(%3)"/>
        <w:lvlJc w:val="left"/>
        <w:pPr>
          <w:tabs>
            <w:tab w:val="num" w:pos="567"/>
          </w:tabs>
          <w:ind w:left="2948" w:hanging="567"/>
        </w:pPr>
      </w:lvl>
    </w:lvlOverride>
    <w:lvlOverride w:ilvl="3">
      <w:lvl w:ilvl="3">
        <w:start w:val="1"/>
        <w:numFmt w:val="lowerLetter"/>
        <w:lvlText w:val="%4."/>
        <w:lvlJc w:val="left"/>
        <w:pPr>
          <w:tabs>
            <w:tab w:val="num" w:pos="567"/>
          </w:tabs>
          <w:ind w:left="3515" w:hanging="567"/>
        </w:pPr>
      </w:lvl>
    </w:lvlOverride>
    <w:lvlOverride w:ilvl="4">
      <w:lvl w:ilvl="4">
        <w:start w:val="1"/>
        <w:numFmt w:val="lowerLetter"/>
        <w:lvlText w:val="%5."/>
        <w:lvlJc w:val="left"/>
        <w:pPr>
          <w:tabs>
            <w:tab w:val="num" w:pos="6548"/>
          </w:tabs>
          <w:ind w:left="6548" w:hanging="360"/>
        </w:pPr>
      </w:lvl>
    </w:lvlOverride>
    <w:lvlOverride w:ilvl="5">
      <w:lvl w:ilvl="5">
        <w:start w:val="1"/>
        <w:numFmt w:val="lowerRoman"/>
        <w:lvlText w:val="%6."/>
        <w:lvlJc w:val="right"/>
        <w:pPr>
          <w:tabs>
            <w:tab w:val="num" w:pos="7268"/>
          </w:tabs>
          <w:ind w:left="7268" w:hanging="180"/>
        </w:pPr>
      </w:lvl>
    </w:lvlOverride>
    <w:lvlOverride w:ilvl="6">
      <w:lvl w:ilvl="6">
        <w:start w:val="1"/>
        <w:numFmt w:val="decimal"/>
        <w:lvlText w:val="%7."/>
        <w:lvlJc w:val="left"/>
        <w:pPr>
          <w:tabs>
            <w:tab w:val="num" w:pos="7988"/>
          </w:tabs>
          <w:ind w:left="7988" w:hanging="360"/>
        </w:pPr>
      </w:lvl>
    </w:lvlOverride>
    <w:lvlOverride w:ilvl="7">
      <w:lvl w:ilvl="7">
        <w:start w:val="1"/>
        <w:numFmt w:val="lowerLetter"/>
        <w:lvlText w:val="%8."/>
        <w:lvlJc w:val="left"/>
        <w:pPr>
          <w:tabs>
            <w:tab w:val="num" w:pos="8708"/>
          </w:tabs>
          <w:ind w:left="8708" w:hanging="360"/>
        </w:pPr>
      </w:lvl>
    </w:lvlOverride>
    <w:lvlOverride w:ilvl="8">
      <w:lvl w:ilvl="8">
        <w:start w:val="1"/>
        <w:numFmt w:val="lowerRoman"/>
        <w:lvlText w:val="%9."/>
        <w:lvlJc w:val="right"/>
        <w:pPr>
          <w:tabs>
            <w:tab w:val="num" w:pos="9428"/>
          </w:tabs>
          <w:ind w:left="9428" w:hanging="180"/>
        </w:pPr>
      </w:lvl>
    </w:lvlOverride>
  </w:num>
  <w:num w:numId="2">
    <w:abstractNumId w:val="2"/>
    <w:lvlOverride w:ilvl="0">
      <w:startOverride w:val="1"/>
      <w:lvl w:ilvl="0">
        <w:start w:val="1"/>
        <w:numFmt w:val="decimal"/>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3">
    <w:abstractNumId w:val="18"/>
    <w:lvlOverride w:ilvl="0">
      <w:lvl w:ilvl="0" w:tplc="27544982">
        <w:start w:val="3"/>
        <w:numFmt w:val="bullet"/>
        <w:lvlText w:val="-"/>
        <w:lvlJc w:val="left"/>
        <w:pPr>
          <w:ind w:left="1080" w:hanging="360"/>
        </w:pPr>
        <w:rPr>
          <w:rFonts w:ascii="Times New Roman" w:eastAsia="Calibri" w:hAnsi="Times New Roman" w:cs="Times New Roman" w:hint="default"/>
        </w:rPr>
      </w:lvl>
    </w:lvlOverride>
  </w:num>
  <w:num w:numId="4">
    <w:abstractNumId w:val="14"/>
    <w:lvlOverride w:ilvl="3">
      <w:lvl w:ilvl="3" w:tplc="04090001">
        <w:start w:val="1"/>
        <w:numFmt w:val="bullet"/>
        <w:lvlText w:val=""/>
        <w:lvlJc w:val="left"/>
        <w:pPr>
          <w:ind w:left="2880" w:hanging="360"/>
        </w:pPr>
        <w:rPr>
          <w:rFonts w:ascii="Symbol" w:hAnsi="Symbol" w:hint="default"/>
        </w:rPr>
      </w:lvl>
    </w:lvlOverride>
    <w:lvlOverride w:ilvl="4">
      <w:lvl w:ilvl="4" w:tplc="04090003">
        <w:start w:val="1"/>
        <w:numFmt w:val="bullet"/>
        <w:lvlText w:val="o"/>
        <w:lvlJc w:val="left"/>
        <w:pPr>
          <w:ind w:left="3600" w:hanging="360"/>
        </w:pPr>
        <w:rPr>
          <w:rFonts w:ascii="Courier New" w:hAnsi="Courier New" w:cs="Courier New" w:hint="default"/>
        </w:rPr>
      </w:lvl>
    </w:lvlOverride>
  </w:num>
  <w:num w:numId="5">
    <w:abstractNumId w:val="25"/>
    <w:lvlOverride w:ilvl="0">
      <w:lvl w:ilvl="0" w:tplc="04090003">
        <w:start w:val="1"/>
        <w:numFmt w:val="bullet"/>
        <w:lvlText w:val="o"/>
        <w:lvlJc w:val="left"/>
        <w:pPr>
          <w:ind w:left="1080" w:hanging="360"/>
        </w:pPr>
        <w:rPr>
          <w:rFonts w:ascii="Courier New" w:hAnsi="Courier New" w:cs="Courier New" w:hint="default"/>
        </w:rPr>
      </w:lvl>
    </w:lvlOverride>
  </w:num>
  <w:num w:numId="6">
    <w:abstractNumId w:val="10"/>
    <w:lvlOverride w:ilvl="0">
      <w:lvl w:ilvl="0" w:tplc="04090003">
        <w:start w:val="1"/>
        <w:numFmt w:val="bullet"/>
        <w:lvlText w:val="o"/>
        <w:lvlJc w:val="left"/>
        <w:pPr>
          <w:ind w:left="1598" w:hanging="360"/>
        </w:pPr>
        <w:rPr>
          <w:rFonts w:ascii="Courier New" w:hAnsi="Courier New" w:cs="Courier New" w:hint="default"/>
        </w:rPr>
      </w:lvl>
    </w:lvlOverride>
  </w:num>
  <w:num w:numId="7">
    <w:abstractNumId w:val="13"/>
  </w:num>
  <w:num w:numId="8">
    <w:abstractNumId w:val="8"/>
  </w:num>
  <w:num w:numId="9">
    <w:abstractNumId w:val="1"/>
  </w:num>
  <w:num w:numId="10">
    <w:abstractNumId w:val="5"/>
    <w:lvlOverride w:ilvl="3">
      <w:lvl w:ilvl="3" w:tplc="BA56F5A2">
        <w:start w:val="1"/>
        <w:numFmt w:val="decimal"/>
        <w:lvlText w:val="%4."/>
        <w:lvlJc w:val="left"/>
        <w:pPr>
          <w:ind w:left="2880" w:hanging="360"/>
        </w:pPr>
        <w:rPr>
          <w:i w:val="0"/>
          <w:iCs w:val="0"/>
        </w:rPr>
      </w:lvl>
    </w:lvlOverride>
  </w:num>
  <w:num w:numId="11">
    <w:abstractNumId w:val="24"/>
    <w:lvlOverride w:ilvl="0">
      <w:lvl w:ilvl="0" w:tplc="9F0E5222">
        <w:start w:val="22"/>
        <w:numFmt w:val="decimal"/>
        <w:lvlText w:val="%1."/>
        <w:lvlJc w:val="left"/>
        <w:pPr>
          <w:ind w:left="2855" w:hanging="360"/>
        </w:pPr>
        <w:rPr>
          <w:rFonts w:hint="default"/>
          <w:i w:val="0"/>
        </w:rPr>
      </w:lvl>
    </w:lvlOverride>
  </w:num>
  <w:num w:numId="12">
    <w:abstractNumId w:val="3"/>
    <w:lvlOverride w:ilvl="0">
      <w:lvl w:ilvl="0" w:tplc="85324EC6">
        <w:start w:val="8"/>
        <w:numFmt w:val="decimal"/>
        <w:lvlText w:val="%1."/>
        <w:lvlJc w:val="left"/>
        <w:pPr>
          <w:ind w:left="2855" w:hanging="360"/>
        </w:pPr>
        <w:rPr>
          <w:rFonts w:hint="default"/>
          <w:i w:val="0"/>
        </w:rPr>
      </w:lvl>
    </w:lvlOverride>
  </w:num>
  <w:num w:numId="13">
    <w:abstractNumId w:val="21"/>
    <w:lvlOverride w:ilvl="0">
      <w:lvl w:ilvl="0" w:tplc="AE846BE4">
        <w:start w:val="1"/>
        <w:numFmt w:val="lowerLetter"/>
        <w:lvlText w:val="%1)"/>
        <w:lvlJc w:val="left"/>
        <w:pPr>
          <w:ind w:left="2520" w:hanging="360"/>
        </w:pPr>
        <w:rPr>
          <w:rFonts w:eastAsiaTheme="minorHAnsi" w:hint="default"/>
        </w:rPr>
      </w:lvl>
    </w:lvlOverride>
  </w:num>
  <w:num w:numId="14">
    <w:abstractNumId w:val="11"/>
    <w:lvlOverride w:ilvl="1">
      <w:lvl w:ilvl="1" w:tplc="04090019">
        <w:start w:val="1"/>
        <w:numFmt w:val="lowerLetter"/>
        <w:lvlText w:val="%2."/>
        <w:lvlJc w:val="left"/>
        <w:pPr>
          <w:ind w:left="4175" w:hanging="360"/>
        </w:pPr>
        <w:rPr>
          <w:rFonts w:hint="default"/>
        </w:rPr>
      </w:lvl>
    </w:lvlOverride>
  </w:num>
  <w:num w:numId="15">
    <w:abstractNumId w:val="9"/>
    <w:lvlOverride w:ilvl="0">
      <w:lvl w:ilvl="0" w:tplc="0409000F">
        <w:start w:val="1"/>
        <w:numFmt w:val="decimal"/>
        <w:lvlText w:val="%1."/>
        <w:lvlJc w:val="left"/>
        <w:pPr>
          <w:ind w:left="1344" w:hanging="360"/>
        </w:pPr>
      </w:lvl>
    </w:lvlOverride>
  </w:num>
  <w:num w:numId="16">
    <w:abstractNumId w:val="12"/>
    <w:lvlOverride w:ilvl="1">
      <w:lvl w:ilvl="1" w:tplc="78083696">
        <w:start w:val="1"/>
        <w:numFmt w:val="lowerLetter"/>
        <w:lvlText w:val="%2)"/>
        <w:lvlJc w:val="left"/>
        <w:pPr>
          <w:ind w:left="1440" w:hanging="360"/>
        </w:pPr>
        <w:rPr>
          <w:rFonts w:hint="default"/>
        </w:rPr>
      </w:lvl>
    </w:lvlOverride>
  </w:num>
  <w:num w:numId="17">
    <w:abstractNumId w:val="2"/>
    <w:lvlOverride w:ilvl="0">
      <w:startOverride w:val="1"/>
      <w:lvl w:ilvl="0">
        <w:start w:val="1"/>
        <w:numFmt w:val="decimal"/>
        <w:lvlText w:val="%1."/>
        <w:lvlJc w:val="left"/>
        <w:pPr>
          <w:tabs>
            <w:tab w:val="num" w:pos="1191"/>
          </w:tabs>
          <w:ind w:left="1871"/>
        </w:pPr>
        <w:rPr>
          <w:rFonts w:cs="Times New Roman" w:hint="default"/>
          <w:b w:val="0"/>
          <w:bCs/>
          <w:i w:val="0"/>
          <w:iCs/>
          <w:lang w:val="en-US"/>
        </w:rPr>
      </w:lvl>
    </w:lvlOverride>
    <w:lvlOverride w:ilvl="1">
      <w:startOverride w:val="1"/>
      <w:lvl w:ilvl="1">
        <w:start w:val="1"/>
        <w:numFmt w:val="lowerLetter"/>
        <w:lvlText w:val="%2)"/>
        <w:lvlJc w:val="left"/>
        <w:pPr>
          <w:tabs>
            <w:tab w:val="num" w:pos="1191"/>
          </w:tabs>
          <w:ind w:left="1871" w:firstLine="567"/>
        </w:pPr>
        <w:rPr>
          <w:rFonts w:ascii="Times New Roman" w:eastAsia="Times New Roman" w:hAnsi="Times New Roman" w:cs="Times New Roman"/>
        </w:rPr>
      </w:lvl>
    </w:lvlOverride>
    <w:lvlOverride w:ilvl="2">
      <w:startOverride w:val="1"/>
      <w:lvl w:ilvl="2">
        <w:start w:val="1"/>
        <w:numFmt w:val="lowerRoman"/>
        <w:lvlText w:val="(%3)"/>
        <w:lvlJc w:val="left"/>
        <w:pPr>
          <w:tabs>
            <w:tab w:val="num" w:pos="1191"/>
          </w:tabs>
          <w:ind w:left="3572" w:hanging="567"/>
        </w:pPr>
        <w:rPr>
          <w:rFonts w:cs="Times New Roman" w:hint="default"/>
        </w:rPr>
      </w:lvl>
    </w:lvlOverride>
    <w:lvlOverride w:ilvl="3">
      <w:startOverride w:val="1"/>
      <w:lvl w:ilvl="3">
        <w:start w:val="1"/>
        <w:numFmt w:val="lowerLetter"/>
        <w:lvlText w:val="%4."/>
        <w:lvlJc w:val="left"/>
        <w:pPr>
          <w:tabs>
            <w:tab w:val="num" w:pos="1191"/>
          </w:tabs>
          <w:ind w:left="4139" w:hanging="567"/>
        </w:pPr>
        <w:rPr>
          <w:rFonts w:cs="Times New Roman" w:hint="default"/>
        </w:rPr>
      </w:lvl>
    </w:lvlOverride>
    <w:lvlOverride w:ilvl="4">
      <w:startOverride w:val="1"/>
      <w:lvl w:ilvl="4">
        <w:start w:val="1"/>
        <w:numFmt w:val="lowerLetter"/>
        <w:lvlText w:val="%5."/>
        <w:lvlJc w:val="left"/>
        <w:pPr>
          <w:tabs>
            <w:tab w:val="num" w:pos="7172"/>
          </w:tabs>
          <w:ind w:left="7172" w:hanging="360"/>
        </w:pPr>
        <w:rPr>
          <w:rFonts w:cs="Times New Roman" w:hint="default"/>
        </w:rPr>
      </w:lvl>
    </w:lvlOverride>
    <w:lvlOverride w:ilvl="5">
      <w:startOverride w:val="1"/>
      <w:lvl w:ilvl="5">
        <w:start w:val="1"/>
        <w:numFmt w:val="lowerRoman"/>
        <w:lvlText w:val="%6."/>
        <w:lvlJc w:val="right"/>
        <w:pPr>
          <w:tabs>
            <w:tab w:val="num" w:pos="7892"/>
          </w:tabs>
          <w:ind w:left="7892" w:hanging="180"/>
        </w:pPr>
        <w:rPr>
          <w:rFonts w:cs="Times New Roman" w:hint="default"/>
        </w:rPr>
      </w:lvl>
    </w:lvlOverride>
    <w:lvlOverride w:ilvl="6">
      <w:startOverride w:val="1"/>
      <w:lvl w:ilvl="6">
        <w:start w:val="1"/>
        <w:numFmt w:val="decimal"/>
        <w:lvlText w:val="%7."/>
        <w:lvlJc w:val="left"/>
        <w:pPr>
          <w:tabs>
            <w:tab w:val="num" w:pos="8612"/>
          </w:tabs>
          <w:ind w:left="8612" w:hanging="360"/>
        </w:pPr>
        <w:rPr>
          <w:rFonts w:cs="Times New Roman" w:hint="default"/>
        </w:rPr>
      </w:lvl>
    </w:lvlOverride>
    <w:lvlOverride w:ilvl="7">
      <w:startOverride w:val="1"/>
      <w:lvl w:ilvl="7">
        <w:start w:val="1"/>
        <w:numFmt w:val="lowerLetter"/>
        <w:lvlText w:val="%8."/>
        <w:lvlJc w:val="left"/>
        <w:pPr>
          <w:tabs>
            <w:tab w:val="num" w:pos="9332"/>
          </w:tabs>
          <w:ind w:left="9332" w:hanging="360"/>
        </w:pPr>
        <w:rPr>
          <w:rFonts w:cs="Times New Roman" w:hint="default"/>
        </w:rPr>
      </w:lvl>
    </w:lvlOverride>
    <w:lvlOverride w:ilvl="8">
      <w:startOverride w:val="1"/>
      <w:lvl w:ilvl="8">
        <w:start w:val="1"/>
        <w:numFmt w:val="lowerRoman"/>
        <w:lvlText w:val="%9."/>
        <w:lvlJc w:val="right"/>
        <w:pPr>
          <w:tabs>
            <w:tab w:val="num" w:pos="10052"/>
          </w:tabs>
          <w:ind w:left="10052" w:hanging="180"/>
        </w:pPr>
        <w:rPr>
          <w:rFonts w:cs="Times New Roman" w:hint="default"/>
        </w:rPr>
      </w:lvl>
    </w:lvlOverride>
  </w:num>
  <w:num w:numId="18">
    <w:abstractNumId w:val="19"/>
    <w:lvlOverride w:ilvl="0">
      <w:lvl w:ilvl="0">
        <w:start w:val="1"/>
        <w:numFmt w:val="decimal"/>
        <w:lvlText w:val="%1."/>
        <w:lvlJc w:val="left"/>
        <w:pPr>
          <w:tabs>
            <w:tab w:val="num" w:pos="9716"/>
          </w:tabs>
          <w:ind w:left="9716" w:hanging="360"/>
        </w:pPr>
        <w:rPr>
          <w:rFonts w:ascii="Times New Roman" w:eastAsia="Times New Roman" w:hAnsi="Times New Roman" w:cs="Times New Roman"/>
        </w:rPr>
      </w:lvl>
    </w:lvlOverride>
  </w:num>
  <w:num w:numId="19">
    <w:abstractNumId w:val="20"/>
    <w:lvlOverride w:ilvl="0">
      <w:lvl w:ilvl="0" w:tplc="0A1E7442">
        <w:start w:val="1"/>
        <w:numFmt w:val="lowerLetter"/>
        <w:lvlText w:val="%1)"/>
        <w:lvlJc w:val="left"/>
        <w:pPr>
          <w:ind w:left="720" w:hanging="360"/>
        </w:pPr>
        <w:rPr>
          <w:rFonts w:hint="default"/>
        </w:rPr>
      </w:lvl>
    </w:lvlOverride>
  </w:num>
  <w:num w:numId="20">
    <w:abstractNumId w:val="22"/>
    <w:lvlOverride w:ilvl="0">
      <w:lvl w:ilvl="0" w:tplc="73BECF00">
        <w:start w:val="1"/>
        <w:numFmt w:val="lowerLetter"/>
        <w:lvlText w:val="%1)"/>
        <w:lvlJc w:val="left"/>
        <w:pPr>
          <w:ind w:left="630" w:hanging="630"/>
        </w:pPr>
        <w:rPr>
          <w:rFonts w:hint="default"/>
        </w:rPr>
      </w:lvl>
    </w:lvlOverride>
  </w:num>
  <w:num w:numId="21">
    <w:abstractNumId w:val="15"/>
    <w:lvlOverride w:ilvl="0">
      <w:lvl w:ilvl="0" w:tplc="6C22DE42">
        <w:start w:val="1"/>
        <w:numFmt w:val="lowerLetter"/>
        <w:lvlText w:val="%1)"/>
        <w:lvlJc w:val="left"/>
        <w:pPr>
          <w:ind w:left="644" w:hanging="360"/>
        </w:pPr>
        <w:rPr>
          <w:rFonts w:hint="default"/>
        </w:rPr>
      </w:lvl>
    </w:lvlOverride>
  </w:num>
  <w:num w:numId="22">
    <w:abstractNumId w:val="23"/>
  </w:num>
  <w:num w:numId="23">
    <w:abstractNumId w:val="17"/>
    <w:lvlOverride w:ilvl="0">
      <w:lvl w:ilvl="0" w:tplc="6A8A974C">
        <w:start w:val="1"/>
        <w:numFmt w:val="decimal"/>
        <w:lvlText w:val="%1."/>
        <w:lvlJc w:val="left"/>
        <w:pPr>
          <w:ind w:left="2487" w:hanging="360"/>
        </w:pPr>
        <w:rPr>
          <w:rFonts w:hint="eastAsia"/>
          <w:b w:val="0"/>
          <w:i w:val="0"/>
          <w:sz w:val="20"/>
          <w:szCs w:val="20"/>
        </w:rPr>
      </w:lvl>
    </w:lvlOverride>
  </w:num>
  <w:num w:numId="24">
    <w:abstractNumId w:val="16"/>
    <w:lvlOverride w:ilvl="0">
      <w:lvl w:ilvl="0" w:tplc="EAFE9C00">
        <w:start w:val="1"/>
        <w:numFmt w:val="lowerLetter"/>
        <w:lvlText w:val="%1)"/>
        <w:lvlJc w:val="left"/>
        <w:pPr>
          <w:ind w:left="720" w:hanging="360"/>
        </w:pPr>
        <w:rPr>
          <w:rFonts w:hint="default"/>
        </w:rPr>
      </w:lvl>
    </w:lvlOverride>
  </w:num>
  <w:num w:numId="25">
    <w:abstractNumId w:val="4"/>
    <w:lvlOverride w:ilvl="0">
      <w:lvl w:ilvl="0" w:tplc="B6764E98">
        <w:start w:val="1"/>
        <w:numFmt w:val="lowerLetter"/>
        <w:lvlText w:val="%1)"/>
        <w:lvlJc w:val="left"/>
        <w:pPr>
          <w:ind w:left="3215" w:hanging="360"/>
        </w:pPr>
        <w:rPr>
          <w:rFonts w:ascii="Times New Roman" w:hAnsi="Times New Roman" w:cs="Times New Roman" w:hint="default"/>
        </w:rPr>
      </w:lvl>
    </w:lvlOverride>
  </w:num>
  <w:num w:numId="26">
    <w:abstractNumId w:val="7"/>
    <w:lvlOverride w:ilvl="0">
      <w:lvl w:ilvl="0" w:tplc="487C1F10">
        <w:start w:val="1"/>
        <w:numFmt w:val="lowerRoman"/>
        <w:lvlText w:val="%1)"/>
        <w:lvlJc w:val="left"/>
        <w:pPr>
          <w:ind w:left="3331" w:hanging="360"/>
        </w:pPr>
        <w:rPr>
          <w:rFonts w:cs="Times New Roman" w:hint="default"/>
        </w:rPr>
      </w:lvl>
    </w:lvlOverride>
  </w:num>
  <w:num w:numId="27">
    <w:abstractNumId w:val="6"/>
    <w:lvlOverride w:ilvl="1">
      <w:lvl w:ilvl="1" w:tplc="6586368C">
        <w:start w:val="1"/>
        <w:numFmt w:val="lowerLetter"/>
        <w:lvlText w:val="%2)"/>
        <w:lvlJc w:val="left"/>
        <w:pPr>
          <w:ind w:left="3935" w:hanging="360"/>
        </w:pPr>
        <w:rPr>
          <w:rFonts w:ascii="Times New Roman" w:hAnsi="Times New Roman" w:cs="Arial" w:hint="default"/>
          <w:b w:val="0"/>
          <w:i w:val="0"/>
          <w:caps w:val="0"/>
          <w:strike w:val="0"/>
          <w:dstrike w:val="0"/>
          <w:vanish w:val="0"/>
          <w:color w:val="000000"/>
          <w:sz w:val="20"/>
          <w:vertAlign w:val="baseline"/>
        </w:rPr>
      </w:lvl>
    </w:lvlOverride>
  </w:num>
  <w:num w:numId="28">
    <w:abstractNumId w:val="0"/>
    <w:lvlOverride w:ilvl="1">
      <w:lvl w:ilvl="1" w:tplc="6586368C">
        <w:start w:val="1"/>
        <w:numFmt w:val="lowerLetter"/>
        <w:lvlText w:val="%2)"/>
        <w:lvlJc w:val="left"/>
        <w:pPr>
          <w:tabs>
            <w:tab w:val="num" w:pos="2654"/>
          </w:tabs>
          <w:ind w:left="2654" w:hanging="360"/>
        </w:pPr>
        <w:rPr>
          <w:rFonts w:ascii="Times New Roman" w:hAnsi="Times New Roman" w:cs="Arial" w:hint="default"/>
          <w:b w:val="0"/>
          <w:i w:val="0"/>
          <w:caps w:val="0"/>
          <w:strike w:val="0"/>
          <w:dstrike w:val="0"/>
          <w:vanish w:val="0"/>
          <w:color w:val="000000"/>
          <w:sz w:val="20"/>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3BE"/>
    <w:rsid w:val="001422BF"/>
    <w:rsid w:val="00195952"/>
    <w:rsid w:val="00290DCB"/>
    <w:rsid w:val="002B6461"/>
    <w:rsid w:val="00523C69"/>
    <w:rsid w:val="006A43BE"/>
    <w:rsid w:val="00790B48"/>
    <w:rsid w:val="00882FE5"/>
    <w:rsid w:val="00EF42B0"/>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7D8FA"/>
  <w15:chartTrackingRefBased/>
  <w15:docId w15:val="{2D9F501C-2167-403D-B78D-B592E143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43BE"/>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6A43BE"/>
    <w:pPr>
      <w:keepNext/>
      <w:keepLines/>
      <w:tabs>
        <w:tab w:val="right" w:pos="851"/>
        <w:tab w:val="left" w:pos="4082"/>
      </w:tabs>
      <w:suppressAutoHyphens/>
      <w:spacing w:before="240" w:after="120"/>
      <w:ind w:left="1247" w:right="284" w:hanging="1247"/>
    </w:pPr>
    <w:rPr>
      <w:b/>
      <w:sz w:val="28"/>
      <w:szCs w:val="28"/>
      <w:lang w:val="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Text"/>
    <w:basedOn w:val="DefaultParagraphFont"/>
    <w:link w:val="BVIfnrCharCharCharChar"/>
    <w:uiPriority w:val="99"/>
    <w:qFormat/>
    <w:rsid w:val="006A43BE"/>
    <w:rPr>
      <w:rFonts w:ascii="Times New Roman" w:hAnsi="Times New Roman"/>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basedOn w:val="Normal"/>
    <w:link w:val="FootnoteTextChar"/>
    <w:uiPriority w:val="99"/>
    <w:qFormat/>
    <w:rsid w:val="006A43BE"/>
    <w:pPr>
      <w:tabs>
        <w:tab w:val="left" w:pos="4082"/>
      </w:tabs>
      <w:spacing w:before="20" w:after="40"/>
      <w:ind w:left="1247"/>
    </w:pPr>
    <w:rPr>
      <w:sz w:val="18"/>
      <w:lang w:val="fr-FR"/>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uiPriority w:val="99"/>
    <w:rsid w:val="006A43BE"/>
    <w:rPr>
      <w:rFonts w:ascii="Times New Roman" w:eastAsia="Times New Roman" w:hAnsi="Times New Roman" w:cs="Times New Roman"/>
      <w:sz w:val="18"/>
      <w:szCs w:val="20"/>
      <w:lang w:val="fr-FR"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uiPriority w:val="99"/>
    <w:rsid w:val="006A43BE"/>
    <w:pPr>
      <w:tabs>
        <w:tab w:val="clear" w:pos="1247"/>
        <w:tab w:val="clear" w:pos="1814"/>
        <w:tab w:val="clear" w:pos="2381"/>
        <w:tab w:val="clear" w:pos="2948"/>
        <w:tab w:val="clear" w:pos="3515"/>
      </w:tabs>
      <w:spacing w:before="120" w:after="160" w:line="240" w:lineRule="exact"/>
    </w:pPr>
    <w:rPr>
      <w:rFonts w:eastAsiaTheme="minorEastAsia" w:cstheme="minorBidi"/>
      <w:szCs w:val="18"/>
      <w:vertAlign w:val="superscript"/>
      <w:lang w:val="en-US" w:eastAsia="zh-CN"/>
    </w:rPr>
  </w:style>
  <w:style w:type="paragraph" w:customStyle="1" w:styleId="Normal-pool">
    <w:name w:val="Normal-pool"/>
    <w:link w:val="Normal-poolChar"/>
    <w:qFormat/>
    <w:rsid w:val="00523C69"/>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523C69"/>
    <w:rPr>
      <w:lang w:eastAsia="en-US"/>
    </w:rPr>
  </w:style>
  <w:style w:type="character" w:customStyle="1" w:styleId="Normal-poolChar">
    <w:name w:val="Normal-pool Char"/>
    <w:link w:val="Normal-pool"/>
    <w:rsid w:val="00523C69"/>
    <w:rPr>
      <w:rFonts w:ascii="Times New Roman" w:eastAsia="Times New Roman" w:hAnsi="Times New Roman" w:cs="Times New Roman"/>
      <w:sz w:val="20"/>
      <w:szCs w:val="20"/>
      <w:lang w:val="en-GB" w:eastAsia="en-US"/>
    </w:rPr>
  </w:style>
  <w:style w:type="paragraph" w:styleId="Header">
    <w:name w:val="header"/>
    <w:basedOn w:val="Normal"/>
    <w:link w:val="HeaderChar"/>
    <w:rsid w:val="00523C69"/>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rsid w:val="00523C69"/>
    <w:rPr>
      <w:rFonts w:ascii="Times New Roman" w:eastAsia="Times New Roman" w:hAnsi="Times New Roman" w:cs="Times New Roman"/>
      <w:b/>
      <w:sz w:val="18"/>
      <w:szCs w:val="20"/>
      <w:lang w:val="es-ES_tradnl" w:eastAsia="en-US"/>
    </w:rPr>
  </w:style>
  <w:style w:type="paragraph" w:customStyle="1" w:styleId="Normalnumber">
    <w:name w:val="Normal_number"/>
    <w:basedOn w:val="Normal"/>
    <w:link w:val="NormalnumberChar"/>
    <w:qFormat/>
    <w:rsid w:val="00523C69"/>
    <w:p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paragraph" w:styleId="ListParagraph">
    <w:name w:val="List Paragraph"/>
    <w:basedOn w:val="Normal"/>
    <w:uiPriority w:val="34"/>
    <w:qFormat/>
    <w:rsid w:val="00523C69"/>
    <w:pPr>
      <w:tabs>
        <w:tab w:val="clear" w:pos="1247"/>
        <w:tab w:val="clear" w:pos="1814"/>
        <w:tab w:val="clear" w:pos="2381"/>
        <w:tab w:val="clear" w:pos="2948"/>
        <w:tab w:val="clear" w:pos="3515"/>
      </w:tabs>
      <w:ind w:left="720"/>
      <w:contextualSpacing/>
    </w:pPr>
    <w:rPr>
      <w:sz w:val="24"/>
      <w:szCs w:val="24"/>
      <w:lang w:val="en-US" w:eastAsia="zh-CN"/>
    </w:rPr>
  </w:style>
  <w:style w:type="table" w:customStyle="1" w:styleId="TableGrid2">
    <w:name w:val="Table Grid2"/>
    <w:basedOn w:val="TableNormal"/>
    <w:next w:val="TableGrid"/>
    <w:uiPriority w:val="59"/>
    <w:rsid w:val="00523C6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23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3">
    <w:name w:val="CH3"/>
    <w:basedOn w:val="Normal"/>
    <w:next w:val="Normalnumber"/>
    <w:link w:val="CH3Char"/>
    <w:rsid w:val="00195952"/>
    <w:pPr>
      <w:keepNext/>
      <w:keepLines/>
      <w:tabs>
        <w:tab w:val="right" w:pos="851"/>
        <w:tab w:val="left" w:pos="4082"/>
      </w:tabs>
      <w:suppressAutoHyphens/>
      <w:spacing w:after="120"/>
      <w:ind w:left="1247" w:right="284" w:hanging="1247"/>
    </w:pPr>
    <w:rPr>
      <w:b/>
      <w:lang w:val="en-GB"/>
    </w:rPr>
  </w:style>
  <w:style w:type="paragraph" w:customStyle="1" w:styleId="NormalNonumber">
    <w:name w:val="Normal_No_number"/>
    <w:basedOn w:val="Normal"/>
    <w:link w:val="NormalNonumberChar"/>
    <w:qFormat/>
    <w:rsid w:val="00195952"/>
    <w:pPr>
      <w:tabs>
        <w:tab w:val="left" w:pos="4082"/>
      </w:tabs>
      <w:spacing w:after="120"/>
      <w:ind w:left="1247"/>
    </w:pPr>
    <w:rPr>
      <w:lang w:val="en-GB"/>
    </w:rPr>
  </w:style>
  <w:style w:type="character" w:customStyle="1" w:styleId="NormalNonumberChar">
    <w:name w:val="Normal_No_number Char"/>
    <w:link w:val="NormalNonumber"/>
    <w:locked/>
    <w:rsid w:val="00195952"/>
    <w:rPr>
      <w:rFonts w:ascii="Times New Roman" w:eastAsia="Times New Roman" w:hAnsi="Times New Roman" w:cs="Times New Roman"/>
      <w:sz w:val="20"/>
      <w:szCs w:val="20"/>
      <w:lang w:val="en-GB" w:eastAsia="en-US"/>
    </w:rPr>
  </w:style>
  <w:style w:type="character" w:customStyle="1" w:styleId="CH3Char">
    <w:name w:val="CH3 Char"/>
    <w:link w:val="CH3"/>
    <w:rsid w:val="00195952"/>
    <w:rPr>
      <w:rFonts w:ascii="Times New Roman" w:eastAsia="Times New Roman" w:hAnsi="Times New Roman" w:cs="Times New Roman"/>
      <w:b/>
      <w:sz w:val="20"/>
      <w:szCs w:val="20"/>
      <w:lang w:val="en-GB" w:eastAsia="en-US"/>
    </w:rPr>
  </w:style>
  <w:style w:type="paragraph" w:customStyle="1" w:styleId="Normalpool">
    <w:name w:val="Normal_pool"/>
    <w:link w:val="NormalpoolChar"/>
    <w:rsid w:val="001422BF"/>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FR" w:eastAsia="en-US"/>
    </w:rPr>
  </w:style>
  <w:style w:type="character" w:customStyle="1" w:styleId="NormalpoolChar">
    <w:name w:val="Normal_pool Char"/>
    <w:link w:val="Normalpool"/>
    <w:rsid w:val="001422BF"/>
    <w:rPr>
      <w:rFonts w:ascii="Times New Roman" w:eastAsia="Times New Roman" w:hAnsi="Times New Roman" w:cs="Times New Roman"/>
      <w:sz w:val="20"/>
      <w:szCs w:val="20"/>
      <w:lang w:val="fr-FR" w:eastAsia="en-US"/>
    </w:rPr>
  </w:style>
  <w:style w:type="character" w:styleId="PageNumber">
    <w:name w:val="page number"/>
    <w:basedOn w:val="DefaultParagraphFont"/>
    <w:semiHidden/>
    <w:rsid w:val="00EF42B0"/>
    <w:rPr>
      <w:rFonts w:ascii="Times New Roman" w:hAnsi="Times New Roman"/>
      <w:b/>
      <w:sz w:val="18"/>
    </w:rPr>
  </w:style>
  <w:style w:type="paragraph" w:styleId="Footer">
    <w:name w:val="footer"/>
    <w:basedOn w:val="Normal"/>
    <w:link w:val="FooterChar"/>
    <w:uiPriority w:val="99"/>
    <w:rsid w:val="00EF42B0"/>
    <w:pPr>
      <w:tabs>
        <w:tab w:val="center" w:pos="4320"/>
        <w:tab w:val="right" w:pos="8640"/>
      </w:tabs>
      <w:spacing w:before="60" w:after="120"/>
    </w:pPr>
    <w:rPr>
      <w:sz w:val="18"/>
    </w:rPr>
  </w:style>
  <w:style w:type="character" w:customStyle="1" w:styleId="FooterChar">
    <w:name w:val="Footer Char"/>
    <w:basedOn w:val="DefaultParagraphFont"/>
    <w:link w:val="Footer"/>
    <w:uiPriority w:val="99"/>
    <w:rsid w:val="00EF42B0"/>
    <w:rPr>
      <w:rFonts w:ascii="Times New Roman" w:eastAsia="Times New Roman" w:hAnsi="Times New Roman" w:cs="Times New Roman"/>
      <w:sz w:val="18"/>
      <w:szCs w:val="20"/>
      <w:lang w:val="es-ES_tradnl" w:eastAsia="en-US"/>
    </w:rPr>
  </w:style>
  <w:style w:type="paragraph" w:styleId="NormalWeb">
    <w:name w:val="Normal (Web)"/>
    <w:basedOn w:val="Normal"/>
    <w:uiPriority w:val="99"/>
    <w:rsid w:val="00EF42B0"/>
    <w:pPr>
      <w:spacing w:before="100" w:beforeAutospacing="1" w:after="100" w:afterAutospacing="1"/>
    </w:pPr>
    <w:rPr>
      <w:rFonts w:eastAsia="SimSun"/>
      <w:sz w:val="24"/>
      <w:szCs w:val="24"/>
      <w:lang w:val="en-US" w:eastAsia="zh-CN"/>
    </w:rPr>
  </w:style>
  <w:style w:type="character" w:customStyle="1" w:styleId="footnote">
    <w:name w:val="footnote"/>
    <w:aliases w:val="reference,16,Point,Superscript,61,68,reference1"/>
    <w:semiHidden/>
    <w:rsid w:val="00EF42B0"/>
    <w:rPr>
      <w:rFonts w:ascii="Times New Roman" w:hAnsi="Times New Roman" w:cs="Times New Roman"/>
      <w:color w:val="auto"/>
      <w:sz w:val="18"/>
      <w:szCs w:val="18"/>
      <w:vertAlign w:val="superscript"/>
    </w:rPr>
  </w:style>
  <w:style w:type="character" w:styleId="Hyperlink">
    <w:name w:val="Hyperlink"/>
    <w:basedOn w:val="DefaultParagraphFont"/>
    <w:uiPriority w:val="99"/>
    <w:rsid w:val="00290DCB"/>
    <w:rPr>
      <w:rFonts w:ascii="Times New Roman" w:hAnsi="Times New Roman"/>
      <w:color w:val="auto"/>
      <w:sz w:val="20"/>
      <w:szCs w:val="20"/>
      <w:u w:val="no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el.int/Partners/RegionalCentres/ActivityReports/tabid/2992/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1643</Words>
  <Characters>9370</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2020-02-01T17:00:00Z</dcterms:created>
  <dcterms:modified xsi:type="dcterms:W3CDTF">2020-02-01T17:00:00Z</dcterms:modified>
</cp:coreProperties>
</file>