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BD057C" w14:textId="77777777" w:rsidR="007C7675" w:rsidRDefault="007C7675" w:rsidP="007C7675">
      <w:pPr>
        <w:spacing w:after="120" w:line="400" w:lineRule="exact"/>
        <w:ind w:left="1128"/>
        <w:jc w:val="both"/>
        <w:rPr>
          <w:rFonts w:ascii="Traditional Arabic" w:hAnsi="Traditional Arabic" w:cs="Traditional Arabic"/>
          <w:b/>
          <w:bCs/>
          <w:sz w:val="32"/>
          <w:szCs w:val="32"/>
          <w:lang w:val="en-GB" w:eastAsia="zh-TW"/>
        </w:rPr>
      </w:pPr>
      <w:r w:rsidRPr="00C71BEA">
        <w:rPr>
          <w:rFonts w:ascii="Traditional Arabic" w:hAnsi="Traditional Arabic" w:cs="Traditional Arabic"/>
          <w:b/>
          <w:bCs/>
          <w:sz w:val="32"/>
          <w:szCs w:val="32"/>
          <w:rtl/>
          <w:lang w:val="en-GB" w:eastAsia="zh-TW"/>
        </w:rPr>
        <w:t>ا ب-</w:t>
      </w:r>
      <w:r>
        <w:rPr>
          <w:rFonts w:ascii="Traditional Arabic" w:hAnsi="Traditional Arabic" w:cs="Traditional Arabic"/>
          <w:b/>
          <w:bCs/>
          <w:sz w:val="32"/>
          <w:szCs w:val="32"/>
          <w:rtl/>
          <w:lang w:val="en-GB" w:eastAsia="zh-TW"/>
        </w:rPr>
        <w:t>14</w:t>
      </w:r>
      <w:r w:rsidRPr="00C71BEA">
        <w:rPr>
          <w:rFonts w:ascii="Traditional Arabic" w:hAnsi="Traditional Arabic" w:cs="Traditional Arabic"/>
          <w:b/>
          <w:bCs/>
          <w:sz w:val="32"/>
          <w:szCs w:val="32"/>
          <w:rtl/>
          <w:lang w:val="en-GB" w:eastAsia="zh-TW"/>
        </w:rPr>
        <w:t xml:space="preserve">/19: </w:t>
      </w:r>
      <w:r w:rsidRPr="003E35E4">
        <w:rPr>
          <w:rFonts w:ascii="Traditional Arabic" w:hAnsi="Traditional Arabic" w:cs="Traditional Arabic"/>
          <w:b/>
          <w:bCs/>
          <w:sz w:val="32"/>
          <w:szCs w:val="32"/>
          <w:rtl/>
          <w:lang w:val="en-GB" w:eastAsia="zh-TW"/>
        </w:rPr>
        <w:t>برنامج شراكة اتفاقية بازل</w:t>
      </w:r>
    </w:p>
    <w:p w14:paraId="54881A1F" w14:textId="77777777" w:rsidR="007C7675" w:rsidRDefault="007C7675" w:rsidP="007C7675">
      <w:pPr>
        <w:spacing w:after="120" w:line="400" w:lineRule="exact"/>
        <w:ind w:left="1128" w:firstLine="714"/>
        <w:jc w:val="both"/>
        <w:rPr>
          <w:rFonts w:ascii="Traditional Arabic" w:hAnsi="Traditional Arabic" w:cs="Traditional Arabic"/>
          <w:i/>
          <w:iCs/>
          <w:sz w:val="30"/>
          <w:szCs w:val="30"/>
          <w:rtl/>
        </w:rPr>
      </w:pPr>
      <w:r>
        <w:rPr>
          <w:rFonts w:ascii="Traditional Arabic" w:hAnsi="Traditional Arabic" w:cs="Traditional Arabic"/>
          <w:i/>
          <w:iCs/>
          <w:sz w:val="30"/>
          <w:szCs w:val="30"/>
          <w:rtl/>
        </w:rPr>
        <w:t>إن مؤتمر الأطراف،</w:t>
      </w:r>
    </w:p>
    <w:p w14:paraId="045EFA52" w14:textId="77777777" w:rsidR="007C7675" w:rsidRDefault="007C7675" w:rsidP="007C7675">
      <w:pPr>
        <w:spacing w:after="120" w:line="400" w:lineRule="exact"/>
        <w:ind w:left="1128"/>
        <w:jc w:val="center"/>
        <w:rPr>
          <w:rFonts w:ascii="Traditional Arabic" w:hAnsi="Traditional Arabic" w:cs="Traditional Arabic"/>
          <w:b/>
          <w:bCs/>
          <w:sz w:val="32"/>
          <w:szCs w:val="32"/>
          <w:rtl/>
          <w:lang w:val="en-GB" w:eastAsia="zh-TW"/>
        </w:rPr>
      </w:pPr>
      <w:r>
        <w:rPr>
          <w:rFonts w:ascii="Traditional Arabic" w:hAnsi="Traditional Arabic" w:cs="Traditional Arabic"/>
          <w:b/>
          <w:bCs/>
          <w:sz w:val="32"/>
          <w:szCs w:val="32"/>
          <w:rtl/>
          <w:lang w:val="en-GB" w:eastAsia="zh-TW"/>
        </w:rPr>
        <w:t>أولاً</w:t>
      </w:r>
    </w:p>
    <w:p w14:paraId="4AB5D436" w14:textId="77777777" w:rsidR="007C7675" w:rsidRPr="00C71BEA" w:rsidRDefault="007C7675" w:rsidP="007C7675">
      <w:pPr>
        <w:spacing w:after="120" w:line="400" w:lineRule="exact"/>
        <w:ind w:left="1128"/>
        <w:jc w:val="center"/>
        <w:rPr>
          <w:rFonts w:ascii="Traditional Arabic" w:hAnsi="Traditional Arabic" w:cs="Traditional Arabic"/>
          <w:b/>
          <w:bCs/>
          <w:sz w:val="32"/>
          <w:szCs w:val="32"/>
          <w:rtl/>
          <w:lang w:val="en-GB" w:eastAsia="zh-TW"/>
        </w:rPr>
      </w:pPr>
      <w:r w:rsidRPr="009F0CCB">
        <w:rPr>
          <w:rFonts w:ascii="Traditional Arabic" w:hAnsi="Traditional Arabic" w:cs="Traditional Arabic"/>
          <w:b/>
          <w:bCs/>
          <w:sz w:val="32"/>
          <w:szCs w:val="32"/>
          <w:rtl/>
          <w:lang w:val="en-GB" w:eastAsia="zh-TW"/>
        </w:rPr>
        <w:t xml:space="preserve">شراكة </w:t>
      </w:r>
      <w:r>
        <w:rPr>
          <w:rFonts w:ascii="Traditional Arabic" w:hAnsi="Traditional Arabic" w:cs="Traditional Arabic"/>
          <w:b/>
          <w:bCs/>
          <w:sz w:val="32"/>
          <w:szCs w:val="32"/>
          <w:rtl/>
          <w:lang w:val="en-GB" w:eastAsia="zh-TW"/>
        </w:rPr>
        <w:t>ال</w:t>
      </w:r>
      <w:r w:rsidRPr="009F0CCB">
        <w:rPr>
          <w:rFonts w:ascii="Traditional Arabic" w:hAnsi="Traditional Arabic" w:cs="Traditional Arabic"/>
          <w:b/>
          <w:bCs/>
          <w:sz w:val="32"/>
          <w:szCs w:val="32"/>
          <w:rtl/>
          <w:lang w:val="en-GB" w:eastAsia="zh-TW"/>
        </w:rPr>
        <w:t>متابعة للشراكة من أجل العمل بشأن المعدات الحاسوبية</w:t>
      </w:r>
    </w:p>
    <w:p w14:paraId="3C9AECD7" w14:textId="77777777" w:rsidR="007C7675" w:rsidRPr="009F0CCB" w:rsidRDefault="007C7675" w:rsidP="007C7675">
      <w:pPr>
        <w:spacing w:after="120" w:line="400" w:lineRule="exact"/>
        <w:ind w:left="1134" w:firstLine="709"/>
        <w:jc w:val="both"/>
        <w:rPr>
          <w:rFonts w:ascii="Traditional Arabic" w:hAnsi="Traditional Arabic" w:cs="Traditional Arabic"/>
          <w:sz w:val="30"/>
          <w:szCs w:val="30"/>
          <w:lang w:eastAsia="zh-TW"/>
        </w:rPr>
      </w:pPr>
      <w:r w:rsidRPr="009F0CCB">
        <w:rPr>
          <w:rFonts w:ascii="Traditional Arabic" w:hAnsi="Traditional Arabic" w:cs="Traditional Arabic"/>
          <w:i/>
          <w:iCs/>
          <w:sz w:val="30"/>
          <w:szCs w:val="30"/>
          <w:rtl/>
          <w:lang w:val="en-GB" w:eastAsia="zh-TW"/>
        </w:rPr>
        <w:t>إذ يشير</w:t>
      </w:r>
      <w:r w:rsidRPr="009F0CCB">
        <w:rPr>
          <w:rFonts w:ascii="Traditional Arabic" w:hAnsi="Traditional Arabic" w:cs="Traditional Arabic"/>
          <w:sz w:val="30"/>
          <w:szCs w:val="30"/>
          <w:rtl/>
          <w:lang w:val="en-GB" w:eastAsia="zh-TW"/>
        </w:rPr>
        <w:t xml:space="preserve"> إلى </w:t>
      </w:r>
      <w:r>
        <w:rPr>
          <w:rFonts w:ascii="Traditional Arabic" w:hAnsi="Traditional Arabic" w:cs="Traditional Arabic"/>
          <w:sz w:val="30"/>
          <w:szCs w:val="30"/>
          <w:rtl/>
          <w:lang w:val="en-GB" w:eastAsia="zh-TW"/>
        </w:rPr>
        <w:t>المقررات</w:t>
      </w:r>
      <w:r w:rsidRPr="009F0CCB">
        <w:rPr>
          <w:rFonts w:ascii="Traditional Arabic" w:hAnsi="Traditional Arabic" w:cs="Traditional Arabic"/>
          <w:sz w:val="30"/>
          <w:szCs w:val="30"/>
          <w:rtl/>
          <w:lang w:val="en-GB" w:eastAsia="zh-TW"/>
        </w:rPr>
        <w:t xml:space="preserve"> 6/32 </w:t>
      </w:r>
      <w:r>
        <w:rPr>
          <w:rFonts w:ascii="Traditional Arabic" w:hAnsi="Traditional Arabic" w:cs="Traditional Arabic"/>
          <w:sz w:val="30"/>
          <w:szCs w:val="30"/>
          <w:rtl/>
          <w:lang w:val="en-GB" w:eastAsia="zh-TW"/>
        </w:rPr>
        <w:t xml:space="preserve">بشأن الشراكة مع المنظمات البيئية وغير الحكومية ومع قطاعات الصناعة والأعمال </w:t>
      </w:r>
      <w:r w:rsidRPr="009F0CCB">
        <w:rPr>
          <w:rFonts w:ascii="Traditional Arabic" w:hAnsi="Traditional Arabic" w:cs="Traditional Arabic"/>
          <w:sz w:val="30"/>
          <w:szCs w:val="30"/>
          <w:rtl/>
          <w:lang w:val="en-GB" w:eastAsia="zh-TW"/>
        </w:rPr>
        <w:t xml:space="preserve">و7/3 </w:t>
      </w:r>
      <w:r>
        <w:rPr>
          <w:rFonts w:ascii="Traditional Arabic" w:hAnsi="Traditional Arabic" w:cs="Traditional Arabic"/>
          <w:sz w:val="30"/>
          <w:szCs w:val="30"/>
          <w:rtl/>
          <w:lang w:val="en-GB" w:eastAsia="zh-TW"/>
        </w:rPr>
        <w:t xml:space="preserve">بشأن برنامج شراكة اتفاقية بازل </w:t>
      </w:r>
      <w:r w:rsidRPr="009F0CCB">
        <w:rPr>
          <w:rFonts w:ascii="Traditional Arabic" w:hAnsi="Traditional Arabic" w:cs="Traditional Arabic"/>
          <w:sz w:val="30"/>
          <w:szCs w:val="30"/>
          <w:rtl/>
          <w:lang w:val="en-GB" w:eastAsia="zh-TW"/>
        </w:rPr>
        <w:t xml:space="preserve">و8/2 </w:t>
      </w:r>
      <w:r>
        <w:rPr>
          <w:rFonts w:ascii="Traditional Arabic" w:hAnsi="Traditional Arabic" w:cs="Traditional Arabic"/>
          <w:sz w:val="30"/>
          <w:szCs w:val="30"/>
          <w:rtl/>
          <w:lang w:val="en-GB" w:eastAsia="zh-TW"/>
        </w:rPr>
        <w:t xml:space="preserve">بشأن وضع حلول مبتكرة من خلال اتفاقية بازل بهدف الإدارة السليمة بيئياً للنفايات الكهربائية والإلكترونية </w:t>
      </w:r>
      <w:r w:rsidRPr="009F0CCB">
        <w:rPr>
          <w:rFonts w:ascii="Traditional Arabic" w:hAnsi="Traditional Arabic" w:cs="Traditional Arabic"/>
          <w:sz w:val="30"/>
          <w:szCs w:val="30"/>
          <w:rtl/>
          <w:lang w:val="en-GB" w:eastAsia="zh-TW"/>
        </w:rPr>
        <w:t>و8/5</w:t>
      </w:r>
      <w:r>
        <w:rPr>
          <w:rFonts w:ascii="Traditional Arabic" w:hAnsi="Traditional Arabic" w:cs="Traditional Arabic"/>
          <w:sz w:val="30"/>
          <w:szCs w:val="30"/>
          <w:rtl/>
          <w:lang w:val="en-GB" w:eastAsia="zh-TW"/>
        </w:rPr>
        <w:t xml:space="preserve"> بشأن برنامج شراكة اتفاقية بازل</w:t>
      </w:r>
      <w:r w:rsidRPr="009F0CCB">
        <w:rPr>
          <w:rFonts w:ascii="Traditional Arabic" w:hAnsi="Traditional Arabic" w:cs="Traditional Arabic"/>
          <w:sz w:val="30"/>
          <w:szCs w:val="30"/>
          <w:rtl/>
          <w:lang w:val="en-GB" w:eastAsia="zh-TW"/>
        </w:rPr>
        <w:t xml:space="preserve"> و13/12</w:t>
      </w:r>
      <w:r>
        <w:rPr>
          <w:rFonts w:ascii="Traditional Arabic" w:hAnsi="Traditional Arabic" w:cs="Traditional Arabic"/>
          <w:sz w:val="30"/>
          <w:szCs w:val="30"/>
          <w:rtl/>
          <w:lang w:val="en-GB" w:eastAsia="zh-TW"/>
        </w:rPr>
        <w:t xml:space="preserve"> بشأن </w:t>
      </w:r>
      <w:r w:rsidRPr="006C7D44">
        <w:rPr>
          <w:rFonts w:ascii="Traditional Arabic" w:hAnsi="Traditional Arabic" w:cs="Traditional Arabic"/>
          <w:sz w:val="30"/>
          <w:szCs w:val="30"/>
          <w:rtl/>
          <w:lang w:val="en-GB" w:eastAsia="zh-TW"/>
        </w:rPr>
        <w:t>الشراكة من أجل العمل بشأن المعدات الحاسوبية</w:t>
      </w:r>
      <w:r w:rsidRPr="009F0CCB">
        <w:rPr>
          <w:rFonts w:ascii="Traditional Arabic" w:hAnsi="Traditional Arabic" w:cs="Traditional Arabic"/>
          <w:sz w:val="30"/>
          <w:szCs w:val="30"/>
          <w:rtl/>
          <w:lang w:val="en-GB" w:eastAsia="zh-TW"/>
        </w:rPr>
        <w:t>،</w:t>
      </w:r>
    </w:p>
    <w:p w14:paraId="1E7CCA0D" w14:textId="77777777" w:rsidR="007C7675" w:rsidRPr="009F0CCB" w:rsidRDefault="007C7675" w:rsidP="007C7675">
      <w:pPr>
        <w:spacing w:after="120" w:line="400" w:lineRule="exact"/>
        <w:ind w:left="1134" w:firstLine="709"/>
        <w:jc w:val="both"/>
        <w:rPr>
          <w:rFonts w:ascii="Traditional Arabic" w:hAnsi="Traditional Arabic" w:cs="Traditional Arabic"/>
          <w:sz w:val="30"/>
          <w:szCs w:val="30"/>
          <w:rtl/>
          <w:lang w:eastAsia="zh-TW"/>
        </w:rPr>
      </w:pPr>
      <w:r w:rsidRPr="009F0CCB">
        <w:rPr>
          <w:rFonts w:ascii="Traditional Arabic" w:hAnsi="Traditional Arabic" w:cs="Traditional Arabic"/>
          <w:i/>
          <w:iCs/>
          <w:sz w:val="30"/>
          <w:szCs w:val="30"/>
          <w:rtl/>
          <w:lang w:val="en-GB" w:eastAsia="zh-TW"/>
        </w:rPr>
        <w:t>وإذ يضع في اعتباره</w:t>
      </w:r>
      <w:r w:rsidRPr="009F0CCB">
        <w:rPr>
          <w:rFonts w:ascii="Traditional Arabic" w:hAnsi="Traditional Arabic" w:cs="Traditional Arabic"/>
          <w:sz w:val="30"/>
          <w:szCs w:val="30"/>
          <w:rtl/>
          <w:lang w:val="en-GB" w:eastAsia="zh-TW"/>
        </w:rPr>
        <w:t xml:space="preserve"> إعلان بازل بشأن الإدارة السليمة بيئياً</w:t>
      </w:r>
      <w:r w:rsidRPr="009F0CCB">
        <w:rPr>
          <w:rFonts w:ascii="Traditional Arabic" w:hAnsi="Traditional Arabic" w:cs="Traditional Arabic"/>
          <w:sz w:val="30"/>
          <w:szCs w:val="30"/>
          <w:vertAlign w:val="superscript"/>
          <w:rtl/>
          <w:lang w:val="en-GB" w:eastAsia="zh-TW"/>
        </w:rPr>
        <w:t>(</w:t>
      </w:r>
      <w:r w:rsidRPr="009F0CCB">
        <w:rPr>
          <w:rFonts w:ascii="Traditional Arabic" w:hAnsi="Traditional Arabic" w:cs="Traditional Arabic"/>
          <w:sz w:val="30"/>
          <w:szCs w:val="30"/>
          <w:vertAlign w:val="superscript"/>
          <w:rtl/>
          <w:lang w:val="en-GB" w:eastAsia="zh-TW"/>
        </w:rPr>
        <w:footnoteReference w:id="1"/>
      </w:r>
      <w:r w:rsidRPr="009F0CCB">
        <w:rPr>
          <w:rFonts w:ascii="Traditional Arabic" w:hAnsi="Traditional Arabic" w:cs="Traditional Arabic"/>
          <w:sz w:val="30"/>
          <w:szCs w:val="30"/>
          <w:vertAlign w:val="superscript"/>
          <w:rtl/>
          <w:lang w:val="en-GB" w:eastAsia="zh-TW"/>
        </w:rPr>
        <w:t>)</w:t>
      </w:r>
      <w:r w:rsidRPr="009F0CCB">
        <w:rPr>
          <w:rFonts w:ascii="Traditional Arabic" w:hAnsi="Traditional Arabic" w:cs="Traditional Arabic"/>
          <w:sz w:val="30"/>
          <w:szCs w:val="30"/>
          <w:rtl/>
          <w:lang w:val="en-GB" w:eastAsia="zh-TW"/>
        </w:rPr>
        <w:t xml:space="preserve"> وإعلان نيروبي بشأن الإدارة السليمة بيئياً للنفايات الكهربائية والإلكترونية</w:t>
      </w:r>
      <w:r w:rsidRPr="009F0CCB">
        <w:rPr>
          <w:rFonts w:ascii="Traditional Arabic" w:hAnsi="Traditional Arabic" w:cs="Traditional Arabic"/>
          <w:sz w:val="30"/>
          <w:szCs w:val="30"/>
          <w:vertAlign w:val="superscript"/>
          <w:rtl/>
          <w:lang w:val="en-GB" w:eastAsia="zh-TW"/>
        </w:rPr>
        <w:t>(</w:t>
      </w:r>
      <w:r w:rsidRPr="009F0CCB">
        <w:rPr>
          <w:rFonts w:ascii="Traditional Arabic" w:hAnsi="Traditional Arabic" w:cs="Traditional Arabic"/>
          <w:sz w:val="30"/>
          <w:szCs w:val="30"/>
          <w:vertAlign w:val="superscript"/>
          <w:rtl/>
          <w:lang w:val="en-GB" w:eastAsia="zh-TW"/>
        </w:rPr>
        <w:footnoteReference w:id="2"/>
      </w:r>
      <w:r w:rsidRPr="009F0CCB">
        <w:rPr>
          <w:rFonts w:ascii="Traditional Arabic" w:hAnsi="Traditional Arabic" w:cs="Traditional Arabic"/>
          <w:sz w:val="30"/>
          <w:szCs w:val="30"/>
          <w:vertAlign w:val="superscript"/>
          <w:rtl/>
          <w:lang w:val="en-GB" w:eastAsia="zh-TW"/>
        </w:rPr>
        <w:t>)</w:t>
      </w:r>
      <w:r w:rsidRPr="009F0CCB">
        <w:rPr>
          <w:rFonts w:ascii="Traditional Arabic" w:hAnsi="Traditional Arabic" w:cs="Traditional Arabic"/>
          <w:sz w:val="30"/>
          <w:szCs w:val="30"/>
          <w:rtl/>
          <w:lang w:val="en-GB" w:eastAsia="zh-TW"/>
        </w:rPr>
        <w:t>،</w:t>
      </w:r>
    </w:p>
    <w:p w14:paraId="34601550" w14:textId="77777777" w:rsidR="007C7675" w:rsidRPr="009F0CCB" w:rsidRDefault="007C7675" w:rsidP="007C7675">
      <w:pPr>
        <w:spacing w:after="120" w:line="400" w:lineRule="exact"/>
        <w:ind w:left="1134" w:firstLine="709"/>
        <w:jc w:val="both"/>
        <w:rPr>
          <w:rFonts w:ascii="Traditional Arabic" w:hAnsi="Traditional Arabic" w:cs="Traditional Arabic"/>
          <w:sz w:val="30"/>
          <w:szCs w:val="30"/>
          <w:rtl/>
          <w:lang w:eastAsia="zh-TW"/>
        </w:rPr>
      </w:pPr>
      <w:r w:rsidRPr="009F0CCB">
        <w:rPr>
          <w:rFonts w:ascii="Traditional Arabic" w:hAnsi="Traditional Arabic" w:cs="Traditional Arabic"/>
          <w:i/>
          <w:iCs/>
          <w:sz w:val="30"/>
          <w:szCs w:val="30"/>
          <w:rtl/>
          <w:lang w:val="en-GB" w:eastAsia="zh-TW"/>
        </w:rPr>
        <w:t>وإذ يلاحظ</w:t>
      </w:r>
      <w:r w:rsidRPr="009F0CCB">
        <w:rPr>
          <w:rFonts w:ascii="Traditional Arabic" w:hAnsi="Traditional Arabic" w:cs="Traditional Arabic"/>
          <w:sz w:val="30"/>
          <w:szCs w:val="30"/>
          <w:rtl/>
          <w:lang w:val="en-GB" w:eastAsia="zh-TW"/>
        </w:rPr>
        <w:t xml:space="preserve"> الزيادة السريعة في كمية المعدات الكهربائية والإلكترونية التي يتم استعمالها واقتناؤها في العالم، وما أفضت إليه من ارتفاع في حجم المعدات الكهربائية والإلكترونية المستعملة والهالكة، بما فيها المعدات الحاسوبية التي في كثير من الأحيان لا تُدار بشكل سليم بيئياًّ،</w:t>
      </w:r>
    </w:p>
    <w:p w14:paraId="651E6791" w14:textId="77777777" w:rsidR="007C7675" w:rsidRPr="004B5321" w:rsidRDefault="007C7675" w:rsidP="007C7675">
      <w:pPr>
        <w:spacing w:after="120" w:line="400" w:lineRule="exact"/>
        <w:ind w:left="1134" w:firstLine="709"/>
        <w:jc w:val="both"/>
        <w:rPr>
          <w:rFonts w:ascii="Traditional Arabic" w:eastAsia="SimSun" w:hAnsi="Traditional Arabic" w:cs="Traditional Arabic"/>
          <w:color w:val="000000"/>
          <w:w w:val="98"/>
          <w:sz w:val="30"/>
          <w:szCs w:val="30"/>
          <w:rtl/>
          <w:lang w:eastAsia="zh-TW"/>
        </w:rPr>
      </w:pPr>
      <w:r w:rsidRPr="004B5321">
        <w:rPr>
          <w:rFonts w:ascii="Traditional Arabic" w:hAnsi="Traditional Arabic" w:cs="Traditional Arabic"/>
          <w:i/>
          <w:iCs/>
          <w:w w:val="98"/>
          <w:sz w:val="30"/>
          <w:szCs w:val="30"/>
          <w:rtl/>
          <w:lang w:val="en-GB" w:eastAsia="zh-TW"/>
        </w:rPr>
        <w:t>وإذ يلاحظ أيضاً</w:t>
      </w:r>
      <w:r w:rsidRPr="004B5321">
        <w:rPr>
          <w:rFonts w:ascii="Traditional Arabic" w:hAnsi="Traditional Arabic" w:cs="Traditional Arabic"/>
          <w:w w:val="98"/>
          <w:sz w:val="30"/>
          <w:szCs w:val="30"/>
          <w:rtl/>
          <w:lang w:val="en-GB" w:eastAsia="zh-TW"/>
        </w:rPr>
        <w:t xml:space="preserve"> المنافع المحتملة من دورة المواد المتأتية من إعادة الاستعمال والتدوير السليم بيئياًّ للأجهزة الإلكترونية والإلكترونيات المستعملة والهالكة، مثل تخفيض انبعاثات غازات الاحتباس الحراري، وحفظ الموارد الطبيعية وتوفير فرص التنمية الاقتصادية والاجتماعية المستدامة في البلدان النامية والبلدان التي تمر اقتصاداتها بمرحلة انتقالية،</w:t>
      </w:r>
    </w:p>
    <w:p w14:paraId="5A7806C8" w14:textId="77777777" w:rsidR="007C7675" w:rsidRPr="009F0CCB" w:rsidRDefault="007C7675" w:rsidP="007C7675">
      <w:pPr>
        <w:spacing w:after="120" w:line="400" w:lineRule="exact"/>
        <w:ind w:left="1134" w:firstLine="709"/>
        <w:jc w:val="both"/>
        <w:rPr>
          <w:rFonts w:ascii="Traditional Arabic" w:eastAsia="SimSun" w:hAnsi="Traditional Arabic" w:cs="Traditional Arabic"/>
          <w:color w:val="000000"/>
          <w:sz w:val="30"/>
          <w:szCs w:val="30"/>
          <w:rtl/>
          <w:lang w:eastAsia="zh-TW"/>
        </w:rPr>
      </w:pPr>
      <w:r w:rsidRPr="009F0CCB">
        <w:rPr>
          <w:rFonts w:ascii="Traditional Arabic" w:hAnsi="Traditional Arabic" w:cs="Traditional Arabic"/>
          <w:i/>
          <w:iCs/>
          <w:sz w:val="30"/>
          <w:szCs w:val="30"/>
          <w:rtl/>
          <w:lang w:val="en-GB" w:eastAsia="zh-TW"/>
        </w:rPr>
        <w:t>وإذ يلاحظ كذلك</w:t>
      </w:r>
      <w:r w:rsidRPr="009F0CCB">
        <w:rPr>
          <w:rFonts w:ascii="Traditional Arabic" w:hAnsi="Traditional Arabic" w:cs="Traditional Arabic"/>
          <w:sz w:val="30"/>
          <w:szCs w:val="30"/>
          <w:rtl/>
          <w:lang w:val="en-GB" w:eastAsia="zh-TW"/>
        </w:rPr>
        <w:t xml:space="preserve"> أهمية </w:t>
      </w:r>
      <w:r>
        <w:rPr>
          <w:rFonts w:ascii="Traditional Arabic" w:hAnsi="Traditional Arabic" w:cs="Traditional Arabic"/>
          <w:sz w:val="30"/>
          <w:szCs w:val="30"/>
          <w:rtl/>
          <w:lang w:val="en-GB" w:eastAsia="zh-TW"/>
        </w:rPr>
        <w:t xml:space="preserve">ضوابط النقل عبر الحدود بموجب </w:t>
      </w:r>
      <w:r w:rsidRPr="009F0CCB">
        <w:rPr>
          <w:rFonts w:ascii="Traditional Arabic" w:hAnsi="Traditional Arabic" w:cs="Traditional Arabic"/>
          <w:sz w:val="30"/>
          <w:szCs w:val="30"/>
          <w:rtl/>
          <w:lang w:val="en-GB" w:eastAsia="zh-TW"/>
        </w:rPr>
        <w:t>اتفاقية بازل</w:t>
      </w:r>
      <w:r>
        <w:rPr>
          <w:rFonts w:ascii="Traditional Arabic" w:hAnsi="Traditional Arabic" w:cs="Traditional Arabic"/>
          <w:sz w:val="30"/>
          <w:szCs w:val="30"/>
          <w:rtl/>
          <w:lang w:val="en-GB" w:eastAsia="zh-TW"/>
        </w:rPr>
        <w:t xml:space="preserve"> بشأن التحكم في نقل النفايات الخطرة والتخلص منها عبر الحدود</w:t>
      </w:r>
      <w:r w:rsidRPr="009F0CCB">
        <w:rPr>
          <w:rFonts w:ascii="Traditional Arabic" w:hAnsi="Traditional Arabic" w:cs="Traditional Arabic"/>
          <w:sz w:val="30"/>
          <w:szCs w:val="30"/>
          <w:rtl/>
          <w:lang w:val="en-GB" w:eastAsia="zh-TW"/>
        </w:rPr>
        <w:t xml:space="preserve"> في تحقيق الحماية البيئية،</w:t>
      </w:r>
    </w:p>
    <w:p w14:paraId="49A91015" w14:textId="77777777" w:rsidR="007C7675" w:rsidRPr="009F0CCB" w:rsidRDefault="007C7675" w:rsidP="007C7675">
      <w:pPr>
        <w:spacing w:after="120" w:line="400" w:lineRule="exact"/>
        <w:ind w:left="1134" w:firstLine="709"/>
        <w:jc w:val="both"/>
        <w:rPr>
          <w:rFonts w:ascii="Traditional Arabic" w:hAnsi="Traditional Arabic" w:cs="Traditional Arabic"/>
          <w:sz w:val="30"/>
          <w:szCs w:val="30"/>
          <w:rtl/>
          <w:lang w:eastAsia="zh-TW"/>
        </w:rPr>
      </w:pPr>
      <w:r w:rsidRPr="009F0CCB">
        <w:rPr>
          <w:rFonts w:ascii="Traditional Arabic" w:hAnsi="Traditional Arabic" w:cs="Traditional Arabic"/>
          <w:i/>
          <w:iCs/>
          <w:sz w:val="30"/>
          <w:szCs w:val="30"/>
          <w:rtl/>
          <w:lang w:val="en-GB" w:eastAsia="zh-TW"/>
        </w:rPr>
        <w:t>وإذ يقر</w:t>
      </w:r>
      <w:r w:rsidRPr="009F0CCB">
        <w:rPr>
          <w:rFonts w:ascii="Traditional Arabic" w:hAnsi="Traditional Arabic" w:cs="Traditional Arabic"/>
          <w:sz w:val="30"/>
          <w:szCs w:val="30"/>
          <w:rtl/>
          <w:lang w:val="en-GB" w:eastAsia="zh-TW"/>
        </w:rPr>
        <w:t xml:space="preserve"> بأن نشر التوجيهات التي وضعتها الشراكة من أجل العمل بشأن المعدات الحاسوبية ومبادرة الشراكة بشأن الهواتف المحمولة والمبادئ التوجيهية التقنية والتوجيهات الأخرى ذات الصلة يمكن أن يسهم في تحسين تنفيذ الإدارة السليمة بيئياً للمعدات الحاسوبية المنتهية الصلاحية، وربما المعدات الكهربائية والإلكترونية الأخرى المنتهية الصلاحية، ولا سيما في البلدان النامية والبلدان التي تمر اقتصاداتها بمرحلة انتقالية،</w:t>
      </w:r>
    </w:p>
    <w:p w14:paraId="75DABEE8" w14:textId="77777777" w:rsidR="007C7675" w:rsidRPr="009F0CCB" w:rsidRDefault="007C7675" w:rsidP="007C7675">
      <w:pPr>
        <w:spacing w:after="120" w:line="400" w:lineRule="exact"/>
        <w:ind w:left="1134" w:firstLine="709"/>
        <w:jc w:val="both"/>
        <w:rPr>
          <w:rFonts w:ascii="Traditional Arabic" w:hAnsi="Traditional Arabic" w:cs="Traditional Arabic"/>
          <w:sz w:val="30"/>
          <w:szCs w:val="30"/>
          <w:rtl/>
          <w:lang w:eastAsia="zh-TW"/>
        </w:rPr>
      </w:pPr>
      <w:r w:rsidRPr="009F0CCB">
        <w:rPr>
          <w:rFonts w:ascii="Traditional Arabic" w:hAnsi="Traditional Arabic" w:cs="Traditional Arabic"/>
          <w:i/>
          <w:iCs/>
          <w:sz w:val="30"/>
          <w:szCs w:val="30"/>
          <w:rtl/>
          <w:lang w:val="en-GB" w:eastAsia="zh-TW"/>
        </w:rPr>
        <w:t>وإذ يرحّب</w:t>
      </w:r>
      <w:r w:rsidRPr="009F0CCB">
        <w:rPr>
          <w:rFonts w:ascii="Traditional Arabic" w:hAnsi="Traditional Arabic" w:cs="Traditional Arabic"/>
          <w:sz w:val="30"/>
          <w:szCs w:val="30"/>
          <w:rtl/>
          <w:lang w:val="en-GB" w:eastAsia="zh-TW"/>
        </w:rPr>
        <w:t xml:space="preserve"> باقتراح الفريق المؤقت المعني بشراكة </w:t>
      </w:r>
      <w:r>
        <w:rPr>
          <w:rFonts w:ascii="Traditional Arabic" w:hAnsi="Traditional Arabic" w:cs="Traditional Arabic"/>
          <w:sz w:val="30"/>
          <w:szCs w:val="30"/>
          <w:rtl/>
          <w:lang w:val="en-GB" w:eastAsia="zh-TW"/>
        </w:rPr>
        <w:t>ال</w:t>
      </w:r>
      <w:r w:rsidRPr="009F0CCB">
        <w:rPr>
          <w:rFonts w:ascii="Traditional Arabic" w:hAnsi="Traditional Arabic" w:cs="Traditional Arabic"/>
          <w:sz w:val="30"/>
          <w:szCs w:val="30"/>
          <w:rtl/>
          <w:lang w:val="en-GB" w:eastAsia="zh-TW"/>
        </w:rPr>
        <w:t>متابعة للشراكة من أجل العمل بشأن المعدات الحاسوبية (يُشار إليها فيما بعد بعبارة ’’الشراكة‘‘)،</w:t>
      </w:r>
    </w:p>
    <w:p w14:paraId="63DABCD8" w14:textId="77777777" w:rsidR="007C7675" w:rsidRPr="009F0CCB" w:rsidRDefault="007C7675" w:rsidP="007C7675">
      <w:pPr>
        <w:numPr>
          <w:ilvl w:val="0"/>
          <w:numId w:val="1"/>
        </w:numPr>
        <w:tabs>
          <w:tab w:val="left" w:pos="2409"/>
        </w:tabs>
        <w:spacing w:after="120" w:line="400" w:lineRule="exact"/>
        <w:ind w:left="1134" w:firstLine="709"/>
        <w:jc w:val="both"/>
        <w:rPr>
          <w:rFonts w:ascii="Traditional Arabic" w:eastAsia="Calibri" w:hAnsi="Traditional Arabic" w:cs="Traditional Arabic"/>
          <w:sz w:val="30"/>
          <w:szCs w:val="30"/>
          <w:rtl/>
          <w:lang w:val="en-GB" w:eastAsia="zh-TW"/>
        </w:rPr>
      </w:pPr>
      <w:r w:rsidRPr="009F0CCB">
        <w:rPr>
          <w:rFonts w:ascii="Traditional Arabic" w:eastAsia="Calibri" w:hAnsi="Traditional Arabic" w:cs="Traditional Arabic"/>
          <w:i/>
          <w:iCs/>
          <w:sz w:val="30"/>
          <w:szCs w:val="30"/>
          <w:rtl/>
          <w:lang w:val="en-GB" w:eastAsia="zh-TW"/>
        </w:rPr>
        <w:lastRenderedPageBreak/>
        <w:t>يحيط علماً</w:t>
      </w:r>
      <w:r w:rsidRPr="009F0CCB">
        <w:rPr>
          <w:rFonts w:ascii="Traditional Arabic" w:eastAsia="Calibri" w:hAnsi="Traditional Arabic" w:cs="Traditional Arabic"/>
          <w:sz w:val="30"/>
          <w:szCs w:val="30"/>
          <w:rtl/>
          <w:lang w:val="en-GB" w:eastAsia="zh-TW"/>
        </w:rPr>
        <w:t xml:space="preserve"> بالمذكرة المفاهيمية التي وضعها الفريق المؤقت على النحو المبين في المرفق الأول للوثيقة </w:t>
      </w:r>
      <w:r w:rsidRPr="009F0CCB">
        <w:rPr>
          <w:rFonts w:eastAsia="Calibri" w:cs="Times New Roman"/>
          <w:sz w:val="20"/>
          <w:szCs w:val="20"/>
          <w:lang w:val="en-GB" w:eastAsia="zh-TW"/>
        </w:rPr>
        <w:t>UNEP/CHW.14/INF/30</w:t>
      </w:r>
      <w:r w:rsidRPr="009F0CCB">
        <w:rPr>
          <w:rFonts w:ascii="Traditional Arabic" w:eastAsia="Calibri" w:hAnsi="Traditional Arabic" w:cs="Traditional Arabic"/>
          <w:sz w:val="30"/>
          <w:szCs w:val="30"/>
          <w:rtl/>
          <w:lang w:val="en-GB" w:eastAsia="zh-TW"/>
        </w:rPr>
        <w:t>، ويتفق، من حيث المبدأ، مع اختصاصات وبرنامج عمل الشراكة، التي وضعها الفريق المؤقت والواردة في المرفقين الثاني والثالث من هذه الوثيقة؛</w:t>
      </w:r>
    </w:p>
    <w:p w14:paraId="598BA054" w14:textId="77777777" w:rsidR="007C7675" w:rsidRPr="009F0CCB" w:rsidRDefault="007C7675" w:rsidP="007C7675">
      <w:pPr>
        <w:numPr>
          <w:ilvl w:val="0"/>
          <w:numId w:val="1"/>
        </w:numPr>
        <w:tabs>
          <w:tab w:val="left" w:pos="2409"/>
        </w:tabs>
        <w:spacing w:after="120" w:line="400" w:lineRule="exact"/>
        <w:ind w:left="1134" w:firstLine="709"/>
        <w:jc w:val="both"/>
        <w:rPr>
          <w:rFonts w:ascii="Traditional Arabic" w:eastAsia="Calibri" w:hAnsi="Traditional Arabic" w:cs="Traditional Arabic"/>
          <w:sz w:val="30"/>
          <w:szCs w:val="30"/>
          <w:rtl/>
          <w:lang w:val="en-GB" w:eastAsia="zh-TW"/>
        </w:rPr>
      </w:pPr>
      <w:r w:rsidRPr="009F0CCB">
        <w:rPr>
          <w:rFonts w:ascii="Traditional Arabic" w:eastAsia="Calibri" w:hAnsi="Traditional Arabic" w:cs="Traditional Arabic"/>
          <w:i/>
          <w:iCs/>
          <w:sz w:val="30"/>
          <w:szCs w:val="30"/>
          <w:rtl/>
          <w:lang w:val="en-GB" w:eastAsia="zh-TW"/>
        </w:rPr>
        <w:t>يؤكد</w:t>
      </w:r>
      <w:r w:rsidRPr="009F0CCB">
        <w:rPr>
          <w:rFonts w:ascii="Traditional Arabic" w:eastAsia="Calibri" w:hAnsi="Traditional Arabic" w:cs="Traditional Arabic"/>
          <w:sz w:val="30"/>
          <w:szCs w:val="30"/>
          <w:rtl/>
          <w:lang w:val="en-GB" w:eastAsia="zh-TW"/>
        </w:rPr>
        <w:t xml:space="preserve"> أن الشراكة لا تملك السلطة لإنشاء حقوق أو مسؤوليات إضافية أو لإلغاء الحقوق والمسؤوليات القائمة للأطراف في اتفاقية بازل؛</w:t>
      </w:r>
    </w:p>
    <w:p w14:paraId="5C92AC00" w14:textId="77777777" w:rsidR="007C7675" w:rsidRPr="009F0CCB" w:rsidRDefault="007C7675" w:rsidP="007C7675">
      <w:pPr>
        <w:numPr>
          <w:ilvl w:val="0"/>
          <w:numId w:val="1"/>
        </w:numPr>
        <w:tabs>
          <w:tab w:val="left" w:pos="2409"/>
        </w:tabs>
        <w:spacing w:after="120" w:line="400" w:lineRule="exact"/>
        <w:ind w:left="1134" w:firstLine="709"/>
        <w:jc w:val="both"/>
        <w:rPr>
          <w:rFonts w:ascii="Traditional Arabic" w:eastAsia="Calibri" w:hAnsi="Traditional Arabic" w:cs="Traditional Arabic"/>
          <w:sz w:val="30"/>
          <w:szCs w:val="30"/>
          <w:rtl/>
          <w:lang w:val="en-GB" w:eastAsia="zh-TW"/>
        </w:rPr>
      </w:pPr>
      <w:r w:rsidRPr="009F0CCB">
        <w:rPr>
          <w:rFonts w:ascii="Traditional Arabic" w:eastAsia="Calibri" w:hAnsi="Traditional Arabic" w:cs="Traditional Arabic"/>
          <w:i/>
          <w:iCs/>
          <w:sz w:val="30"/>
          <w:szCs w:val="30"/>
          <w:rtl/>
          <w:lang w:val="en-GB" w:eastAsia="zh-TW"/>
        </w:rPr>
        <w:t>يحيط علماً</w:t>
      </w:r>
      <w:r w:rsidRPr="009F0CCB">
        <w:rPr>
          <w:rFonts w:ascii="Traditional Arabic" w:eastAsia="Calibri" w:hAnsi="Traditional Arabic" w:cs="Traditional Arabic"/>
          <w:sz w:val="30"/>
          <w:szCs w:val="30"/>
          <w:rtl/>
          <w:lang w:val="en-GB" w:eastAsia="zh-TW"/>
        </w:rPr>
        <w:t xml:space="preserve"> بمقترحات تمويل الشراكة كما جاءت في المرفق الثاني من الوثيقة </w:t>
      </w:r>
      <w:r w:rsidRPr="009F0CCB">
        <w:rPr>
          <w:rFonts w:eastAsia="Calibri" w:cs="Arial"/>
          <w:sz w:val="20"/>
          <w:szCs w:val="20"/>
        </w:rPr>
        <w:t>UNEP/CHW.14/INF/30</w:t>
      </w:r>
      <w:r w:rsidRPr="009F0CCB">
        <w:rPr>
          <w:rFonts w:ascii="Traditional Arabic" w:eastAsia="Calibri" w:hAnsi="Traditional Arabic" w:cs="Traditional Arabic"/>
          <w:sz w:val="30"/>
          <w:szCs w:val="30"/>
          <w:rtl/>
          <w:lang w:val="en-GB" w:eastAsia="zh-TW"/>
        </w:rPr>
        <w:t>؛</w:t>
      </w:r>
    </w:p>
    <w:p w14:paraId="01DD7503" w14:textId="77777777" w:rsidR="007C7675" w:rsidRPr="009F0CCB" w:rsidRDefault="007C7675" w:rsidP="007C7675">
      <w:pPr>
        <w:numPr>
          <w:ilvl w:val="0"/>
          <w:numId w:val="1"/>
        </w:numPr>
        <w:tabs>
          <w:tab w:val="left" w:pos="2409"/>
        </w:tabs>
        <w:spacing w:after="120" w:line="400" w:lineRule="exact"/>
        <w:ind w:left="1134" w:firstLine="709"/>
        <w:jc w:val="both"/>
        <w:rPr>
          <w:rFonts w:ascii="Traditional Arabic" w:eastAsia="Calibri" w:hAnsi="Traditional Arabic" w:cs="Traditional Arabic"/>
          <w:sz w:val="30"/>
          <w:szCs w:val="30"/>
          <w:rtl/>
          <w:lang w:val="en-GB" w:eastAsia="zh-TW"/>
        </w:rPr>
      </w:pPr>
      <w:r w:rsidRPr="009F0CCB">
        <w:rPr>
          <w:rFonts w:ascii="Traditional Arabic" w:eastAsia="Calibri" w:hAnsi="Traditional Arabic" w:cs="Traditional Arabic"/>
          <w:i/>
          <w:iCs/>
          <w:sz w:val="30"/>
          <w:szCs w:val="30"/>
          <w:rtl/>
          <w:lang w:val="en-GB" w:eastAsia="zh-TW"/>
        </w:rPr>
        <w:t>يقرر</w:t>
      </w:r>
      <w:r w:rsidRPr="009F0CCB">
        <w:rPr>
          <w:rFonts w:ascii="Traditional Arabic" w:eastAsia="Calibri" w:hAnsi="Traditional Arabic" w:cs="Traditional Arabic"/>
          <w:sz w:val="30"/>
          <w:szCs w:val="30"/>
          <w:rtl/>
          <w:lang w:val="en-GB" w:eastAsia="zh-TW"/>
        </w:rPr>
        <w:t xml:space="preserve"> إنشاء فريق عامل تابع للشراكة سيعمل تحت إشراف الفريق العامل المفتوح العضوية؛</w:t>
      </w:r>
    </w:p>
    <w:p w14:paraId="27DEB4FB" w14:textId="77777777" w:rsidR="007C7675" w:rsidRPr="009F0CCB" w:rsidRDefault="007C7675" w:rsidP="007C7675">
      <w:pPr>
        <w:numPr>
          <w:ilvl w:val="0"/>
          <w:numId w:val="1"/>
        </w:numPr>
        <w:tabs>
          <w:tab w:val="left" w:pos="2409"/>
        </w:tabs>
        <w:spacing w:after="120" w:line="400" w:lineRule="exact"/>
        <w:ind w:left="1134" w:firstLine="709"/>
        <w:jc w:val="both"/>
        <w:rPr>
          <w:rFonts w:ascii="Traditional Arabic" w:eastAsia="Calibri" w:hAnsi="Traditional Arabic" w:cs="Traditional Arabic"/>
          <w:sz w:val="30"/>
          <w:szCs w:val="30"/>
          <w:rtl/>
          <w:lang w:val="en-GB" w:eastAsia="zh-TW"/>
        </w:rPr>
      </w:pPr>
      <w:r w:rsidRPr="009F0CCB">
        <w:rPr>
          <w:rFonts w:ascii="Traditional Arabic" w:eastAsia="Calibri" w:hAnsi="Traditional Arabic" w:cs="Traditional Arabic"/>
          <w:i/>
          <w:iCs/>
          <w:sz w:val="30"/>
          <w:szCs w:val="30"/>
          <w:rtl/>
          <w:lang w:val="en-GB" w:eastAsia="zh-TW"/>
        </w:rPr>
        <w:t>يدعو</w:t>
      </w:r>
      <w:r w:rsidRPr="009F0CCB">
        <w:rPr>
          <w:rFonts w:ascii="Traditional Arabic" w:eastAsia="Calibri" w:hAnsi="Traditional Arabic" w:cs="Traditional Arabic"/>
          <w:sz w:val="30"/>
          <w:szCs w:val="30"/>
          <w:rtl/>
          <w:lang w:val="en-GB" w:eastAsia="zh-TW"/>
        </w:rPr>
        <w:t xml:space="preserve"> الأطراف والموقعين وجميع أصحاب المصلحة الآخرين، بما في ذلك الجهات المصنعة وتلك القائمة بإعادة التدوير وإعادة التصنيع، والجهات الأكاديمية، ومنابر النفايات الكهربائية والإلكترونية ذات الصلة، والمنظمات غير الحكومية </w:t>
      </w:r>
      <w:r>
        <w:rPr>
          <w:rFonts w:ascii="Traditional Arabic" w:eastAsia="Calibri" w:hAnsi="Traditional Arabic" w:cs="Traditional Arabic"/>
          <w:sz w:val="30"/>
          <w:szCs w:val="30"/>
          <w:rtl/>
          <w:lang w:val="en-GB" w:eastAsia="zh-TW"/>
        </w:rPr>
        <w:t>و</w:t>
      </w:r>
      <w:r w:rsidRPr="009F0CCB">
        <w:rPr>
          <w:rFonts w:ascii="Traditional Arabic" w:eastAsia="Calibri" w:hAnsi="Traditional Arabic" w:cs="Traditional Arabic"/>
          <w:sz w:val="30"/>
          <w:szCs w:val="30"/>
          <w:rtl/>
          <w:lang w:val="en-GB" w:eastAsia="zh-TW"/>
        </w:rPr>
        <w:t>الحكومية الدولية، والشركاء السابقين للشراكة من أجل العمل بشأن المعدات الحاسوبية إلى أن تبين للأمانة اهتمامها بالمشاركة في الفريق العامل التابع للشراكة في موعد غايته 30 أيلول/ سبتمبر 2019، مع إيلاء الاعتبار للخبرات والتجارب المحددة اللازمة للمشاركة في أنشطة الفريق العامل؛</w:t>
      </w:r>
    </w:p>
    <w:p w14:paraId="25D1C034" w14:textId="77777777" w:rsidR="007C7675" w:rsidRPr="00752D6B" w:rsidRDefault="007C7675" w:rsidP="007C7675">
      <w:pPr>
        <w:numPr>
          <w:ilvl w:val="0"/>
          <w:numId w:val="1"/>
        </w:numPr>
        <w:tabs>
          <w:tab w:val="left" w:pos="624"/>
          <w:tab w:val="left" w:pos="2409"/>
          <w:tab w:val="left" w:pos="3515"/>
          <w:tab w:val="left" w:pos="4082"/>
        </w:tabs>
        <w:spacing w:after="120" w:line="400" w:lineRule="exact"/>
        <w:ind w:left="1134" w:firstLine="709"/>
        <w:jc w:val="both"/>
        <w:rPr>
          <w:rFonts w:ascii="Traditional Arabic" w:eastAsia="Calibri" w:hAnsi="Traditional Arabic" w:cs="Traditional Arabic"/>
          <w:w w:val="97"/>
          <w:sz w:val="30"/>
          <w:szCs w:val="30"/>
          <w:rtl/>
          <w:lang w:val="x-none" w:eastAsia="zh-TW"/>
        </w:rPr>
      </w:pPr>
      <w:r w:rsidRPr="00752D6B">
        <w:rPr>
          <w:rFonts w:ascii="Traditional Arabic" w:hAnsi="Traditional Arabic" w:cs="Traditional Arabic"/>
          <w:i/>
          <w:iCs/>
          <w:w w:val="97"/>
          <w:sz w:val="30"/>
          <w:szCs w:val="30"/>
          <w:rtl/>
          <w:lang w:val="en-GB" w:eastAsia="zh-TW"/>
        </w:rPr>
        <w:t>يدعو</w:t>
      </w:r>
      <w:r w:rsidRPr="00752D6B">
        <w:rPr>
          <w:rFonts w:ascii="Traditional Arabic" w:hAnsi="Traditional Arabic" w:cs="Traditional Arabic"/>
          <w:w w:val="97"/>
          <w:sz w:val="30"/>
          <w:szCs w:val="30"/>
          <w:rtl/>
          <w:lang w:val="en-GB" w:eastAsia="zh-TW"/>
        </w:rPr>
        <w:t xml:space="preserve"> الأطراف والجهات الأخرى إلى أن تقدم تعليقات بشأن الاختصاصات وبرنامج العمل المشار إليها في الفقرة ١ من هذا المقرر إلى الفريق العامل التابع للشراكة، عن طريق الأمانة، بحلول ٣٠ أيلول/سبتمبر ٢٠١٩؛</w:t>
      </w:r>
    </w:p>
    <w:p w14:paraId="7AC74C26" w14:textId="77777777" w:rsidR="007C7675" w:rsidRPr="009F0CCB" w:rsidRDefault="007C7675" w:rsidP="007C7675">
      <w:pPr>
        <w:numPr>
          <w:ilvl w:val="0"/>
          <w:numId w:val="1"/>
        </w:numPr>
        <w:tabs>
          <w:tab w:val="left" w:pos="624"/>
          <w:tab w:val="left" w:pos="2409"/>
          <w:tab w:val="left" w:pos="3515"/>
          <w:tab w:val="left" w:pos="4082"/>
        </w:tabs>
        <w:spacing w:after="120" w:line="400" w:lineRule="exact"/>
        <w:ind w:left="1134" w:firstLine="709"/>
        <w:jc w:val="both"/>
        <w:rPr>
          <w:rFonts w:ascii="Traditional Arabic" w:hAnsi="Traditional Arabic" w:cs="Traditional Arabic"/>
          <w:i/>
          <w:sz w:val="30"/>
          <w:szCs w:val="30"/>
          <w:rtl/>
          <w:lang w:val="x-none" w:eastAsia="zh-TW"/>
        </w:rPr>
      </w:pPr>
      <w:r w:rsidRPr="009F0CCB">
        <w:rPr>
          <w:rFonts w:ascii="Traditional Arabic" w:hAnsi="Traditional Arabic" w:cs="Traditional Arabic"/>
          <w:i/>
          <w:iCs/>
          <w:sz w:val="30"/>
          <w:szCs w:val="30"/>
          <w:rtl/>
          <w:lang w:val="en-GB" w:eastAsia="zh-TW"/>
        </w:rPr>
        <w:t>يطلب</w:t>
      </w:r>
      <w:r w:rsidRPr="009F0CCB">
        <w:rPr>
          <w:rFonts w:ascii="Traditional Arabic" w:hAnsi="Traditional Arabic" w:cs="Traditional Arabic"/>
          <w:sz w:val="30"/>
          <w:szCs w:val="30"/>
          <w:rtl/>
          <w:lang w:val="en-GB" w:eastAsia="zh-TW"/>
        </w:rPr>
        <w:t xml:space="preserve"> إلى الفريق العامل التابع للشراكة إعداد صيغة منقحة من الاختصاصات و</w:t>
      </w:r>
      <w:r>
        <w:rPr>
          <w:rFonts w:ascii="Traditional Arabic" w:hAnsi="Traditional Arabic" w:cs="Traditional Arabic"/>
          <w:sz w:val="30"/>
          <w:szCs w:val="30"/>
          <w:rtl/>
          <w:lang w:val="en-GB" w:eastAsia="zh-TW"/>
        </w:rPr>
        <w:t xml:space="preserve">كذلك من </w:t>
      </w:r>
      <w:r w:rsidRPr="009F0CCB">
        <w:rPr>
          <w:rFonts w:ascii="Traditional Arabic" w:hAnsi="Traditional Arabic" w:cs="Traditional Arabic"/>
          <w:sz w:val="30"/>
          <w:szCs w:val="30"/>
          <w:rtl/>
          <w:lang w:val="en-GB" w:eastAsia="zh-TW"/>
        </w:rPr>
        <w:t>برنامج العمل، بما في ذلك تحديد أولويات المهام في برنامج العمل وتحديد هيكل قيادة الشراكة، مع مراعاة التعليقات الواردة من الأطراف والجهات الأخرى، وتقديمه</w:t>
      </w:r>
      <w:r>
        <w:rPr>
          <w:rFonts w:ascii="Traditional Arabic" w:hAnsi="Traditional Arabic" w:cs="Traditional Arabic"/>
          <w:sz w:val="30"/>
          <w:szCs w:val="30"/>
          <w:rtl/>
          <w:lang w:val="en-GB" w:eastAsia="zh-TW"/>
        </w:rPr>
        <w:t>م</w:t>
      </w:r>
      <w:r w:rsidRPr="009F0CCB">
        <w:rPr>
          <w:rFonts w:ascii="Traditional Arabic" w:hAnsi="Traditional Arabic" w:cs="Traditional Arabic"/>
          <w:sz w:val="30"/>
          <w:szCs w:val="30"/>
          <w:rtl/>
          <w:lang w:val="en-GB" w:eastAsia="zh-TW"/>
        </w:rPr>
        <w:t>ا لكي ينظر فيه</w:t>
      </w:r>
      <w:r>
        <w:rPr>
          <w:rFonts w:ascii="Traditional Arabic" w:hAnsi="Traditional Arabic" w:cs="Traditional Arabic"/>
          <w:sz w:val="30"/>
          <w:szCs w:val="30"/>
          <w:rtl/>
          <w:lang w:val="en-GB" w:eastAsia="zh-TW"/>
        </w:rPr>
        <w:t>م</w:t>
      </w:r>
      <w:r w:rsidRPr="009F0CCB">
        <w:rPr>
          <w:rFonts w:ascii="Traditional Arabic" w:hAnsi="Traditional Arabic" w:cs="Traditional Arabic"/>
          <w:sz w:val="30"/>
          <w:szCs w:val="30"/>
          <w:rtl/>
          <w:lang w:val="en-GB" w:eastAsia="zh-TW"/>
        </w:rPr>
        <w:t>ا الفريق العامل المفتوح العضوية في اجتماعه الثاني عشر؛</w:t>
      </w:r>
      <w:bookmarkStart w:id="0" w:name="_Hlk7807751"/>
    </w:p>
    <w:p w14:paraId="4AC15606" w14:textId="77777777" w:rsidR="007C7675" w:rsidRPr="009F0CCB" w:rsidRDefault="007C7675" w:rsidP="007C7675">
      <w:pPr>
        <w:numPr>
          <w:ilvl w:val="0"/>
          <w:numId w:val="1"/>
        </w:numPr>
        <w:tabs>
          <w:tab w:val="left" w:pos="624"/>
          <w:tab w:val="left" w:pos="2409"/>
          <w:tab w:val="left" w:pos="3515"/>
          <w:tab w:val="left" w:pos="4082"/>
        </w:tabs>
        <w:spacing w:after="120" w:line="400" w:lineRule="exact"/>
        <w:ind w:left="1134" w:firstLine="709"/>
        <w:jc w:val="both"/>
        <w:rPr>
          <w:rFonts w:ascii="Traditional Arabic" w:hAnsi="Traditional Arabic" w:cs="Traditional Arabic"/>
          <w:i/>
          <w:sz w:val="30"/>
          <w:szCs w:val="30"/>
          <w:rtl/>
          <w:lang w:val="x-none" w:eastAsia="zh-TW"/>
        </w:rPr>
      </w:pPr>
      <w:r w:rsidRPr="009F0CCB">
        <w:rPr>
          <w:rFonts w:ascii="Traditional Arabic" w:hAnsi="Traditional Arabic" w:cs="Traditional Arabic"/>
          <w:i/>
          <w:iCs/>
          <w:sz w:val="30"/>
          <w:szCs w:val="30"/>
          <w:rtl/>
          <w:lang w:val="en-GB" w:eastAsia="zh-TW"/>
        </w:rPr>
        <w:t>يكلف</w:t>
      </w:r>
      <w:r w:rsidRPr="009F0CCB">
        <w:rPr>
          <w:rFonts w:ascii="Traditional Arabic" w:hAnsi="Traditional Arabic" w:cs="Traditional Arabic"/>
          <w:sz w:val="30"/>
          <w:szCs w:val="30"/>
          <w:rtl/>
          <w:lang w:val="en-GB" w:eastAsia="zh-TW"/>
        </w:rPr>
        <w:t xml:space="preserve"> الفريق العامل المفتوح العضوية بأن يعتمد في اجتماعه الثاني عشر، الاختصاصات وبرنامج العمل نيابة عن مؤتمر الأطراف؛</w:t>
      </w:r>
      <w:bookmarkEnd w:id="0"/>
    </w:p>
    <w:p w14:paraId="760E06B5" w14:textId="77777777" w:rsidR="007C7675" w:rsidRPr="009F0CCB" w:rsidRDefault="007C7675" w:rsidP="007C7675">
      <w:pPr>
        <w:numPr>
          <w:ilvl w:val="0"/>
          <w:numId w:val="1"/>
        </w:numPr>
        <w:tabs>
          <w:tab w:val="left" w:pos="2409"/>
        </w:tabs>
        <w:spacing w:after="120" w:line="400" w:lineRule="exact"/>
        <w:ind w:left="1134" w:firstLine="709"/>
        <w:jc w:val="both"/>
        <w:rPr>
          <w:rFonts w:ascii="Traditional Arabic" w:eastAsia="Calibri" w:hAnsi="Traditional Arabic" w:cs="Traditional Arabic"/>
          <w:i/>
          <w:sz w:val="30"/>
          <w:szCs w:val="30"/>
          <w:rtl/>
          <w:lang w:val="en-GB" w:eastAsia="zh-TW"/>
        </w:rPr>
      </w:pPr>
      <w:r w:rsidRPr="009F0CCB">
        <w:rPr>
          <w:rFonts w:ascii="Traditional Arabic" w:eastAsia="Calibri" w:hAnsi="Traditional Arabic" w:cs="Traditional Arabic"/>
          <w:i/>
          <w:iCs/>
          <w:sz w:val="30"/>
          <w:szCs w:val="30"/>
          <w:rtl/>
          <w:lang w:val="en-GB" w:eastAsia="zh-TW"/>
        </w:rPr>
        <w:t>يطلب</w:t>
      </w:r>
      <w:r w:rsidRPr="009F0CCB">
        <w:rPr>
          <w:rFonts w:ascii="Traditional Arabic" w:eastAsia="Calibri" w:hAnsi="Traditional Arabic" w:cs="Traditional Arabic"/>
          <w:sz w:val="30"/>
          <w:szCs w:val="30"/>
          <w:rtl/>
          <w:lang w:val="en-GB" w:eastAsia="zh-TW"/>
        </w:rPr>
        <w:t xml:space="preserve"> إلى الفريق العامل التابع للشراكة الاضطلاع بالأنشطة في إطار برنامج العمل، بدءاً بالأنشطة التالية ذات الأولوية على النحو المبين في المرفق الثالث للوثيقة </w:t>
      </w:r>
      <w:r w:rsidRPr="009F0CCB">
        <w:rPr>
          <w:rFonts w:eastAsia="Calibri" w:cs="Arial"/>
          <w:sz w:val="20"/>
          <w:szCs w:val="20"/>
        </w:rPr>
        <w:t>UNEP/CHW.14/INF/30</w:t>
      </w:r>
      <w:r w:rsidRPr="009F0CCB">
        <w:rPr>
          <w:rFonts w:ascii="Traditional Arabic" w:eastAsia="Calibri" w:hAnsi="Traditional Arabic" w:cs="Traditional Arabic"/>
          <w:sz w:val="30"/>
          <w:szCs w:val="30"/>
          <w:rtl/>
          <w:lang w:val="en-GB" w:eastAsia="zh-TW"/>
        </w:rPr>
        <w:t>:</w:t>
      </w:r>
    </w:p>
    <w:p w14:paraId="1324487D" w14:textId="77777777" w:rsidR="007C7675" w:rsidRPr="009F0CCB" w:rsidRDefault="007C7675" w:rsidP="007C7675">
      <w:pPr>
        <w:tabs>
          <w:tab w:val="left" w:pos="2976"/>
        </w:tabs>
        <w:spacing w:after="120" w:line="400" w:lineRule="exact"/>
        <w:ind w:left="1134" w:firstLine="1275"/>
        <w:jc w:val="both"/>
        <w:rPr>
          <w:rFonts w:ascii="Traditional Arabic" w:hAnsi="Traditional Arabic" w:cs="Traditional Arabic"/>
          <w:sz w:val="30"/>
          <w:szCs w:val="30"/>
          <w:rtl/>
          <w:lang w:eastAsia="zh-TW"/>
        </w:rPr>
      </w:pPr>
      <w:r w:rsidRPr="009F0CCB">
        <w:rPr>
          <w:rFonts w:ascii="Traditional Arabic" w:hAnsi="Traditional Arabic" w:cs="Traditional Arabic"/>
          <w:sz w:val="30"/>
          <w:szCs w:val="30"/>
          <w:rtl/>
          <w:lang w:val="en-GB" w:eastAsia="zh-TW"/>
        </w:rPr>
        <w:t>(أ)</w:t>
      </w:r>
      <w:r w:rsidRPr="009F0CCB">
        <w:rPr>
          <w:rFonts w:ascii="Traditional Arabic" w:hAnsi="Traditional Arabic" w:cs="Traditional Arabic"/>
          <w:sz w:val="30"/>
          <w:szCs w:val="30"/>
          <w:rtl/>
          <w:lang w:val="en-GB" w:eastAsia="zh-TW"/>
        </w:rPr>
        <w:tab/>
        <w:t>ترجمة الوثائق التوجيهية الحالية إلى لغات إضافية؛</w:t>
      </w:r>
    </w:p>
    <w:p w14:paraId="71FDAB43" w14:textId="77777777" w:rsidR="007C7675" w:rsidRPr="009F0CCB" w:rsidRDefault="007C7675" w:rsidP="007C7675">
      <w:pPr>
        <w:tabs>
          <w:tab w:val="left" w:pos="2976"/>
        </w:tabs>
        <w:spacing w:after="120" w:line="400" w:lineRule="exact"/>
        <w:ind w:left="1134" w:firstLine="1275"/>
        <w:jc w:val="both"/>
        <w:rPr>
          <w:rFonts w:ascii="Traditional Arabic" w:hAnsi="Traditional Arabic" w:cs="Traditional Arabic"/>
          <w:sz w:val="30"/>
          <w:szCs w:val="30"/>
          <w:rtl/>
          <w:lang w:eastAsia="zh-TW"/>
        </w:rPr>
      </w:pPr>
      <w:r w:rsidRPr="009F0CCB">
        <w:rPr>
          <w:rFonts w:ascii="Traditional Arabic" w:hAnsi="Traditional Arabic" w:cs="Traditional Arabic"/>
          <w:sz w:val="30"/>
          <w:szCs w:val="30"/>
          <w:rtl/>
          <w:lang w:val="en-GB" w:eastAsia="zh-TW"/>
        </w:rPr>
        <w:t>(ب)</w:t>
      </w:r>
      <w:r w:rsidRPr="009F0CCB">
        <w:rPr>
          <w:rFonts w:ascii="Traditional Arabic" w:hAnsi="Traditional Arabic" w:cs="Traditional Arabic"/>
          <w:sz w:val="30"/>
          <w:szCs w:val="30"/>
          <w:rtl/>
          <w:lang w:val="en-GB" w:eastAsia="zh-TW"/>
        </w:rPr>
        <w:tab/>
        <w:t>أنشطة النشر؛</w:t>
      </w:r>
    </w:p>
    <w:p w14:paraId="2BA030F6" w14:textId="77777777" w:rsidR="007C7675" w:rsidRPr="009F0CCB" w:rsidRDefault="007C7675" w:rsidP="007C7675">
      <w:pPr>
        <w:tabs>
          <w:tab w:val="left" w:pos="2409"/>
          <w:tab w:val="left" w:pos="2976"/>
        </w:tabs>
        <w:spacing w:after="120" w:line="400" w:lineRule="exact"/>
        <w:ind w:left="1134" w:firstLine="1275"/>
        <w:jc w:val="both"/>
        <w:rPr>
          <w:rFonts w:ascii="Traditional Arabic" w:hAnsi="Traditional Arabic" w:cs="Traditional Arabic"/>
          <w:i/>
          <w:sz w:val="30"/>
          <w:szCs w:val="30"/>
          <w:rtl/>
          <w:lang w:eastAsia="zh-TW"/>
        </w:rPr>
      </w:pPr>
      <w:r w:rsidRPr="009F0CCB">
        <w:rPr>
          <w:rFonts w:ascii="Traditional Arabic" w:hAnsi="Traditional Arabic" w:cs="Traditional Arabic"/>
          <w:sz w:val="30"/>
          <w:szCs w:val="30"/>
          <w:rtl/>
          <w:lang w:val="en-GB" w:eastAsia="zh-TW"/>
        </w:rPr>
        <w:t>وتقديم تقرير عن التقدم الذي أحرزه إلى الفريق العامل المفتوح العضوية في اجتماعه الثاني عشر؛</w:t>
      </w:r>
    </w:p>
    <w:p w14:paraId="3B831E84" w14:textId="77777777" w:rsidR="007C7675" w:rsidRPr="009F0CCB" w:rsidRDefault="007C7675" w:rsidP="007C7675">
      <w:pPr>
        <w:numPr>
          <w:ilvl w:val="0"/>
          <w:numId w:val="1"/>
        </w:numPr>
        <w:tabs>
          <w:tab w:val="left" w:pos="2409"/>
          <w:tab w:val="left" w:pos="3515"/>
          <w:tab w:val="left" w:pos="4082"/>
        </w:tabs>
        <w:spacing w:after="120" w:line="400" w:lineRule="exact"/>
        <w:ind w:left="1134" w:firstLine="709"/>
        <w:jc w:val="both"/>
        <w:rPr>
          <w:rFonts w:ascii="Traditional Arabic" w:hAnsi="Traditional Arabic" w:cs="Traditional Arabic"/>
          <w:i/>
          <w:sz w:val="30"/>
          <w:szCs w:val="30"/>
          <w:rtl/>
          <w:lang w:val="x-none" w:eastAsia="zh-TW"/>
        </w:rPr>
      </w:pPr>
      <w:r w:rsidRPr="009F0CCB">
        <w:rPr>
          <w:rFonts w:ascii="Traditional Arabic" w:hAnsi="Traditional Arabic" w:cs="Traditional Arabic"/>
          <w:i/>
          <w:iCs/>
          <w:sz w:val="30"/>
          <w:szCs w:val="30"/>
          <w:rtl/>
          <w:lang w:val="en-GB" w:eastAsia="zh-TW"/>
        </w:rPr>
        <w:lastRenderedPageBreak/>
        <w:t>يطلب كذلك</w:t>
      </w:r>
      <w:r w:rsidRPr="009F0CCB">
        <w:rPr>
          <w:rFonts w:ascii="Traditional Arabic" w:hAnsi="Traditional Arabic" w:cs="Traditional Arabic"/>
          <w:sz w:val="30"/>
          <w:szCs w:val="30"/>
          <w:rtl/>
          <w:lang w:val="en-GB" w:eastAsia="zh-TW"/>
        </w:rPr>
        <w:t xml:space="preserve"> إلى الفريق العامل التابع للشراكة أن يعمد، حسب الاقتضاء، إلى التنسيق والتعاون على صعيد الأنشطة مع المنظمات والمبادرات الأخرى من أجل إحلال التآزر ومنع الازدواجية في العمل؛</w:t>
      </w:r>
    </w:p>
    <w:p w14:paraId="30367CEE" w14:textId="77777777" w:rsidR="007C7675" w:rsidRPr="009F0CCB" w:rsidRDefault="007C7675" w:rsidP="007C7675">
      <w:pPr>
        <w:numPr>
          <w:ilvl w:val="0"/>
          <w:numId w:val="1"/>
        </w:numPr>
        <w:tabs>
          <w:tab w:val="left" w:pos="624"/>
          <w:tab w:val="left" w:pos="2409"/>
          <w:tab w:val="left" w:pos="3515"/>
          <w:tab w:val="left" w:pos="4082"/>
        </w:tabs>
        <w:spacing w:after="120" w:line="400" w:lineRule="exact"/>
        <w:ind w:left="1134" w:firstLine="709"/>
        <w:jc w:val="both"/>
        <w:rPr>
          <w:rFonts w:ascii="Traditional Arabic" w:hAnsi="Traditional Arabic" w:cs="Traditional Arabic"/>
          <w:i/>
          <w:sz w:val="30"/>
          <w:szCs w:val="30"/>
          <w:rtl/>
          <w:lang w:val="x-none" w:eastAsia="zh-TW"/>
        </w:rPr>
      </w:pPr>
      <w:r w:rsidRPr="009F0CCB">
        <w:rPr>
          <w:rFonts w:ascii="Traditional Arabic" w:hAnsi="Traditional Arabic" w:cs="Traditional Arabic"/>
          <w:i/>
          <w:iCs/>
          <w:sz w:val="30"/>
          <w:szCs w:val="30"/>
          <w:rtl/>
          <w:lang w:val="en-GB" w:eastAsia="zh-TW"/>
        </w:rPr>
        <w:t>يطلب</w:t>
      </w:r>
      <w:r w:rsidRPr="009F0CCB">
        <w:rPr>
          <w:rFonts w:ascii="Traditional Arabic" w:hAnsi="Traditional Arabic" w:cs="Traditional Arabic"/>
          <w:sz w:val="30"/>
          <w:szCs w:val="30"/>
          <w:rtl/>
          <w:lang w:val="en-GB" w:eastAsia="zh-TW"/>
        </w:rPr>
        <w:t xml:space="preserve"> إلى الأمانة أن تيسر، رهناً بتوافر الموارد، عمل الشراكة وأن تقدم الخبرة لها، بما في ذلك جمع ونشر المعلومات عن الخطوات التي تتخذها الأطراف لتعزيز الإدارة السليمة بيئياً للنفايات الإلكترونية والكهربائية على الصعيد الوطني؛</w:t>
      </w:r>
    </w:p>
    <w:p w14:paraId="35637B2C" w14:textId="77777777" w:rsidR="007C7675" w:rsidRPr="009F0CCB" w:rsidRDefault="007C7675" w:rsidP="007C7675">
      <w:pPr>
        <w:numPr>
          <w:ilvl w:val="0"/>
          <w:numId w:val="1"/>
        </w:numPr>
        <w:tabs>
          <w:tab w:val="left" w:pos="624"/>
          <w:tab w:val="left" w:pos="2409"/>
          <w:tab w:val="left" w:pos="3515"/>
          <w:tab w:val="left" w:pos="4082"/>
        </w:tabs>
        <w:spacing w:after="120" w:line="400" w:lineRule="exact"/>
        <w:ind w:left="1134" w:firstLine="709"/>
        <w:jc w:val="both"/>
        <w:rPr>
          <w:rFonts w:ascii="Traditional Arabic" w:hAnsi="Traditional Arabic" w:cs="Traditional Arabic"/>
          <w:sz w:val="30"/>
          <w:szCs w:val="30"/>
          <w:rtl/>
          <w:lang w:val="x-none" w:eastAsia="zh-TW"/>
        </w:rPr>
      </w:pPr>
      <w:r w:rsidRPr="009F0CCB">
        <w:rPr>
          <w:rFonts w:ascii="Traditional Arabic" w:hAnsi="Traditional Arabic" w:cs="Traditional Arabic"/>
          <w:i/>
          <w:iCs/>
          <w:sz w:val="30"/>
          <w:szCs w:val="30"/>
          <w:rtl/>
          <w:lang w:val="en-GB" w:eastAsia="zh-TW"/>
        </w:rPr>
        <w:t>يشجع</w:t>
      </w:r>
      <w:r w:rsidRPr="009F0CCB">
        <w:rPr>
          <w:rFonts w:ascii="Traditional Arabic" w:hAnsi="Traditional Arabic" w:cs="Traditional Arabic"/>
          <w:sz w:val="30"/>
          <w:szCs w:val="30"/>
          <w:rtl/>
          <w:lang w:val="en-GB" w:eastAsia="zh-TW"/>
        </w:rPr>
        <w:t xml:space="preserve"> الأطراف والموقعين على الاتفاقية وأعضاء الصناعة والمنظمات الدولية الحكومية وغير الحكومية على المشاركة بنشاط في الشراكة وتقديم مساهمات مالية أو عينية، أو كليهما، على أن تراعي أيضاً الترتيبات المالية في الاختصاصات، وذلك من أجل ما يلي:</w:t>
      </w:r>
    </w:p>
    <w:p w14:paraId="4479101D" w14:textId="77777777" w:rsidR="007C7675" w:rsidRPr="009F0CCB" w:rsidRDefault="007C7675" w:rsidP="007C7675">
      <w:pPr>
        <w:tabs>
          <w:tab w:val="left" w:pos="2976"/>
        </w:tabs>
        <w:spacing w:after="120" w:line="400" w:lineRule="exact"/>
        <w:ind w:left="1134" w:firstLine="1275"/>
        <w:jc w:val="both"/>
        <w:rPr>
          <w:rFonts w:ascii="Traditional Arabic" w:hAnsi="Traditional Arabic" w:cs="Traditional Arabic"/>
          <w:sz w:val="30"/>
          <w:szCs w:val="30"/>
          <w:rtl/>
          <w:lang w:eastAsia="zh-TW"/>
        </w:rPr>
      </w:pPr>
      <w:r w:rsidRPr="009F0CCB">
        <w:rPr>
          <w:rFonts w:ascii="Traditional Arabic" w:hAnsi="Traditional Arabic" w:cs="Traditional Arabic"/>
          <w:sz w:val="30"/>
          <w:szCs w:val="30"/>
          <w:rtl/>
          <w:lang w:val="en-GB" w:eastAsia="zh-TW"/>
        </w:rPr>
        <w:t>(أ)</w:t>
      </w:r>
      <w:r w:rsidRPr="009F0CCB">
        <w:rPr>
          <w:rFonts w:ascii="Traditional Arabic" w:hAnsi="Traditional Arabic" w:cs="Traditional Arabic"/>
          <w:sz w:val="30"/>
          <w:szCs w:val="30"/>
          <w:rtl/>
          <w:lang w:val="en-GB" w:eastAsia="zh-TW"/>
        </w:rPr>
        <w:tab/>
        <w:t>تيسير مشاركة البلدان النامية والبلدان التي تمر اقتصاداتها بمرحلة انتقالية، فضلاً عن المراكز الإقليمية والتنسيقية لاتفاقية بازل والمراكز الإقليمية ودون الإقليمية لاتفاقية استكهولم في الشراكة؛</w:t>
      </w:r>
    </w:p>
    <w:p w14:paraId="736C0D29" w14:textId="77777777" w:rsidR="007C7675" w:rsidRPr="009F0CCB" w:rsidRDefault="007C7675" w:rsidP="007C7675">
      <w:pPr>
        <w:tabs>
          <w:tab w:val="left" w:pos="2976"/>
        </w:tabs>
        <w:spacing w:after="120" w:line="400" w:lineRule="exact"/>
        <w:ind w:left="1134" w:firstLine="1275"/>
        <w:rPr>
          <w:rFonts w:ascii="Traditional Arabic" w:hAnsi="Traditional Arabic" w:cs="Traditional Arabic"/>
          <w:sz w:val="30"/>
          <w:szCs w:val="30"/>
          <w:rtl/>
          <w:lang w:eastAsia="zh-TW"/>
        </w:rPr>
      </w:pPr>
      <w:r w:rsidRPr="009F0CCB">
        <w:rPr>
          <w:rFonts w:ascii="Traditional Arabic" w:hAnsi="Traditional Arabic" w:cs="Traditional Arabic"/>
          <w:sz w:val="30"/>
          <w:szCs w:val="30"/>
          <w:rtl/>
          <w:lang w:val="en-GB" w:eastAsia="zh-TW"/>
        </w:rPr>
        <w:t>(ب)</w:t>
      </w:r>
      <w:r w:rsidRPr="009F0CCB">
        <w:rPr>
          <w:rFonts w:ascii="Traditional Arabic" w:hAnsi="Traditional Arabic" w:cs="Traditional Arabic"/>
          <w:sz w:val="30"/>
          <w:szCs w:val="30"/>
          <w:rtl/>
          <w:lang w:val="en-GB" w:eastAsia="zh-TW"/>
        </w:rPr>
        <w:tab/>
        <w:t>تيسير وضع أدوات وتنفيذ الأنشطة؛</w:t>
      </w:r>
    </w:p>
    <w:p w14:paraId="1341DBED" w14:textId="77777777" w:rsidR="007C7675" w:rsidRPr="006C7D44" w:rsidRDefault="007C7675" w:rsidP="007C7675">
      <w:pPr>
        <w:pStyle w:val="ListParagraph"/>
        <w:numPr>
          <w:ilvl w:val="0"/>
          <w:numId w:val="1"/>
        </w:numPr>
        <w:tabs>
          <w:tab w:val="left" w:pos="2409"/>
        </w:tabs>
        <w:bidi/>
        <w:spacing w:after="120" w:line="400" w:lineRule="exact"/>
        <w:ind w:left="1133" w:firstLine="709"/>
        <w:contextualSpacing w:val="0"/>
        <w:rPr>
          <w:rFonts w:ascii="Traditional Arabic" w:hAnsi="Traditional Arabic" w:cs="Traditional Arabic"/>
          <w:sz w:val="30"/>
          <w:szCs w:val="30"/>
          <w:rtl/>
          <w:lang w:val="en-GB" w:eastAsia="zh-TW"/>
        </w:rPr>
      </w:pPr>
      <w:r w:rsidRPr="009D273E">
        <w:rPr>
          <w:rFonts w:ascii="Traditional Arabic" w:hAnsi="Traditional Arabic" w:cs="Traditional Arabic"/>
          <w:i/>
          <w:iCs/>
          <w:sz w:val="30"/>
          <w:szCs w:val="30"/>
          <w:rtl/>
          <w:lang w:val="en-GB" w:eastAsia="zh-TW"/>
        </w:rPr>
        <w:t>يطلب</w:t>
      </w:r>
      <w:r w:rsidRPr="009D273E">
        <w:rPr>
          <w:rFonts w:ascii="Traditional Arabic" w:hAnsi="Traditional Arabic" w:cs="Traditional Arabic"/>
          <w:sz w:val="30"/>
          <w:szCs w:val="30"/>
          <w:rtl/>
          <w:lang w:val="en-GB" w:eastAsia="zh-TW"/>
        </w:rPr>
        <w:t xml:space="preserve"> إلى الفريق العامل المفتوح العضوية أن يقدم</w:t>
      </w:r>
      <w:r w:rsidRPr="009D273E">
        <w:rPr>
          <w:rFonts w:ascii="Traditional Arabic" w:hAnsi="Traditional Arabic" w:cs="Traditional Arabic"/>
          <w:i/>
          <w:iCs/>
          <w:sz w:val="30"/>
          <w:szCs w:val="30"/>
          <w:rtl/>
          <w:lang w:val="en-GB" w:eastAsia="zh-TW"/>
        </w:rPr>
        <w:t xml:space="preserve">  </w:t>
      </w:r>
      <w:r w:rsidRPr="006C7D44">
        <w:rPr>
          <w:rFonts w:ascii="Traditional Arabic" w:hAnsi="Traditional Arabic" w:cs="Traditional Arabic"/>
          <w:sz w:val="30"/>
          <w:szCs w:val="30"/>
          <w:rtl/>
          <w:lang w:val="en-GB" w:eastAsia="zh-TW"/>
        </w:rPr>
        <w:t>تقريراً إلى مؤتمر الأطراف في اجتماعه الخامس عشر عن تنفيذ الفقرة ٨ من هذا المقرر</w:t>
      </w:r>
      <w:r>
        <w:rPr>
          <w:rFonts w:ascii="Traditional Arabic" w:hAnsi="Traditional Arabic" w:cs="Traditional Arabic"/>
          <w:sz w:val="30"/>
          <w:szCs w:val="30"/>
          <w:rtl/>
          <w:lang w:val="en-GB" w:eastAsia="zh-TW"/>
        </w:rPr>
        <w:t>؛</w:t>
      </w:r>
    </w:p>
    <w:p w14:paraId="609EDAA7" w14:textId="77777777" w:rsidR="007C7675" w:rsidRPr="00C97227" w:rsidRDefault="007C7675" w:rsidP="007C7675">
      <w:pPr>
        <w:spacing w:after="120" w:line="400" w:lineRule="exact"/>
        <w:ind w:left="1133"/>
        <w:jc w:val="center"/>
        <w:textDirection w:val="tbRlV"/>
        <w:rPr>
          <w:rFonts w:cs="Traditional Arabic"/>
          <w:b/>
          <w:bCs/>
          <w:sz w:val="32"/>
          <w:szCs w:val="32"/>
          <w:rtl/>
          <w:lang w:val="en-GB" w:eastAsia="zh-TW"/>
        </w:rPr>
      </w:pPr>
      <w:r w:rsidRPr="00C97227">
        <w:rPr>
          <w:rFonts w:cs="Traditional Arabic"/>
          <w:b/>
          <w:bCs/>
          <w:sz w:val="32"/>
          <w:szCs w:val="32"/>
          <w:rtl/>
          <w:lang w:val="en-GB" w:eastAsia="zh-TW"/>
        </w:rPr>
        <w:t>ثانياً</w:t>
      </w:r>
    </w:p>
    <w:p w14:paraId="4937246A" w14:textId="77777777" w:rsidR="007C7675" w:rsidRPr="00C97227" w:rsidRDefault="007C7675" w:rsidP="007C7675">
      <w:pPr>
        <w:spacing w:after="120" w:line="400" w:lineRule="exact"/>
        <w:ind w:left="1133"/>
        <w:jc w:val="center"/>
        <w:textDirection w:val="tbRlV"/>
        <w:rPr>
          <w:rFonts w:cs="Traditional Arabic"/>
          <w:b/>
          <w:bCs/>
          <w:sz w:val="22"/>
          <w:szCs w:val="30"/>
          <w:rtl/>
          <w:lang w:val="en-GB" w:eastAsia="zh-TW"/>
        </w:rPr>
      </w:pPr>
      <w:r w:rsidRPr="00C97227">
        <w:rPr>
          <w:rFonts w:cs="Traditional Arabic"/>
          <w:b/>
          <w:bCs/>
          <w:sz w:val="32"/>
          <w:szCs w:val="32"/>
          <w:rtl/>
          <w:lang w:val="en-GB" w:eastAsia="zh-TW"/>
        </w:rPr>
        <w:t>الشبكة البيئية لترشيد الامتثال التنظيمي بشأن الاتجار غير المشروع</w:t>
      </w:r>
    </w:p>
    <w:p w14:paraId="637CD7FD" w14:textId="77777777" w:rsidR="007C7675" w:rsidRPr="00C97227" w:rsidRDefault="007C7675" w:rsidP="007C7675">
      <w:pPr>
        <w:numPr>
          <w:ilvl w:val="0"/>
          <w:numId w:val="1"/>
        </w:numPr>
        <w:tabs>
          <w:tab w:val="left" w:pos="2409"/>
        </w:tabs>
        <w:spacing w:after="120" w:line="400" w:lineRule="exact"/>
        <w:ind w:left="1133" w:firstLine="709"/>
        <w:jc w:val="both"/>
        <w:textDirection w:val="tbRlV"/>
        <w:rPr>
          <w:rFonts w:cs="Traditional Arabic"/>
          <w:sz w:val="22"/>
          <w:szCs w:val="30"/>
          <w:rtl/>
          <w:lang w:val="en-GB" w:eastAsia="zh-TW"/>
        </w:rPr>
      </w:pPr>
      <w:r w:rsidRPr="00C97227">
        <w:rPr>
          <w:rFonts w:cs="Traditional Arabic"/>
          <w:i/>
          <w:iCs/>
          <w:sz w:val="22"/>
          <w:szCs w:val="30"/>
          <w:rtl/>
          <w:lang w:val="en-GB" w:eastAsia="zh-TW"/>
        </w:rPr>
        <w:t>يحيط علماً</w:t>
      </w:r>
      <w:r w:rsidRPr="00C97227">
        <w:rPr>
          <w:rFonts w:cs="Traditional Arabic"/>
          <w:sz w:val="22"/>
          <w:szCs w:val="30"/>
          <w:rtl/>
          <w:lang w:val="en-GB" w:eastAsia="zh-TW"/>
        </w:rPr>
        <w:t xml:space="preserve"> بالتقرير المرحلي للشبكة البيئية لترشيد الامتثال التنظيمي بشأن الاتجار غير المشروع</w:t>
      </w:r>
      <w:r w:rsidRPr="00C97227">
        <w:rPr>
          <w:rFonts w:cs="Traditional Arabic"/>
          <w:sz w:val="20"/>
          <w:szCs w:val="30"/>
          <w:vertAlign w:val="superscript"/>
          <w:rtl/>
          <w:lang w:val="en-GB"/>
        </w:rPr>
        <w:t>(</w:t>
      </w:r>
      <w:r w:rsidRPr="00C97227">
        <w:rPr>
          <w:rFonts w:cs="Traditional Arabic"/>
          <w:sz w:val="20"/>
          <w:szCs w:val="30"/>
          <w:vertAlign w:val="superscript"/>
          <w:rtl/>
          <w:lang w:val="en-GB"/>
        </w:rPr>
        <w:footnoteReference w:id="3"/>
      </w:r>
      <w:r w:rsidRPr="00C97227">
        <w:rPr>
          <w:rFonts w:cs="Traditional Arabic"/>
          <w:sz w:val="20"/>
          <w:szCs w:val="30"/>
          <w:vertAlign w:val="superscript"/>
          <w:rtl/>
          <w:lang w:val="en-GB"/>
        </w:rPr>
        <w:t>)</w:t>
      </w:r>
      <w:r w:rsidRPr="00C97227">
        <w:rPr>
          <w:rFonts w:cs="Traditional Arabic"/>
          <w:sz w:val="22"/>
          <w:szCs w:val="30"/>
          <w:rtl/>
          <w:lang w:val="en-GB" w:eastAsia="zh-TW"/>
        </w:rPr>
        <w:t>، ويقر بالتقدم الذي أحرزته الشبكة منذ الاجتماع الثالث عشر لمؤتمر الأطراف؛</w:t>
      </w:r>
    </w:p>
    <w:p w14:paraId="4776EAD0" w14:textId="77777777" w:rsidR="007C7675" w:rsidRPr="00C97227" w:rsidRDefault="007C7675" w:rsidP="007C7675">
      <w:pPr>
        <w:numPr>
          <w:ilvl w:val="0"/>
          <w:numId w:val="1"/>
        </w:numPr>
        <w:tabs>
          <w:tab w:val="left" w:pos="2409"/>
        </w:tabs>
        <w:spacing w:after="120" w:line="400" w:lineRule="exact"/>
        <w:ind w:left="1133" w:firstLine="709"/>
        <w:jc w:val="both"/>
        <w:textDirection w:val="tbRlV"/>
        <w:rPr>
          <w:rFonts w:cs="Traditional Arabic"/>
          <w:sz w:val="22"/>
          <w:szCs w:val="30"/>
          <w:rtl/>
          <w:lang w:val="en-GB" w:eastAsia="zh-TW"/>
        </w:rPr>
      </w:pPr>
      <w:r w:rsidRPr="00C97227">
        <w:rPr>
          <w:rFonts w:cs="Traditional Arabic"/>
          <w:i/>
          <w:iCs/>
          <w:sz w:val="22"/>
          <w:szCs w:val="30"/>
          <w:rtl/>
          <w:lang w:val="en-GB" w:eastAsia="zh-TW"/>
        </w:rPr>
        <w:t>يشجع</w:t>
      </w:r>
      <w:r w:rsidRPr="00C97227">
        <w:rPr>
          <w:rFonts w:cs="Traditional Arabic"/>
          <w:sz w:val="22"/>
          <w:szCs w:val="30"/>
          <w:rtl/>
          <w:lang w:val="en-GB" w:eastAsia="zh-TW"/>
        </w:rPr>
        <w:t xml:space="preserve"> أعضاء الشبكة على مواصلة التعاون من خلال تبادل الخبرات، وتقديم المعلومات ذات الصلة وتنفيذ أنشطة بناء القدرات لمنع الاتجار غير المشروع ومحاربته؛</w:t>
      </w:r>
    </w:p>
    <w:p w14:paraId="381B089A" w14:textId="77777777" w:rsidR="007C7675" w:rsidRPr="00C97227" w:rsidRDefault="007C7675" w:rsidP="007C7675">
      <w:pPr>
        <w:numPr>
          <w:ilvl w:val="0"/>
          <w:numId w:val="1"/>
        </w:numPr>
        <w:tabs>
          <w:tab w:val="left" w:pos="2409"/>
        </w:tabs>
        <w:spacing w:after="120" w:line="400" w:lineRule="exact"/>
        <w:ind w:left="1133" w:firstLine="709"/>
        <w:jc w:val="both"/>
        <w:textDirection w:val="tbRlV"/>
        <w:rPr>
          <w:rFonts w:cs="Traditional Arabic"/>
          <w:sz w:val="22"/>
          <w:szCs w:val="30"/>
          <w:rtl/>
          <w:lang w:val="en-GB" w:eastAsia="zh-TW"/>
        </w:rPr>
      </w:pPr>
      <w:r w:rsidRPr="00C97227">
        <w:rPr>
          <w:rFonts w:cs="Traditional Arabic"/>
          <w:i/>
          <w:iCs/>
          <w:sz w:val="22"/>
          <w:szCs w:val="30"/>
          <w:rtl/>
          <w:lang w:val="en-GB" w:eastAsia="zh-TW"/>
        </w:rPr>
        <w:t>يدعو</w:t>
      </w:r>
      <w:r w:rsidRPr="00C97227">
        <w:rPr>
          <w:rFonts w:cs="Traditional Arabic"/>
          <w:sz w:val="22"/>
          <w:szCs w:val="30"/>
          <w:rtl/>
          <w:lang w:val="en-GB" w:eastAsia="zh-TW"/>
        </w:rPr>
        <w:t xml:space="preserve"> المنظمة الدولية للشرطة الجنائية، ومنظمة الجمارك العالمية، ومكتب الأمم المتحدة المعني بالمخدرات والجريمة إلى النظر في الانضمام إلى الشبكة كأعضاء، ويدعو الكيانات الأخرى التي لها ولاية محددة تتعلق بإنجاز أنشطة بناء القدرات من أجل التنفيذ والإنفاذ والتي يمكن أن تساعد الأطراف في اتفاقية بازل في منع ومكافحة الاتجار غير </w:t>
      </w:r>
      <w:r>
        <w:rPr>
          <w:rFonts w:cs="Traditional Arabic"/>
          <w:sz w:val="22"/>
          <w:szCs w:val="30"/>
          <w:rtl/>
          <w:lang w:val="en-GB" w:eastAsia="zh-TW"/>
        </w:rPr>
        <w:t>القانوني</w:t>
      </w:r>
      <w:r w:rsidRPr="00C97227">
        <w:rPr>
          <w:rFonts w:cs="Traditional Arabic"/>
          <w:sz w:val="22"/>
          <w:szCs w:val="30"/>
          <w:rtl/>
          <w:lang w:val="en-GB" w:eastAsia="zh-TW"/>
        </w:rPr>
        <w:t xml:space="preserve"> بالنفايات الخطرة والنفايات الأخرى، إلى أن تنظر في إرسال طلب، يشتمل على دوافع على النحو الواجب، إلى رئيس الشبكة بشأن قبولها كأعضاء في الشبكة؛</w:t>
      </w:r>
    </w:p>
    <w:p w14:paraId="0025CA06" w14:textId="77777777" w:rsidR="007C7675" w:rsidRPr="00C97227" w:rsidRDefault="007C7675" w:rsidP="007C7675">
      <w:pPr>
        <w:numPr>
          <w:ilvl w:val="0"/>
          <w:numId w:val="1"/>
        </w:numPr>
        <w:tabs>
          <w:tab w:val="left" w:pos="2409"/>
        </w:tabs>
        <w:spacing w:after="120" w:line="400" w:lineRule="exact"/>
        <w:ind w:left="1133" w:firstLine="709"/>
        <w:jc w:val="both"/>
        <w:textDirection w:val="tbRlV"/>
        <w:rPr>
          <w:rFonts w:cs="Traditional Arabic"/>
          <w:sz w:val="22"/>
          <w:szCs w:val="30"/>
          <w:rtl/>
          <w:lang w:val="en-GB" w:eastAsia="zh-TW"/>
        </w:rPr>
      </w:pPr>
      <w:r w:rsidRPr="00C97227">
        <w:rPr>
          <w:rFonts w:cs="Traditional Arabic"/>
          <w:i/>
          <w:iCs/>
          <w:sz w:val="22"/>
          <w:szCs w:val="30"/>
          <w:rtl/>
          <w:lang w:val="en-GB" w:eastAsia="zh-TW"/>
        </w:rPr>
        <w:t>يختار</w:t>
      </w:r>
      <w:r w:rsidRPr="00C97227">
        <w:rPr>
          <w:rFonts w:cs="Traditional Arabic"/>
          <w:sz w:val="22"/>
          <w:szCs w:val="30"/>
          <w:rtl/>
          <w:lang w:val="en-GB" w:eastAsia="zh-TW"/>
        </w:rPr>
        <w:t xml:space="preserve"> الممثلين التالين لخمسة أطراف في اتفاقية بازل لكي يعملوا أعضاءً في الشبكة إلى حين انعقاد الاجتماع الخامس عشر لمؤتمر الأطراف:</w:t>
      </w:r>
    </w:p>
    <w:p w14:paraId="44C405FF" w14:textId="77777777" w:rsidR="007C7675" w:rsidRPr="00C97227" w:rsidRDefault="007C7675" w:rsidP="007C7675">
      <w:pPr>
        <w:tabs>
          <w:tab w:val="left" w:pos="2975"/>
        </w:tabs>
        <w:spacing w:after="120" w:line="400" w:lineRule="exact"/>
        <w:ind w:left="1133" w:firstLine="1276"/>
        <w:jc w:val="both"/>
        <w:textDirection w:val="tbRlV"/>
        <w:rPr>
          <w:rFonts w:cs="Traditional Arabic"/>
          <w:sz w:val="22"/>
          <w:szCs w:val="30"/>
          <w:rtl/>
          <w:lang w:val="en-GB" w:eastAsia="zh-TW"/>
        </w:rPr>
      </w:pPr>
      <w:r w:rsidRPr="00590838">
        <w:rPr>
          <w:rFonts w:cs="Traditional Arabic"/>
          <w:b/>
          <w:bCs/>
          <w:sz w:val="22"/>
          <w:szCs w:val="30"/>
          <w:rtl/>
          <w:lang w:val="en-GB" w:eastAsia="zh-TW"/>
        </w:rPr>
        <w:lastRenderedPageBreak/>
        <w:t>الدول الأفريقية:</w:t>
      </w:r>
      <w:r w:rsidRPr="00C97227">
        <w:rPr>
          <w:rFonts w:cs="Traditional Arabic"/>
          <w:sz w:val="22"/>
          <w:szCs w:val="30"/>
          <w:rtl/>
          <w:lang w:val="en-GB" w:eastAsia="zh-TW"/>
        </w:rPr>
        <w:t xml:space="preserve"> </w:t>
      </w:r>
      <w:r>
        <w:rPr>
          <w:rFonts w:cs="Traditional Arabic"/>
          <w:sz w:val="22"/>
          <w:szCs w:val="30"/>
          <w:rtl/>
          <w:lang w:val="en-GB" w:eastAsia="zh-TW"/>
        </w:rPr>
        <w:t>السيدة ماريان بولشيري سيسيتو دونوماسو سيميون (بنن)</w:t>
      </w:r>
    </w:p>
    <w:p w14:paraId="2F26DBDC" w14:textId="77777777" w:rsidR="007C7675" w:rsidRPr="00C97227" w:rsidRDefault="007C7675" w:rsidP="007C7675">
      <w:pPr>
        <w:tabs>
          <w:tab w:val="left" w:pos="2975"/>
        </w:tabs>
        <w:spacing w:after="120" w:line="400" w:lineRule="exact"/>
        <w:ind w:left="1133" w:firstLine="1276"/>
        <w:jc w:val="both"/>
        <w:textDirection w:val="tbRlV"/>
        <w:rPr>
          <w:rFonts w:cs="Traditional Arabic"/>
          <w:sz w:val="22"/>
          <w:szCs w:val="30"/>
          <w:rtl/>
          <w:lang w:val="en-GB" w:eastAsia="zh-TW"/>
        </w:rPr>
      </w:pPr>
      <w:r w:rsidRPr="00590838">
        <w:rPr>
          <w:rFonts w:cs="Traditional Arabic"/>
          <w:b/>
          <w:bCs/>
          <w:sz w:val="22"/>
          <w:szCs w:val="30"/>
          <w:rtl/>
          <w:lang w:val="en-GB" w:eastAsia="zh-TW"/>
        </w:rPr>
        <w:t>دول آسيا والمحيط الهادئ:</w:t>
      </w:r>
      <w:r w:rsidRPr="00C97227">
        <w:rPr>
          <w:rFonts w:cs="Traditional Arabic"/>
          <w:sz w:val="22"/>
          <w:szCs w:val="30"/>
          <w:rtl/>
          <w:lang w:val="en-GB" w:eastAsia="zh-TW"/>
        </w:rPr>
        <w:t xml:space="preserve"> </w:t>
      </w:r>
      <w:r>
        <w:rPr>
          <w:rFonts w:cs="Traditional Arabic"/>
          <w:sz w:val="22"/>
          <w:szCs w:val="30"/>
          <w:rtl/>
          <w:lang w:val="en-GB" w:eastAsia="zh-TW"/>
        </w:rPr>
        <w:t>السيد مظهر حياة (باكستان)</w:t>
      </w:r>
    </w:p>
    <w:p w14:paraId="00CD4F15" w14:textId="77777777" w:rsidR="007C7675" w:rsidRDefault="007C7675" w:rsidP="007C7675">
      <w:pPr>
        <w:tabs>
          <w:tab w:val="left" w:pos="2975"/>
        </w:tabs>
        <w:spacing w:after="120" w:line="400" w:lineRule="exact"/>
        <w:ind w:left="1133" w:firstLine="1276"/>
        <w:jc w:val="both"/>
        <w:textDirection w:val="tbRlV"/>
        <w:rPr>
          <w:rFonts w:cs="Traditional Arabic"/>
          <w:sz w:val="22"/>
          <w:szCs w:val="30"/>
          <w:rtl/>
          <w:lang w:val="en-GB" w:eastAsia="zh-TW"/>
        </w:rPr>
      </w:pPr>
      <w:r w:rsidRPr="00590838">
        <w:rPr>
          <w:rFonts w:cs="Traditional Arabic"/>
          <w:b/>
          <w:bCs/>
          <w:sz w:val="22"/>
          <w:szCs w:val="30"/>
          <w:rtl/>
          <w:lang w:val="en-GB" w:eastAsia="zh-TW"/>
        </w:rPr>
        <w:t>دول أوروبا الوسطى والشرقية:</w:t>
      </w:r>
      <w:r w:rsidRPr="00C97227">
        <w:rPr>
          <w:rFonts w:cs="Traditional Arabic"/>
          <w:sz w:val="22"/>
          <w:szCs w:val="30"/>
          <w:rtl/>
          <w:lang w:val="en-GB" w:eastAsia="zh-TW"/>
        </w:rPr>
        <w:t xml:space="preserve"> </w:t>
      </w:r>
      <w:r>
        <w:rPr>
          <w:rFonts w:cs="Traditional Arabic"/>
          <w:sz w:val="22"/>
          <w:szCs w:val="30"/>
          <w:rtl/>
          <w:lang w:val="en-GB" w:eastAsia="zh-TW"/>
        </w:rPr>
        <w:t>السيد فلورين-كوستانتين هوموريان (رومانيا)</w:t>
      </w:r>
    </w:p>
    <w:p w14:paraId="5F5F8908" w14:textId="77777777" w:rsidR="007C7675" w:rsidRPr="00C97227" w:rsidRDefault="007C7675" w:rsidP="007C7675">
      <w:pPr>
        <w:tabs>
          <w:tab w:val="left" w:pos="2975"/>
        </w:tabs>
        <w:spacing w:after="120" w:line="400" w:lineRule="exact"/>
        <w:ind w:left="1133" w:firstLine="1276"/>
        <w:jc w:val="both"/>
        <w:textDirection w:val="tbRlV"/>
        <w:rPr>
          <w:rFonts w:cs="Traditional Arabic"/>
          <w:sz w:val="22"/>
          <w:szCs w:val="30"/>
          <w:rtl/>
          <w:lang w:val="en-GB" w:eastAsia="zh-TW"/>
        </w:rPr>
      </w:pPr>
      <w:r w:rsidRPr="00590838">
        <w:rPr>
          <w:rFonts w:cs="Traditional Arabic"/>
          <w:b/>
          <w:bCs/>
          <w:sz w:val="22"/>
          <w:szCs w:val="30"/>
          <w:rtl/>
          <w:lang w:val="en-GB" w:eastAsia="zh-TW"/>
        </w:rPr>
        <w:t>دول أمريكا اللاتينية والبحر الكاريبي:</w:t>
      </w:r>
      <w:r w:rsidRPr="00C97227">
        <w:rPr>
          <w:rFonts w:cs="Traditional Arabic"/>
          <w:sz w:val="22"/>
          <w:szCs w:val="30"/>
          <w:rtl/>
          <w:lang w:val="en-GB" w:eastAsia="zh-TW"/>
        </w:rPr>
        <w:t xml:space="preserve"> </w:t>
      </w:r>
      <w:r>
        <w:rPr>
          <w:rFonts w:cs="Traditional Arabic"/>
          <w:sz w:val="22"/>
          <w:szCs w:val="30"/>
          <w:rtl/>
          <w:lang w:val="en-GB" w:eastAsia="zh-TW"/>
        </w:rPr>
        <w:t>السيدة ليلى ديفيا (الأرجنتين)</w:t>
      </w:r>
    </w:p>
    <w:p w14:paraId="6F18DEC8" w14:textId="77777777" w:rsidR="007C7675" w:rsidRPr="002C6FEB" w:rsidRDefault="007C7675" w:rsidP="007C7675">
      <w:pPr>
        <w:tabs>
          <w:tab w:val="left" w:pos="2975"/>
        </w:tabs>
        <w:spacing w:after="120" w:line="400" w:lineRule="exact"/>
        <w:ind w:left="2409"/>
        <w:jc w:val="both"/>
        <w:textDirection w:val="tbRlV"/>
        <w:rPr>
          <w:rFonts w:cs="Traditional Arabic"/>
          <w:w w:val="93"/>
          <w:sz w:val="22"/>
          <w:szCs w:val="30"/>
          <w:rtl/>
          <w:lang w:val="en-GB" w:eastAsia="zh-TW"/>
        </w:rPr>
      </w:pPr>
      <w:r w:rsidRPr="002C6FEB">
        <w:rPr>
          <w:rFonts w:cs="Traditional Arabic"/>
          <w:b/>
          <w:bCs/>
          <w:w w:val="93"/>
          <w:sz w:val="22"/>
          <w:szCs w:val="30"/>
          <w:rtl/>
          <w:lang w:val="en-GB" w:eastAsia="zh-TW"/>
        </w:rPr>
        <w:t>دول أوروبا الغربية ودول أخرى:</w:t>
      </w:r>
      <w:r w:rsidRPr="002C6FEB">
        <w:rPr>
          <w:rFonts w:cs="Traditional Arabic"/>
          <w:w w:val="93"/>
          <w:sz w:val="22"/>
          <w:szCs w:val="30"/>
          <w:rtl/>
          <w:lang w:val="en-GB" w:eastAsia="zh-TW"/>
        </w:rPr>
        <w:t xml:space="preserve"> السيدة كاتي أولاي (المملكة المتحدة لبريطانيا العظمى وأيرلندا الشمالية)</w:t>
      </w:r>
    </w:p>
    <w:p w14:paraId="28279306" w14:textId="77777777" w:rsidR="007C7675" w:rsidRPr="00C97227" w:rsidRDefault="007C7675" w:rsidP="007C7675">
      <w:pPr>
        <w:numPr>
          <w:ilvl w:val="0"/>
          <w:numId w:val="1"/>
        </w:numPr>
        <w:tabs>
          <w:tab w:val="left" w:pos="2409"/>
        </w:tabs>
        <w:spacing w:after="120" w:line="400" w:lineRule="exact"/>
        <w:ind w:left="1133" w:firstLine="709"/>
        <w:jc w:val="both"/>
        <w:textDirection w:val="tbRlV"/>
        <w:rPr>
          <w:rFonts w:cs="Traditional Arabic"/>
          <w:sz w:val="22"/>
          <w:szCs w:val="30"/>
          <w:rtl/>
          <w:lang w:val="en-GB" w:eastAsia="zh-TW"/>
        </w:rPr>
      </w:pPr>
      <w:r w:rsidRPr="00C97227">
        <w:rPr>
          <w:rFonts w:cs="Traditional Arabic"/>
          <w:i/>
          <w:iCs/>
          <w:sz w:val="22"/>
          <w:szCs w:val="30"/>
          <w:rtl/>
          <w:lang w:val="en-GB" w:eastAsia="zh-TW"/>
        </w:rPr>
        <w:t>يختار</w:t>
      </w:r>
      <w:r w:rsidRPr="00C97227">
        <w:rPr>
          <w:rFonts w:cs="Traditional Arabic"/>
          <w:sz w:val="22"/>
          <w:szCs w:val="30"/>
          <w:rtl/>
          <w:lang w:val="en-GB" w:eastAsia="zh-TW"/>
        </w:rPr>
        <w:t xml:space="preserve"> الممثلين الأربعة التالين للمراكز الإقليمية والتنسيقية التابعة لاتفاقية بازل لكي يعملوا أعضاءً في الشبكة إلى حين انعقاد الاجتماع الخامس عشر لمؤتمر الأطراف:</w:t>
      </w:r>
    </w:p>
    <w:p w14:paraId="1140041B" w14:textId="77777777" w:rsidR="007C7675" w:rsidRPr="00C97227" w:rsidRDefault="007C7675" w:rsidP="007C7675">
      <w:pPr>
        <w:tabs>
          <w:tab w:val="left" w:pos="2975"/>
        </w:tabs>
        <w:spacing w:after="120" w:line="400" w:lineRule="exact"/>
        <w:ind w:left="2409"/>
        <w:jc w:val="both"/>
        <w:textDirection w:val="tbRlV"/>
        <w:rPr>
          <w:rFonts w:cs="Traditional Arabic"/>
          <w:sz w:val="22"/>
          <w:szCs w:val="30"/>
          <w:rtl/>
          <w:lang w:val="en-GB" w:eastAsia="zh-TW"/>
        </w:rPr>
      </w:pPr>
      <w:r w:rsidRPr="00312300">
        <w:rPr>
          <w:rFonts w:cs="Traditional Arabic"/>
          <w:b/>
          <w:bCs/>
          <w:sz w:val="22"/>
          <w:szCs w:val="30"/>
          <w:rtl/>
          <w:lang w:val="en-GB" w:eastAsia="zh-TW"/>
        </w:rPr>
        <w:t>منطقة أفريقيا:</w:t>
      </w:r>
      <w:r w:rsidRPr="00C97227">
        <w:rPr>
          <w:rFonts w:cs="Traditional Arabic"/>
          <w:sz w:val="22"/>
          <w:szCs w:val="30"/>
          <w:rtl/>
          <w:lang w:val="en-GB" w:eastAsia="zh-TW"/>
        </w:rPr>
        <w:t xml:space="preserve"> </w:t>
      </w:r>
      <w:r>
        <w:rPr>
          <w:rFonts w:cs="Traditional Arabic"/>
          <w:sz w:val="22"/>
          <w:szCs w:val="30"/>
          <w:rtl/>
          <w:lang w:val="en-GB" w:eastAsia="zh-TW"/>
        </w:rPr>
        <w:t>مركز اتفاقية بازل الإقليمي للبلدان الأفريقية الناطقة بالإنكليزية، في جنوب أفريقيا</w:t>
      </w:r>
    </w:p>
    <w:p w14:paraId="5FEA38C1" w14:textId="77777777" w:rsidR="007C7675" w:rsidRPr="00C97227" w:rsidRDefault="007C7675" w:rsidP="007C7675">
      <w:pPr>
        <w:tabs>
          <w:tab w:val="left" w:pos="2975"/>
        </w:tabs>
        <w:spacing w:after="120" w:line="400" w:lineRule="exact"/>
        <w:ind w:left="2409"/>
        <w:jc w:val="both"/>
        <w:textDirection w:val="tbRlV"/>
        <w:rPr>
          <w:rFonts w:cs="Traditional Arabic"/>
          <w:sz w:val="22"/>
          <w:szCs w:val="30"/>
          <w:rtl/>
          <w:lang w:val="en-GB" w:eastAsia="zh-TW"/>
        </w:rPr>
      </w:pPr>
      <w:r w:rsidRPr="00312300">
        <w:rPr>
          <w:rFonts w:cs="Traditional Arabic"/>
          <w:b/>
          <w:bCs/>
          <w:sz w:val="22"/>
          <w:szCs w:val="30"/>
          <w:rtl/>
          <w:lang w:val="en-GB" w:eastAsia="zh-TW"/>
        </w:rPr>
        <w:t>منطقة آسيا والمحيط الهادئ:</w:t>
      </w:r>
      <w:r>
        <w:rPr>
          <w:rFonts w:cs="Traditional Arabic"/>
          <w:sz w:val="22"/>
          <w:szCs w:val="30"/>
          <w:rtl/>
          <w:lang w:val="en-GB" w:eastAsia="zh-TW"/>
        </w:rPr>
        <w:t xml:space="preserve"> مركز اتفاقية بازل الإقليمي لجنوب شرق آسيا، في إندونيسيا</w:t>
      </w:r>
    </w:p>
    <w:p w14:paraId="37901FC0" w14:textId="77777777" w:rsidR="007C7675" w:rsidRPr="00C97227" w:rsidRDefault="007C7675" w:rsidP="007C7675">
      <w:pPr>
        <w:tabs>
          <w:tab w:val="left" w:pos="2975"/>
        </w:tabs>
        <w:spacing w:after="120" w:line="400" w:lineRule="exact"/>
        <w:ind w:left="2409"/>
        <w:jc w:val="both"/>
        <w:textDirection w:val="tbRlV"/>
        <w:rPr>
          <w:rFonts w:cs="Traditional Arabic"/>
          <w:sz w:val="22"/>
          <w:szCs w:val="30"/>
          <w:rtl/>
          <w:lang w:val="en-GB" w:eastAsia="zh-TW"/>
        </w:rPr>
      </w:pPr>
      <w:r w:rsidRPr="00312300">
        <w:rPr>
          <w:rFonts w:cs="Traditional Arabic"/>
          <w:b/>
          <w:bCs/>
          <w:sz w:val="22"/>
          <w:szCs w:val="30"/>
          <w:rtl/>
          <w:lang w:val="en-GB" w:eastAsia="zh-TW"/>
        </w:rPr>
        <w:t>منطقة أوروبا الوسطى والشرقية:</w:t>
      </w:r>
      <w:r w:rsidRPr="00C97227">
        <w:rPr>
          <w:rFonts w:cs="Traditional Arabic"/>
          <w:sz w:val="22"/>
          <w:szCs w:val="30"/>
          <w:rtl/>
          <w:lang w:val="en-GB" w:eastAsia="zh-TW"/>
        </w:rPr>
        <w:t xml:space="preserve"> </w:t>
      </w:r>
      <w:r>
        <w:rPr>
          <w:rFonts w:cs="Traditional Arabic"/>
          <w:sz w:val="22"/>
          <w:szCs w:val="30"/>
          <w:rtl/>
          <w:lang w:val="en-GB" w:eastAsia="zh-TW"/>
        </w:rPr>
        <w:t>مركز اتفاقية بازل الإقليمي لأوروبا الوسطى، في سلوفاكيا</w:t>
      </w:r>
    </w:p>
    <w:p w14:paraId="2F1EE836" w14:textId="77777777" w:rsidR="007C7675" w:rsidRPr="00C97227" w:rsidRDefault="007C7675" w:rsidP="007C7675">
      <w:pPr>
        <w:tabs>
          <w:tab w:val="left" w:pos="2975"/>
        </w:tabs>
        <w:spacing w:after="120" w:line="400" w:lineRule="exact"/>
        <w:ind w:left="2409"/>
        <w:jc w:val="both"/>
        <w:textDirection w:val="tbRlV"/>
        <w:rPr>
          <w:rFonts w:cs="Traditional Arabic"/>
          <w:sz w:val="22"/>
          <w:szCs w:val="30"/>
          <w:rtl/>
          <w:lang w:val="en-GB" w:eastAsia="zh-TW"/>
        </w:rPr>
      </w:pPr>
      <w:r w:rsidRPr="00312300">
        <w:rPr>
          <w:rFonts w:cs="Traditional Arabic"/>
          <w:b/>
          <w:bCs/>
          <w:sz w:val="22"/>
          <w:szCs w:val="30"/>
          <w:rtl/>
          <w:lang w:val="en-GB" w:eastAsia="zh-TW"/>
        </w:rPr>
        <w:t>منطقة أمريكا اللاتينية والبحر الكاريبي:</w:t>
      </w:r>
      <w:r w:rsidRPr="00C97227">
        <w:rPr>
          <w:rFonts w:cs="Traditional Arabic"/>
          <w:sz w:val="22"/>
          <w:szCs w:val="30"/>
          <w:rtl/>
          <w:lang w:val="en-GB" w:eastAsia="zh-TW"/>
        </w:rPr>
        <w:t xml:space="preserve"> </w:t>
      </w:r>
      <w:r>
        <w:rPr>
          <w:rFonts w:cs="Traditional Arabic"/>
          <w:sz w:val="22"/>
          <w:szCs w:val="30"/>
          <w:rtl/>
          <w:lang w:val="en-GB" w:eastAsia="zh-TW"/>
        </w:rPr>
        <w:t>مركز اتفاقية بازل الإقليمي لمنطقة البحر الكاريبي في ترينيداد وتوباغو</w:t>
      </w:r>
    </w:p>
    <w:p w14:paraId="4FBF22D4" w14:textId="77777777" w:rsidR="007C7675" w:rsidRPr="002B3B41" w:rsidRDefault="007C7675" w:rsidP="007C7675">
      <w:pPr>
        <w:numPr>
          <w:ilvl w:val="0"/>
          <w:numId w:val="1"/>
        </w:numPr>
        <w:tabs>
          <w:tab w:val="left" w:pos="2409"/>
        </w:tabs>
        <w:spacing w:after="120" w:line="400" w:lineRule="exact"/>
        <w:ind w:left="1133" w:firstLine="709"/>
        <w:jc w:val="both"/>
        <w:textDirection w:val="tbRlV"/>
        <w:rPr>
          <w:rFonts w:cs="Traditional Arabic"/>
          <w:i/>
          <w:iCs/>
          <w:sz w:val="22"/>
          <w:szCs w:val="30"/>
          <w:rtl/>
          <w:lang w:val="en-GB" w:eastAsia="zh-TW"/>
        </w:rPr>
      </w:pPr>
      <w:r w:rsidRPr="00C97227">
        <w:rPr>
          <w:rFonts w:cs="Traditional Arabic"/>
          <w:i/>
          <w:iCs/>
          <w:sz w:val="22"/>
          <w:szCs w:val="30"/>
          <w:rtl/>
          <w:lang w:val="en-GB" w:eastAsia="zh-TW"/>
        </w:rPr>
        <w:t>يطلب</w:t>
      </w:r>
      <w:r w:rsidRPr="002B3B41">
        <w:rPr>
          <w:rFonts w:cs="Traditional Arabic"/>
          <w:i/>
          <w:iCs/>
          <w:sz w:val="22"/>
          <w:szCs w:val="30"/>
          <w:rtl/>
          <w:lang w:val="en-GB" w:eastAsia="zh-TW"/>
        </w:rPr>
        <w:t xml:space="preserve"> إلى الأمانة، رهناً بتوافر الموارد، أن تواصل تيسير الشبكة وتقديم الخبرات لها وأن تنظم اجتماعات سنوية للشبكة، وأن تقدم تقريراً إلى مؤتمر الأطراف في اجتماعه الخامس عشر عن أنشطة الشبكة؛</w:t>
      </w:r>
    </w:p>
    <w:p w14:paraId="72A7F63B" w14:textId="77777777" w:rsidR="007C7675" w:rsidRPr="00C97227" w:rsidRDefault="007C7675" w:rsidP="007C7675">
      <w:pPr>
        <w:tabs>
          <w:tab w:val="left" w:pos="2975"/>
        </w:tabs>
        <w:spacing w:after="120" w:line="400" w:lineRule="exact"/>
        <w:ind w:left="1133"/>
        <w:jc w:val="center"/>
        <w:textDirection w:val="tbRlV"/>
        <w:rPr>
          <w:rFonts w:cs="Traditional Arabic"/>
          <w:b/>
          <w:bCs/>
          <w:sz w:val="22"/>
          <w:szCs w:val="30"/>
          <w:rtl/>
          <w:lang w:val="en-GB" w:eastAsia="zh-TW"/>
        </w:rPr>
      </w:pPr>
      <w:r w:rsidRPr="00C97227">
        <w:rPr>
          <w:rFonts w:cs="Traditional Arabic"/>
          <w:b/>
          <w:bCs/>
          <w:sz w:val="22"/>
          <w:szCs w:val="30"/>
          <w:rtl/>
          <w:lang w:val="en-GB" w:eastAsia="zh-TW"/>
        </w:rPr>
        <w:t>ثالثاً</w:t>
      </w:r>
    </w:p>
    <w:p w14:paraId="309E1FC2" w14:textId="77777777" w:rsidR="007C7675" w:rsidRPr="00C97227" w:rsidRDefault="007C7675" w:rsidP="007C7675">
      <w:pPr>
        <w:tabs>
          <w:tab w:val="left" w:pos="2975"/>
        </w:tabs>
        <w:spacing w:after="120" w:line="400" w:lineRule="exact"/>
        <w:ind w:left="1133"/>
        <w:jc w:val="center"/>
        <w:textDirection w:val="tbRlV"/>
        <w:rPr>
          <w:rFonts w:cs="Traditional Arabic"/>
          <w:b/>
          <w:bCs/>
          <w:sz w:val="22"/>
          <w:szCs w:val="30"/>
          <w:rtl/>
          <w:lang w:val="en-GB" w:eastAsia="zh-TW"/>
        </w:rPr>
      </w:pPr>
      <w:r w:rsidRPr="00C97227">
        <w:rPr>
          <w:rFonts w:cs="Traditional Arabic"/>
          <w:b/>
          <w:bCs/>
          <w:sz w:val="22"/>
          <w:szCs w:val="30"/>
          <w:rtl/>
          <w:lang w:val="en-GB" w:eastAsia="zh-TW"/>
        </w:rPr>
        <w:t>شراكة النفايات المنزلية</w:t>
      </w:r>
    </w:p>
    <w:p w14:paraId="3D3525BA" w14:textId="77777777" w:rsidR="007C7675" w:rsidRPr="003E05AE" w:rsidRDefault="007C7675" w:rsidP="007C7675">
      <w:pPr>
        <w:numPr>
          <w:ilvl w:val="0"/>
          <w:numId w:val="1"/>
        </w:numPr>
        <w:tabs>
          <w:tab w:val="left" w:pos="2409"/>
        </w:tabs>
        <w:spacing w:after="120" w:line="400" w:lineRule="exact"/>
        <w:ind w:left="1133" w:firstLine="709"/>
        <w:jc w:val="both"/>
        <w:textDirection w:val="tbRlV"/>
        <w:rPr>
          <w:rFonts w:cs="Traditional Arabic"/>
          <w:sz w:val="22"/>
          <w:szCs w:val="30"/>
          <w:rtl/>
          <w:lang w:val="en-GB" w:eastAsia="zh-TW"/>
        </w:rPr>
      </w:pPr>
      <w:r w:rsidRPr="003E05AE">
        <w:rPr>
          <w:rFonts w:cs="Traditional Arabic"/>
          <w:i/>
          <w:iCs/>
          <w:sz w:val="22"/>
          <w:szCs w:val="30"/>
          <w:rtl/>
          <w:lang w:val="en-GB" w:eastAsia="zh-TW"/>
        </w:rPr>
        <w:t>يحيط علما</w:t>
      </w:r>
      <w:r>
        <w:rPr>
          <w:rFonts w:cs="Traditional Arabic"/>
          <w:i/>
          <w:iCs/>
          <w:sz w:val="22"/>
          <w:szCs w:val="30"/>
          <w:rtl/>
          <w:lang w:val="en-GB" w:eastAsia="zh-TW"/>
        </w:rPr>
        <w:t>ً</w:t>
      </w:r>
      <w:r w:rsidRPr="003E05AE">
        <w:rPr>
          <w:rFonts w:cs="Traditional Arabic"/>
          <w:sz w:val="22"/>
          <w:szCs w:val="30"/>
          <w:rtl/>
          <w:lang w:val="en-GB" w:eastAsia="zh-TW"/>
        </w:rPr>
        <w:t xml:space="preserve"> بمشروع الوثيقة التوجيهية الشاملة بشأن الإدارة السليمة بيئياً للنفايات المنزلية التي وضعها الفريق العامل التابع للشراكة النفايات المنزلية</w:t>
      </w:r>
      <w:r w:rsidRPr="00C97227">
        <w:rPr>
          <w:rFonts w:cs="Traditional Arabic"/>
          <w:sz w:val="20"/>
          <w:szCs w:val="30"/>
          <w:vertAlign w:val="superscript"/>
          <w:rtl/>
          <w:lang w:val="en-GB"/>
        </w:rPr>
        <w:t>(</w:t>
      </w:r>
      <w:r w:rsidRPr="00C97227">
        <w:rPr>
          <w:rFonts w:cs="Traditional Arabic"/>
          <w:sz w:val="20"/>
          <w:szCs w:val="30"/>
          <w:vertAlign w:val="superscript"/>
          <w:rtl/>
          <w:lang w:val="en-GB"/>
        </w:rPr>
        <w:footnoteReference w:id="4"/>
      </w:r>
      <w:r w:rsidRPr="00C97227">
        <w:rPr>
          <w:rFonts w:cs="Traditional Arabic"/>
          <w:sz w:val="20"/>
          <w:szCs w:val="30"/>
          <w:vertAlign w:val="superscript"/>
          <w:rtl/>
          <w:lang w:val="en-GB"/>
        </w:rPr>
        <w:t>)</w:t>
      </w:r>
      <w:r w:rsidRPr="003E05AE">
        <w:rPr>
          <w:rFonts w:cs="Traditional Arabic"/>
          <w:sz w:val="22"/>
          <w:szCs w:val="30"/>
          <w:rtl/>
          <w:lang w:val="en-GB" w:eastAsia="zh-TW"/>
        </w:rPr>
        <w:t>؛</w:t>
      </w:r>
    </w:p>
    <w:p w14:paraId="3AF518A7" w14:textId="77777777" w:rsidR="007C7675" w:rsidRPr="00C97227" w:rsidRDefault="007C7675" w:rsidP="007C7675">
      <w:pPr>
        <w:numPr>
          <w:ilvl w:val="0"/>
          <w:numId w:val="1"/>
        </w:numPr>
        <w:tabs>
          <w:tab w:val="left" w:pos="2409"/>
        </w:tabs>
        <w:spacing w:after="120" w:line="400" w:lineRule="exact"/>
        <w:ind w:left="1133" w:firstLine="709"/>
        <w:jc w:val="both"/>
        <w:textDirection w:val="tbRlV"/>
        <w:rPr>
          <w:rFonts w:cs="Traditional Arabic"/>
          <w:sz w:val="22"/>
          <w:szCs w:val="30"/>
          <w:rtl/>
          <w:lang w:val="en-GB" w:eastAsia="zh-TW"/>
        </w:rPr>
      </w:pPr>
      <w:r w:rsidRPr="003E05AE">
        <w:rPr>
          <w:rFonts w:cs="Traditional Arabic"/>
          <w:i/>
          <w:iCs/>
          <w:sz w:val="22"/>
          <w:szCs w:val="30"/>
          <w:rtl/>
          <w:lang w:val="en-GB" w:eastAsia="zh-TW"/>
        </w:rPr>
        <w:t>يطلب</w:t>
      </w:r>
      <w:r w:rsidRPr="003E05AE">
        <w:rPr>
          <w:rFonts w:cs="Traditional Arabic"/>
          <w:sz w:val="22"/>
          <w:szCs w:val="30"/>
          <w:rtl/>
          <w:lang w:val="en-GB" w:eastAsia="zh-TW"/>
        </w:rPr>
        <w:t xml:space="preserve"> إلى الفريق العامل أن يعد، بحلول ٣١ تشرين الأول/أكتوبر ٢٠١٩، مشروعاً كاملاً للوثيقة التوجيهية الشاملة، آخذاً في الاعتبار المناقشات التي جرت في الاجتماع الرابع عشر لمؤتمر الأطراف والتعليقات التي وردت حتى الآن، ومع المراعاة الدقيقة للتوجيهات القائمة في إطار اتفاقية بازل، ولا سيما بشأن الإدارة السليمة بيئيا</w:t>
      </w:r>
      <w:r>
        <w:rPr>
          <w:rFonts w:cs="Traditional Arabic"/>
          <w:sz w:val="22"/>
          <w:szCs w:val="30"/>
          <w:rtl/>
          <w:lang w:val="en-GB" w:eastAsia="zh-TW"/>
        </w:rPr>
        <w:t>ً</w:t>
      </w:r>
      <w:r w:rsidRPr="003E05AE">
        <w:rPr>
          <w:rFonts w:cs="Traditional Arabic"/>
          <w:sz w:val="22"/>
          <w:szCs w:val="30"/>
          <w:rtl/>
          <w:lang w:val="en-GB" w:eastAsia="zh-TW"/>
        </w:rPr>
        <w:t>؛</w:t>
      </w:r>
      <w:r w:rsidRPr="00C97227">
        <w:rPr>
          <w:rFonts w:cs="Traditional Arabic"/>
          <w:sz w:val="22"/>
          <w:szCs w:val="30"/>
          <w:rtl/>
          <w:lang w:val="en-GB" w:eastAsia="zh-TW"/>
        </w:rPr>
        <w:t xml:space="preserve"> المنزلية؛</w:t>
      </w:r>
    </w:p>
    <w:p w14:paraId="67BF8E77" w14:textId="77777777" w:rsidR="007C7675" w:rsidRPr="00C97227" w:rsidRDefault="007C7675" w:rsidP="007C7675">
      <w:pPr>
        <w:numPr>
          <w:ilvl w:val="0"/>
          <w:numId w:val="1"/>
        </w:numPr>
        <w:tabs>
          <w:tab w:val="left" w:pos="2409"/>
        </w:tabs>
        <w:spacing w:after="120" w:line="400" w:lineRule="exact"/>
        <w:ind w:left="1133" w:firstLine="709"/>
        <w:jc w:val="both"/>
        <w:textDirection w:val="tbRlV"/>
        <w:rPr>
          <w:rFonts w:cs="Traditional Arabic"/>
          <w:i/>
          <w:iCs/>
          <w:sz w:val="22"/>
          <w:szCs w:val="30"/>
          <w:rtl/>
          <w:lang w:val="en-GB" w:eastAsia="zh-TW"/>
        </w:rPr>
      </w:pPr>
      <w:r w:rsidRPr="00C97227">
        <w:rPr>
          <w:rFonts w:cs="Traditional Arabic"/>
          <w:i/>
          <w:iCs/>
          <w:sz w:val="22"/>
          <w:szCs w:val="30"/>
          <w:rtl/>
          <w:lang w:val="en-GB" w:eastAsia="zh-TW"/>
        </w:rPr>
        <w:t>يدعو</w:t>
      </w:r>
      <w:r w:rsidRPr="00C97227">
        <w:rPr>
          <w:rFonts w:cs="Traditional Arabic"/>
          <w:sz w:val="22"/>
          <w:szCs w:val="30"/>
          <w:rtl/>
          <w:lang w:val="en-GB" w:eastAsia="zh-TW"/>
        </w:rPr>
        <w:t xml:space="preserve"> الأطراف والمراقبين إلى تقديم تعليقات إلى الأمانة بشأن تلك الوثيقة بحلول ٣٠ أيلول/سبتمبر ٢٠١٩؛</w:t>
      </w:r>
    </w:p>
    <w:p w14:paraId="3AC9563B" w14:textId="77777777" w:rsidR="007C7675" w:rsidRPr="00C97227" w:rsidRDefault="007C7675" w:rsidP="007C7675">
      <w:pPr>
        <w:numPr>
          <w:ilvl w:val="0"/>
          <w:numId w:val="1"/>
        </w:numPr>
        <w:tabs>
          <w:tab w:val="left" w:pos="2409"/>
        </w:tabs>
        <w:spacing w:after="120" w:line="400" w:lineRule="exact"/>
        <w:ind w:left="1133" w:firstLine="709"/>
        <w:jc w:val="both"/>
        <w:textDirection w:val="tbRlV"/>
        <w:rPr>
          <w:rFonts w:cs="Traditional Arabic"/>
          <w:sz w:val="22"/>
          <w:szCs w:val="30"/>
          <w:rtl/>
          <w:lang w:val="en-GB" w:eastAsia="zh-TW"/>
        </w:rPr>
      </w:pPr>
      <w:r w:rsidRPr="00C97227">
        <w:rPr>
          <w:rFonts w:cs="Traditional Arabic"/>
          <w:i/>
          <w:iCs/>
          <w:sz w:val="22"/>
          <w:szCs w:val="30"/>
          <w:rtl/>
          <w:lang w:val="en-GB" w:eastAsia="zh-TW"/>
        </w:rPr>
        <w:lastRenderedPageBreak/>
        <w:t>يطلب</w:t>
      </w:r>
      <w:r>
        <w:rPr>
          <w:rFonts w:cs="Traditional Arabic"/>
          <w:i/>
          <w:iCs/>
          <w:sz w:val="22"/>
          <w:szCs w:val="30"/>
          <w:rtl/>
          <w:lang w:val="en-GB" w:eastAsia="zh-TW"/>
        </w:rPr>
        <w:t xml:space="preserve"> أيضاً</w:t>
      </w:r>
      <w:r w:rsidRPr="00C97227">
        <w:rPr>
          <w:rFonts w:cs="Traditional Arabic"/>
          <w:sz w:val="22"/>
          <w:szCs w:val="30"/>
          <w:rtl/>
          <w:lang w:val="en-GB" w:eastAsia="zh-TW"/>
        </w:rPr>
        <w:t xml:space="preserve"> إلى الفريق العامل ما يلي:</w:t>
      </w:r>
    </w:p>
    <w:p w14:paraId="58FDD798" w14:textId="77777777" w:rsidR="007C7675" w:rsidRPr="00C97227" w:rsidRDefault="007C7675" w:rsidP="007C7675">
      <w:pPr>
        <w:tabs>
          <w:tab w:val="left" w:pos="2975"/>
        </w:tabs>
        <w:spacing w:after="120" w:line="400" w:lineRule="exact"/>
        <w:ind w:left="1133" w:firstLine="1276"/>
        <w:jc w:val="both"/>
        <w:textDirection w:val="tbRlV"/>
        <w:rPr>
          <w:rFonts w:cs="Traditional Arabic"/>
          <w:sz w:val="22"/>
          <w:szCs w:val="30"/>
          <w:rtl/>
          <w:lang w:val="en-GB" w:eastAsia="zh-TW"/>
        </w:rPr>
      </w:pPr>
      <w:r w:rsidRPr="00C97227">
        <w:rPr>
          <w:rFonts w:cs="Traditional Arabic"/>
          <w:sz w:val="22"/>
          <w:szCs w:val="30"/>
          <w:rtl/>
          <w:lang w:val="en-GB" w:eastAsia="zh-TW"/>
        </w:rPr>
        <w:t>(أ)</w:t>
      </w:r>
      <w:r w:rsidRPr="00C97227">
        <w:rPr>
          <w:rFonts w:cs="Traditional Arabic"/>
          <w:sz w:val="22"/>
          <w:szCs w:val="30"/>
          <w:rtl/>
          <w:lang w:val="en-GB" w:eastAsia="zh-TW"/>
        </w:rPr>
        <w:tab/>
        <w:t>أن ينفذ خطة العمل الواردة في مرفق هذا المقرر؛</w:t>
      </w:r>
    </w:p>
    <w:p w14:paraId="1D44CAF9" w14:textId="77777777" w:rsidR="007C7675" w:rsidRPr="00C97227" w:rsidRDefault="007C7675" w:rsidP="007C7675">
      <w:pPr>
        <w:tabs>
          <w:tab w:val="left" w:pos="2975"/>
        </w:tabs>
        <w:spacing w:after="120" w:line="400" w:lineRule="exact"/>
        <w:ind w:left="1133" w:firstLine="1276"/>
        <w:jc w:val="both"/>
        <w:textDirection w:val="tbRlV"/>
        <w:rPr>
          <w:rFonts w:cs="Traditional Arabic"/>
          <w:sz w:val="22"/>
          <w:szCs w:val="30"/>
          <w:rtl/>
          <w:lang w:val="en-GB" w:eastAsia="zh-TW"/>
        </w:rPr>
      </w:pPr>
      <w:r w:rsidRPr="00C97227">
        <w:rPr>
          <w:rFonts w:cs="Traditional Arabic"/>
          <w:sz w:val="22"/>
          <w:szCs w:val="30"/>
          <w:rtl/>
          <w:lang w:val="en-GB" w:eastAsia="zh-TW"/>
        </w:rPr>
        <w:t>(ب)</w:t>
      </w:r>
      <w:r w:rsidRPr="00C97227">
        <w:rPr>
          <w:rFonts w:cs="Traditional Arabic"/>
          <w:sz w:val="22"/>
          <w:szCs w:val="30"/>
          <w:rtl/>
          <w:lang w:val="en-GB" w:eastAsia="zh-TW"/>
        </w:rPr>
        <w:tab/>
      </w:r>
      <w:r>
        <w:rPr>
          <w:rFonts w:cs="Traditional Arabic"/>
          <w:sz w:val="22"/>
          <w:szCs w:val="30"/>
          <w:rtl/>
          <w:lang w:val="en-GB" w:eastAsia="zh-TW"/>
        </w:rPr>
        <w:t>أن ينسق عن كثب</w:t>
      </w:r>
      <w:r w:rsidRPr="00C97227">
        <w:rPr>
          <w:rFonts w:cs="Traditional Arabic"/>
          <w:sz w:val="22"/>
          <w:szCs w:val="30"/>
          <w:rtl/>
          <w:lang w:val="en-GB" w:eastAsia="zh-TW"/>
        </w:rPr>
        <w:t xml:space="preserve"> مع الشراكة الجديدة بشأن النفايات البلاستيكية المنشأة بموجب المقرر</w:t>
      </w:r>
      <w:r w:rsidRPr="00C97227">
        <w:rPr>
          <w:rFonts w:cs="Traditional Arabic"/>
          <w:sz w:val="22"/>
          <w:szCs w:val="30"/>
          <w:rtl/>
          <w:lang w:val="en-GB" w:eastAsia="zh-TW"/>
        </w:rPr>
        <w:br/>
        <w:t>ا ب-14/</w:t>
      </w:r>
      <w:r>
        <w:rPr>
          <w:rFonts w:cs="Traditional Arabic"/>
          <w:sz w:val="22"/>
          <w:szCs w:val="30"/>
          <w:rtl/>
          <w:lang w:val="en-GB" w:eastAsia="zh-TW"/>
        </w:rPr>
        <w:t>13</w:t>
      </w:r>
      <w:r w:rsidRPr="00C97227">
        <w:rPr>
          <w:rFonts w:cs="Traditional Arabic"/>
          <w:sz w:val="22"/>
          <w:szCs w:val="30"/>
          <w:rtl/>
          <w:lang w:val="en-GB" w:eastAsia="zh-TW"/>
        </w:rPr>
        <w:t xml:space="preserve"> بغية تفادي التداخل في برامج عمل كل منها، وتقاسم الدروس المستفادة؛</w:t>
      </w:r>
    </w:p>
    <w:p w14:paraId="732B6362" w14:textId="77777777" w:rsidR="007C7675" w:rsidRPr="00E0491C" w:rsidRDefault="007C7675" w:rsidP="007C7675">
      <w:pPr>
        <w:numPr>
          <w:ilvl w:val="0"/>
          <w:numId w:val="1"/>
        </w:numPr>
        <w:tabs>
          <w:tab w:val="left" w:pos="2409"/>
        </w:tabs>
        <w:spacing w:after="120" w:line="400" w:lineRule="exact"/>
        <w:ind w:left="1133" w:firstLine="709"/>
        <w:jc w:val="both"/>
        <w:textDirection w:val="tbRlV"/>
        <w:rPr>
          <w:rFonts w:cs="Traditional Arabic"/>
          <w:w w:val="93"/>
          <w:sz w:val="22"/>
          <w:szCs w:val="30"/>
          <w:rtl/>
          <w:lang w:val="en-GB" w:eastAsia="zh-TW"/>
        </w:rPr>
      </w:pPr>
      <w:r w:rsidRPr="00E0491C">
        <w:rPr>
          <w:rFonts w:cs="Traditional Arabic"/>
          <w:i/>
          <w:iCs/>
          <w:w w:val="93"/>
          <w:sz w:val="22"/>
          <w:szCs w:val="30"/>
          <w:rtl/>
          <w:lang w:val="en-GB" w:eastAsia="zh-TW"/>
        </w:rPr>
        <w:t>يقرّر</w:t>
      </w:r>
      <w:r w:rsidRPr="00E0491C">
        <w:rPr>
          <w:rFonts w:cs="Traditional Arabic"/>
          <w:w w:val="93"/>
          <w:sz w:val="22"/>
          <w:szCs w:val="30"/>
          <w:rtl/>
          <w:lang w:val="en-GB" w:eastAsia="zh-TW"/>
        </w:rPr>
        <w:t xml:space="preserve"> أن تعمل شراكة النفايات المنزلية بالوسائل الإلكترونية وأن تعقد اجتماعات فعلية، رهناً بتوفر الموارد؛</w:t>
      </w:r>
    </w:p>
    <w:p w14:paraId="629097E4" w14:textId="77777777" w:rsidR="007C7675" w:rsidRPr="00C97227" w:rsidRDefault="007C7675" w:rsidP="007C7675">
      <w:pPr>
        <w:numPr>
          <w:ilvl w:val="0"/>
          <w:numId w:val="1"/>
        </w:numPr>
        <w:tabs>
          <w:tab w:val="left" w:pos="2409"/>
        </w:tabs>
        <w:spacing w:after="120" w:line="400" w:lineRule="exact"/>
        <w:ind w:left="1133" w:firstLine="709"/>
        <w:jc w:val="both"/>
        <w:textDirection w:val="tbRlV"/>
        <w:rPr>
          <w:rFonts w:cs="Traditional Arabic"/>
          <w:sz w:val="22"/>
          <w:szCs w:val="30"/>
          <w:rtl/>
          <w:lang w:val="en-GB" w:eastAsia="zh-TW"/>
        </w:rPr>
      </w:pPr>
      <w:r w:rsidRPr="00C97227">
        <w:rPr>
          <w:rFonts w:cs="Traditional Arabic"/>
          <w:i/>
          <w:iCs/>
          <w:sz w:val="22"/>
          <w:szCs w:val="30"/>
          <w:rtl/>
          <w:lang w:val="en-GB" w:eastAsia="zh-TW"/>
        </w:rPr>
        <w:t>يطلب</w:t>
      </w:r>
      <w:r w:rsidRPr="00C97227">
        <w:rPr>
          <w:rFonts w:cs="Traditional Arabic"/>
          <w:sz w:val="22"/>
          <w:szCs w:val="30"/>
          <w:rtl/>
          <w:lang w:val="en-GB" w:eastAsia="zh-TW"/>
        </w:rPr>
        <w:t xml:space="preserve"> إلى الأمانة:</w:t>
      </w:r>
    </w:p>
    <w:p w14:paraId="601FF83E" w14:textId="77777777" w:rsidR="007C7675" w:rsidRPr="00C97227" w:rsidRDefault="007C7675" w:rsidP="007C7675">
      <w:pPr>
        <w:tabs>
          <w:tab w:val="left" w:pos="2975"/>
        </w:tabs>
        <w:spacing w:after="120" w:line="400" w:lineRule="exact"/>
        <w:ind w:left="1133" w:firstLine="1276"/>
        <w:jc w:val="both"/>
        <w:textDirection w:val="tbRlV"/>
        <w:rPr>
          <w:rFonts w:cs="Traditional Arabic"/>
          <w:sz w:val="22"/>
          <w:szCs w:val="30"/>
          <w:rtl/>
          <w:lang w:val="en-GB" w:eastAsia="zh-TW"/>
        </w:rPr>
      </w:pPr>
      <w:r w:rsidRPr="00C97227">
        <w:rPr>
          <w:rFonts w:cs="Traditional Arabic"/>
          <w:sz w:val="22"/>
          <w:szCs w:val="30"/>
          <w:rtl/>
          <w:lang w:val="en-GB" w:eastAsia="zh-TW"/>
        </w:rPr>
        <w:t>(أ)</w:t>
      </w:r>
      <w:r w:rsidRPr="00C97227">
        <w:rPr>
          <w:rFonts w:cs="Traditional Arabic"/>
          <w:sz w:val="22"/>
          <w:szCs w:val="30"/>
          <w:rtl/>
          <w:lang w:val="en-GB" w:eastAsia="zh-TW"/>
        </w:rPr>
        <w:tab/>
        <w:t xml:space="preserve">أن تتيح التعليقات المقدمة عملاً بالفقرة </w:t>
      </w:r>
      <w:r>
        <w:rPr>
          <w:rFonts w:cs="Traditional Arabic"/>
          <w:sz w:val="22"/>
          <w:szCs w:val="30"/>
          <w:rtl/>
          <w:lang w:val="en-GB" w:eastAsia="zh-TW"/>
        </w:rPr>
        <w:t>22</w:t>
      </w:r>
      <w:r w:rsidRPr="00C97227">
        <w:rPr>
          <w:rFonts w:cs="Traditional Arabic"/>
          <w:sz w:val="22"/>
          <w:szCs w:val="30"/>
          <w:rtl/>
          <w:lang w:val="en-GB" w:eastAsia="zh-TW"/>
        </w:rPr>
        <w:t xml:space="preserve"> </w:t>
      </w:r>
      <w:r>
        <w:rPr>
          <w:rFonts w:cs="Traditional Arabic"/>
          <w:sz w:val="22"/>
          <w:szCs w:val="30"/>
          <w:rtl/>
          <w:lang w:val="en-GB" w:eastAsia="zh-TW"/>
        </w:rPr>
        <w:t>من هذا المقرر</w:t>
      </w:r>
      <w:r w:rsidRPr="00C97227">
        <w:rPr>
          <w:rFonts w:cs="Traditional Arabic"/>
          <w:sz w:val="22"/>
          <w:szCs w:val="30"/>
          <w:rtl/>
          <w:lang w:val="en-GB" w:eastAsia="zh-TW"/>
        </w:rPr>
        <w:t xml:space="preserve"> على الموقع الشبكي للاتفاقية وللفريق العامل؛ </w:t>
      </w:r>
    </w:p>
    <w:p w14:paraId="45834A60" w14:textId="77777777" w:rsidR="007C7675" w:rsidRPr="00C97227" w:rsidRDefault="007C7675" w:rsidP="007C7675">
      <w:pPr>
        <w:tabs>
          <w:tab w:val="left" w:pos="2975"/>
        </w:tabs>
        <w:spacing w:after="120" w:line="400" w:lineRule="exact"/>
        <w:ind w:left="1133" w:firstLine="1276"/>
        <w:jc w:val="both"/>
        <w:textDirection w:val="tbRlV"/>
        <w:rPr>
          <w:rFonts w:cs="Traditional Arabic"/>
          <w:sz w:val="22"/>
          <w:szCs w:val="30"/>
          <w:rtl/>
          <w:lang w:val="en-GB" w:eastAsia="zh-TW"/>
        </w:rPr>
      </w:pPr>
      <w:r w:rsidRPr="00C97227">
        <w:rPr>
          <w:rFonts w:cs="Traditional Arabic"/>
          <w:sz w:val="22"/>
          <w:szCs w:val="30"/>
          <w:rtl/>
          <w:lang w:val="en-GB" w:eastAsia="zh-TW"/>
        </w:rPr>
        <w:t>(ب)</w:t>
      </w:r>
      <w:r w:rsidRPr="00C97227">
        <w:rPr>
          <w:rFonts w:cs="Traditional Arabic"/>
          <w:sz w:val="22"/>
          <w:szCs w:val="30"/>
          <w:rtl/>
          <w:lang w:val="en-GB" w:eastAsia="zh-TW"/>
        </w:rPr>
        <w:tab/>
        <w:t xml:space="preserve">أن </w:t>
      </w:r>
      <w:r>
        <w:rPr>
          <w:rFonts w:cs="Traditional Arabic"/>
          <w:sz w:val="22"/>
          <w:szCs w:val="30"/>
          <w:rtl/>
          <w:lang w:val="en-GB" w:eastAsia="zh-TW"/>
        </w:rPr>
        <w:t>تواصل التيسير ل</w:t>
      </w:r>
      <w:r w:rsidRPr="00C97227">
        <w:rPr>
          <w:rFonts w:cs="Traditional Arabic"/>
          <w:sz w:val="22"/>
          <w:szCs w:val="30"/>
          <w:rtl/>
          <w:lang w:val="en-GB" w:eastAsia="zh-TW"/>
        </w:rPr>
        <w:t>لفريق العامل وتقديم الخبرة له وأن تنظم اجتماعات الفريق العامل، رهنا بتوفر الموارد؛</w:t>
      </w:r>
    </w:p>
    <w:p w14:paraId="58C91546" w14:textId="77777777" w:rsidR="007C7675" w:rsidRPr="00C97227" w:rsidRDefault="007C7675" w:rsidP="007C7675">
      <w:pPr>
        <w:tabs>
          <w:tab w:val="left" w:pos="2975"/>
        </w:tabs>
        <w:spacing w:after="120" w:line="400" w:lineRule="exact"/>
        <w:ind w:left="1133" w:firstLine="1276"/>
        <w:jc w:val="both"/>
        <w:textDirection w:val="tbRlV"/>
        <w:rPr>
          <w:rFonts w:cs="Traditional Arabic"/>
          <w:sz w:val="22"/>
          <w:szCs w:val="30"/>
          <w:rtl/>
          <w:lang w:val="en-GB" w:eastAsia="zh-TW"/>
        </w:rPr>
      </w:pPr>
      <w:r w:rsidRPr="00C97227">
        <w:rPr>
          <w:rFonts w:cs="Traditional Arabic"/>
          <w:sz w:val="22"/>
          <w:szCs w:val="30"/>
          <w:rtl/>
          <w:lang w:val="en-GB" w:eastAsia="zh-TW"/>
        </w:rPr>
        <w:t>(ج)</w:t>
      </w:r>
      <w:r w:rsidRPr="00C97227">
        <w:rPr>
          <w:rFonts w:cs="Traditional Arabic"/>
          <w:sz w:val="22"/>
          <w:szCs w:val="30"/>
          <w:rtl/>
          <w:lang w:val="en-GB" w:eastAsia="zh-TW"/>
        </w:rPr>
        <w:tab/>
        <w:t>أن تقدم تقريراً عن التقدم المحرز في تنفيذ هذا المقرر إلى الفريق العامل المفتوح العضوية في اجتماعه الثاني عشر، وإلى مؤتمر الأطراف في اجتماعه الخامس عشر.</w:t>
      </w:r>
    </w:p>
    <w:p w14:paraId="3541F473" w14:textId="77777777" w:rsidR="007C7675" w:rsidRPr="00C97227" w:rsidRDefault="007C7675" w:rsidP="007C7675">
      <w:pPr>
        <w:tabs>
          <w:tab w:val="left" w:pos="1247"/>
          <w:tab w:val="left" w:pos="1814"/>
          <w:tab w:val="left" w:pos="2381"/>
          <w:tab w:val="left" w:pos="2948"/>
          <w:tab w:val="left" w:pos="2975"/>
          <w:tab w:val="left" w:pos="3515"/>
        </w:tabs>
        <w:spacing w:after="120" w:line="400" w:lineRule="exact"/>
        <w:ind w:left="1842"/>
        <w:jc w:val="both"/>
        <w:textDirection w:val="tbRlV"/>
        <w:rPr>
          <w:rFonts w:cs="Traditional Arabic"/>
          <w:sz w:val="22"/>
          <w:szCs w:val="30"/>
          <w:rtl/>
          <w:lang w:val="en-GB" w:eastAsia="zh-TW"/>
        </w:rPr>
      </w:pPr>
    </w:p>
    <w:p w14:paraId="3E4BA756" w14:textId="77777777" w:rsidR="007C7675" w:rsidRPr="00C97227" w:rsidRDefault="007C7675" w:rsidP="007C7675">
      <w:pPr>
        <w:spacing w:after="120" w:line="400" w:lineRule="exact"/>
        <w:rPr>
          <w:rFonts w:cs="Traditional Arabic"/>
          <w:b/>
          <w:bCs/>
          <w:sz w:val="22"/>
          <w:szCs w:val="30"/>
          <w:rtl/>
          <w:lang w:val="en-GB" w:eastAsia="zh-TW"/>
        </w:rPr>
      </w:pPr>
      <w:r w:rsidRPr="00C97227">
        <w:rPr>
          <w:rFonts w:cs="Traditional Arabic"/>
          <w:b/>
          <w:bCs/>
          <w:sz w:val="22"/>
          <w:szCs w:val="30"/>
          <w:rtl/>
          <w:lang w:val="en-GB" w:eastAsia="zh-TW"/>
        </w:rPr>
        <w:br w:type="page"/>
      </w:r>
    </w:p>
    <w:p w14:paraId="775F539F" w14:textId="77777777" w:rsidR="007C7675" w:rsidRPr="00C97227" w:rsidRDefault="007C7675" w:rsidP="007C7675">
      <w:pPr>
        <w:spacing w:after="120" w:line="400" w:lineRule="exact"/>
        <w:jc w:val="both"/>
        <w:textDirection w:val="tbRlV"/>
        <w:rPr>
          <w:rFonts w:cs="Traditional Arabic"/>
          <w:b/>
          <w:bCs/>
          <w:sz w:val="34"/>
          <w:szCs w:val="34"/>
          <w:rtl/>
          <w:lang w:val="en-GB" w:eastAsia="zh-TW"/>
        </w:rPr>
      </w:pPr>
      <w:r w:rsidRPr="00C97227">
        <w:rPr>
          <w:rFonts w:cs="Traditional Arabic"/>
          <w:b/>
          <w:bCs/>
          <w:sz w:val="34"/>
          <w:szCs w:val="34"/>
          <w:rtl/>
          <w:lang w:val="en-GB" w:eastAsia="zh-TW"/>
        </w:rPr>
        <w:lastRenderedPageBreak/>
        <w:t>مرفق المقرر ا ب-14/</w:t>
      </w:r>
      <w:r>
        <w:rPr>
          <w:rFonts w:cs="Traditional Arabic"/>
          <w:b/>
          <w:bCs/>
          <w:sz w:val="34"/>
          <w:szCs w:val="34"/>
          <w:rtl/>
          <w:lang w:val="en-GB" w:eastAsia="zh-TW"/>
        </w:rPr>
        <w:t>19</w:t>
      </w:r>
    </w:p>
    <w:p w14:paraId="1F18029C" w14:textId="77777777" w:rsidR="007C7675" w:rsidRPr="00C97227" w:rsidRDefault="007C7675" w:rsidP="007C7675">
      <w:pPr>
        <w:tabs>
          <w:tab w:val="left" w:pos="2408"/>
        </w:tabs>
        <w:spacing w:before="360" w:after="120" w:line="400" w:lineRule="exact"/>
        <w:ind w:left="1134"/>
        <w:jc w:val="both"/>
        <w:textDirection w:val="tbRlV"/>
        <w:rPr>
          <w:rFonts w:cs="Traditional Arabic"/>
          <w:b/>
          <w:bCs/>
          <w:sz w:val="32"/>
          <w:szCs w:val="32"/>
          <w:rtl/>
          <w:lang w:val="en-GB" w:eastAsia="zh-TW"/>
        </w:rPr>
      </w:pPr>
      <w:r w:rsidRPr="00C97227">
        <w:rPr>
          <w:rFonts w:cs="Traditional Arabic"/>
          <w:b/>
          <w:bCs/>
          <w:sz w:val="32"/>
          <w:szCs w:val="32"/>
          <w:rtl/>
          <w:lang w:val="en-GB" w:eastAsia="zh-TW"/>
        </w:rPr>
        <w:t>خطة عمل شراكة النفايات المنزلية لفترة السنتين 2020-2021</w:t>
      </w:r>
    </w:p>
    <w:p w14:paraId="7728DA48" w14:textId="77777777" w:rsidR="007C7675" w:rsidRPr="00C97227" w:rsidRDefault="007C7675" w:rsidP="007C7675">
      <w:pPr>
        <w:spacing w:after="120" w:line="400" w:lineRule="exact"/>
        <w:ind w:left="1133"/>
        <w:jc w:val="both"/>
        <w:textDirection w:val="tbRlV"/>
        <w:rPr>
          <w:rFonts w:cs="Traditional Arabic"/>
          <w:sz w:val="22"/>
          <w:szCs w:val="30"/>
          <w:rtl/>
          <w:lang w:val="en-GB" w:eastAsia="zh-TW"/>
        </w:rPr>
      </w:pPr>
      <w:r w:rsidRPr="00C97227">
        <w:rPr>
          <w:rFonts w:cs="Traditional Arabic"/>
          <w:sz w:val="22"/>
          <w:szCs w:val="30"/>
          <w:rtl/>
          <w:lang w:val="en-GB" w:eastAsia="zh-TW"/>
        </w:rPr>
        <w:t>سيقوم الفريق العامل التابع لشراكة النفايات المنزلية وأي أفرقة مشاريع تُنشأ في إطاره بالمهام التالية:</w:t>
      </w:r>
    </w:p>
    <w:p w14:paraId="754B0486" w14:textId="77777777" w:rsidR="007C7675" w:rsidRPr="00C97227" w:rsidRDefault="007C7675" w:rsidP="007C7675">
      <w:pPr>
        <w:tabs>
          <w:tab w:val="left" w:pos="2409"/>
        </w:tabs>
        <w:spacing w:after="120" w:line="400" w:lineRule="exact"/>
        <w:ind w:left="1132" w:firstLine="710"/>
        <w:jc w:val="both"/>
        <w:textDirection w:val="tbRlV"/>
        <w:rPr>
          <w:rFonts w:cs="Traditional Arabic"/>
          <w:sz w:val="22"/>
          <w:szCs w:val="30"/>
          <w:rtl/>
          <w:lang w:val="en-GB" w:eastAsia="zh-TW"/>
        </w:rPr>
      </w:pPr>
      <w:r w:rsidRPr="00C97227">
        <w:rPr>
          <w:rFonts w:cs="Traditional Arabic"/>
          <w:sz w:val="22"/>
          <w:szCs w:val="30"/>
          <w:rtl/>
          <w:lang w:val="en-GB" w:eastAsia="zh-TW"/>
        </w:rPr>
        <w:t>(أ)</w:t>
      </w:r>
      <w:r w:rsidRPr="00C97227">
        <w:rPr>
          <w:rFonts w:cs="Traditional Arabic"/>
          <w:sz w:val="22"/>
          <w:szCs w:val="30"/>
          <w:rtl/>
          <w:lang w:val="en-GB" w:eastAsia="zh-TW"/>
        </w:rPr>
        <w:tab/>
      </w:r>
      <w:r>
        <w:rPr>
          <w:rFonts w:cs="Traditional Arabic"/>
          <w:sz w:val="22"/>
          <w:szCs w:val="30"/>
          <w:rtl/>
          <w:lang w:val="en-GB" w:eastAsia="zh-TW"/>
        </w:rPr>
        <w:t>مواصلة إعداد</w:t>
      </w:r>
      <w:r w:rsidRPr="00C97227">
        <w:rPr>
          <w:rFonts w:cs="Traditional Arabic"/>
          <w:sz w:val="22"/>
          <w:szCs w:val="30"/>
          <w:rtl/>
          <w:lang w:val="en-GB" w:eastAsia="zh-TW"/>
        </w:rPr>
        <w:t xml:space="preserve"> مشروع </w:t>
      </w:r>
      <w:r>
        <w:rPr>
          <w:rFonts w:cs="Traditional Arabic"/>
          <w:sz w:val="22"/>
          <w:szCs w:val="30"/>
          <w:rtl/>
          <w:lang w:val="en-GB" w:eastAsia="zh-TW"/>
        </w:rPr>
        <w:t>الوثيقة التوجيهية الشاملة</w:t>
      </w:r>
      <w:r w:rsidRPr="00C97227">
        <w:rPr>
          <w:rFonts w:cs="Traditional Arabic"/>
          <w:sz w:val="22"/>
          <w:szCs w:val="30"/>
          <w:rtl/>
          <w:lang w:val="en-GB" w:eastAsia="zh-TW"/>
        </w:rPr>
        <w:t xml:space="preserve"> بشأن الإدارة السليمة بيئياً للنفايات المنزلية؛</w:t>
      </w:r>
    </w:p>
    <w:p w14:paraId="59F978FF" w14:textId="77777777" w:rsidR="007C7675" w:rsidRPr="004762AD" w:rsidRDefault="007C7675" w:rsidP="007C7675">
      <w:pPr>
        <w:tabs>
          <w:tab w:val="left" w:pos="2409"/>
        </w:tabs>
        <w:spacing w:after="120" w:line="400" w:lineRule="exact"/>
        <w:ind w:left="1132" w:firstLine="710"/>
        <w:jc w:val="both"/>
        <w:textDirection w:val="tbRlV"/>
        <w:rPr>
          <w:rFonts w:cs="Traditional Arabic"/>
          <w:w w:val="91"/>
          <w:sz w:val="22"/>
          <w:szCs w:val="30"/>
          <w:rtl/>
          <w:lang w:val="en-GB" w:eastAsia="zh-TW"/>
        </w:rPr>
      </w:pPr>
      <w:r w:rsidRPr="00C97227">
        <w:rPr>
          <w:rFonts w:cs="Traditional Arabic"/>
          <w:sz w:val="22"/>
          <w:szCs w:val="30"/>
          <w:rtl/>
          <w:lang w:val="en-GB" w:eastAsia="zh-TW"/>
        </w:rPr>
        <w:t>(ب)</w:t>
      </w:r>
      <w:r w:rsidRPr="00C97227">
        <w:rPr>
          <w:rFonts w:cs="Traditional Arabic"/>
          <w:sz w:val="22"/>
          <w:szCs w:val="30"/>
          <w:rtl/>
          <w:lang w:val="en-GB" w:eastAsia="zh-TW"/>
        </w:rPr>
        <w:tab/>
      </w:r>
      <w:r w:rsidRPr="004762AD">
        <w:rPr>
          <w:rFonts w:cs="Traditional Arabic"/>
          <w:w w:val="91"/>
          <w:sz w:val="22"/>
          <w:szCs w:val="30"/>
          <w:rtl/>
          <w:lang w:val="en-GB" w:eastAsia="zh-TW"/>
        </w:rPr>
        <w:t>جمع دراسات الحالة الإفرادية من المناطق المختلفة فيما يتعلق بالمواضيع التي جرى تناولها في الوثيقة التوجيهية؛</w:t>
      </w:r>
    </w:p>
    <w:p w14:paraId="52A3B344" w14:textId="77777777" w:rsidR="007C7675" w:rsidRPr="00C97227" w:rsidRDefault="007C7675" w:rsidP="007C7675">
      <w:pPr>
        <w:tabs>
          <w:tab w:val="left" w:pos="2409"/>
        </w:tabs>
        <w:spacing w:after="120" w:line="400" w:lineRule="exact"/>
        <w:ind w:left="1132" w:firstLine="710"/>
        <w:jc w:val="both"/>
        <w:textDirection w:val="tbRlV"/>
        <w:rPr>
          <w:rFonts w:cs="Traditional Arabic"/>
          <w:sz w:val="22"/>
          <w:szCs w:val="30"/>
          <w:rtl/>
          <w:lang w:val="en-GB" w:eastAsia="zh-TW"/>
        </w:rPr>
      </w:pPr>
      <w:r w:rsidRPr="00C97227">
        <w:rPr>
          <w:rFonts w:cs="Traditional Arabic"/>
          <w:sz w:val="22"/>
          <w:szCs w:val="30"/>
          <w:rtl/>
          <w:lang w:val="en-GB" w:eastAsia="zh-TW"/>
        </w:rPr>
        <w:t>(ج)</w:t>
      </w:r>
      <w:r w:rsidRPr="00C97227">
        <w:rPr>
          <w:rFonts w:cs="Traditional Arabic"/>
          <w:sz w:val="22"/>
          <w:szCs w:val="30"/>
          <w:rtl/>
          <w:lang w:val="en-GB" w:eastAsia="zh-TW"/>
        </w:rPr>
        <w:tab/>
        <w:t>تعزيز أنشطة التوعية والتدريب في مجال الإدارة السليمة بيئياً للنفايات المنزلية وتعزيز مشاركة الناس في أنشطة إدارة النفايات المنزلية وعمليات صنع القرار المتعلقة بها؛</w:t>
      </w:r>
    </w:p>
    <w:p w14:paraId="6D210F5E" w14:textId="77777777" w:rsidR="007C7675" w:rsidRPr="00C97227" w:rsidRDefault="007C7675" w:rsidP="007C7675">
      <w:pPr>
        <w:tabs>
          <w:tab w:val="left" w:pos="2409"/>
        </w:tabs>
        <w:spacing w:after="120" w:line="400" w:lineRule="exact"/>
        <w:ind w:left="1132" w:firstLine="710"/>
        <w:jc w:val="both"/>
        <w:textDirection w:val="tbRlV"/>
        <w:rPr>
          <w:rFonts w:cs="Traditional Arabic"/>
          <w:sz w:val="22"/>
          <w:szCs w:val="30"/>
          <w:rtl/>
          <w:lang w:val="en-GB" w:eastAsia="zh-TW"/>
        </w:rPr>
      </w:pPr>
      <w:r w:rsidRPr="00C97227">
        <w:rPr>
          <w:rFonts w:cs="Traditional Arabic"/>
          <w:sz w:val="22"/>
          <w:szCs w:val="30"/>
          <w:rtl/>
          <w:lang w:val="en-GB" w:eastAsia="zh-TW"/>
        </w:rPr>
        <w:t>(د)</w:t>
      </w:r>
      <w:r w:rsidRPr="00C97227">
        <w:rPr>
          <w:rFonts w:cs="Traditional Arabic"/>
          <w:sz w:val="22"/>
          <w:szCs w:val="30"/>
          <w:rtl/>
          <w:lang w:val="en-GB" w:eastAsia="zh-TW"/>
        </w:rPr>
        <w:tab/>
        <w:t>تنسيق أنشطة التوعية والتعاون مع المنظمات الأخرى العاملة في مجال إدارة النفايات المنزلية</w:t>
      </w:r>
      <w:r>
        <w:rPr>
          <w:rFonts w:cs="Traditional Arabic"/>
          <w:sz w:val="22"/>
          <w:szCs w:val="30"/>
          <w:rtl/>
          <w:lang w:val="en-GB" w:eastAsia="zh-TW"/>
        </w:rPr>
        <w:t>، بما في ذلك الشراكة بشأن النفايات البلاستيكية</w:t>
      </w:r>
      <w:r w:rsidRPr="00C97227">
        <w:rPr>
          <w:rFonts w:cs="Traditional Arabic"/>
          <w:sz w:val="22"/>
          <w:szCs w:val="30"/>
          <w:rtl/>
          <w:lang w:val="en-GB" w:eastAsia="zh-TW"/>
        </w:rPr>
        <w:t>.</w:t>
      </w:r>
    </w:p>
    <w:p w14:paraId="75BCC626" w14:textId="77777777" w:rsidR="00F935A6" w:rsidRPr="007C7675" w:rsidRDefault="00F935A6" w:rsidP="007C7675">
      <w:bookmarkStart w:id="1" w:name="_GoBack"/>
      <w:bookmarkEnd w:id="1"/>
    </w:p>
    <w:sectPr w:rsidR="00F935A6" w:rsidRPr="007C767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BA5142" w14:textId="77777777" w:rsidR="00D44429" w:rsidRDefault="00D44429" w:rsidP="002A245B">
      <w:r>
        <w:separator/>
      </w:r>
    </w:p>
  </w:endnote>
  <w:endnote w:type="continuationSeparator" w:id="0">
    <w:p w14:paraId="2599FEE5" w14:textId="77777777" w:rsidR="00D44429" w:rsidRDefault="00D44429" w:rsidP="002A2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Traditional Arabic">
    <w:charset w:val="B2"/>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801076" w14:textId="77777777" w:rsidR="00D44429" w:rsidRDefault="00D44429" w:rsidP="002A245B">
      <w:r>
        <w:separator/>
      </w:r>
    </w:p>
  </w:footnote>
  <w:footnote w:type="continuationSeparator" w:id="0">
    <w:p w14:paraId="4099054E" w14:textId="77777777" w:rsidR="00D44429" w:rsidRDefault="00D44429" w:rsidP="002A245B">
      <w:r>
        <w:continuationSeparator/>
      </w:r>
    </w:p>
  </w:footnote>
  <w:footnote w:id="1">
    <w:p w14:paraId="285776EC" w14:textId="77777777" w:rsidR="007C7675" w:rsidRDefault="007C7675" w:rsidP="007C7675">
      <w:pPr>
        <w:pStyle w:val="FootnoteText"/>
        <w:spacing w:after="20" w:line="300" w:lineRule="exact"/>
        <w:ind w:left="1133"/>
        <w:rPr>
          <w:szCs w:val="30"/>
          <w:lang w:eastAsia="zh-TW"/>
        </w:rPr>
      </w:pPr>
      <w:r>
        <w:rPr>
          <w:rFonts w:ascii="Traditional Arabic" w:hAnsi="Traditional Arabic" w:cs="Traditional Arabic"/>
          <w:sz w:val="26"/>
          <w:szCs w:val="26"/>
          <w:rtl/>
          <w:lang w:val="en-GB" w:eastAsia="zh-TW"/>
        </w:rPr>
        <w:t>(</w:t>
      </w:r>
      <w:r w:rsidRPr="0003436D">
        <w:rPr>
          <w:rStyle w:val="FootnoteReference"/>
          <w:rFonts w:ascii="Traditional Arabic" w:hAnsi="Traditional Arabic" w:cs="Traditional Arabic"/>
          <w:sz w:val="26"/>
          <w:szCs w:val="26"/>
          <w:rtl/>
          <w:lang w:val="en-GB" w:eastAsia="zh-TW"/>
        </w:rPr>
        <w:footnoteRef/>
      </w:r>
      <w:r>
        <w:rPr>
          <w:rFonts w:ascii="Traditional Arabic" w:hAnsi="Traditional Arabic" w:cs="Traditional Arabic"/>
          <w:sz w:val="26"/>
          <w:szCs w:val="26"/>
          <w:rtl/>
          <w:lang w:val="en-GB" w:eastAsia="zh-TW"/>
        </w:rPr>
        <w:t xml:space="preserve">) </w:t>
      </w:r>
      <w:r>
        <w:rPr>
          <w:rFonts w:ascii="Traditional Arabic" w:hAnsi="Traditional Arabic" w:cs="Traditional Arabic"/>
          <w:sz w:val="26"/>
          <w:szCs w:val="26"/>
          <w:lang w:val="en-GB" w:eastAsia="zh-TW"/>
        </w:rPr>
        <w:t xml:space="preserve"> </w:t>
      </w:r>
      <w:r>
        <w:rPr>
          <w:rFonts w:ascii="Traditional Arabic" w:hAnsi="Traditional Arabic" w:cs="Traditional Arabic" w:hint="cs"/>
          <w:sz w:val="26"/>
          <w:szCs w:val="26"/>
          <w:rtl/>
          <w:lang w:val="en-GB" w:eastAsia="zh-TW"/>
        </w:rPr>
        <w:t>اعتمد بموجب المقرر</w:t>
      </w:r>
      <w:r>
        <w:rPr>
          <w:rFonts w:ascii="Traditional Arabic" w:hAnsi="Traditional Arabic" w:cs="Traditional Arabic"/>
          <w:sz w:val="26"/>
          <w:szCs w:val="26"/>
          <w:lang w:val="en-GB" w:eastAsia="zh-TW"/>
        </w:rPr>
        <w:t xml:space="preserve"> </w:t>
      </w:r>
      <w:r>
        <w:rPr>
          <w:rFonts w:ascii="Traditional Arabic" w:hAnsi="Traditional Arabic" w:cs="Traditional Arabic"/>
          <w:sz w:val="26"/>
          <w:szCs w:val="26"/>
          <w:rtl/>
          <w:lang w:val="en-GB" w:eastAsia="zh-TW"/>
        </w:rPr>
        <w:t xml:space="preserve">5/1، </w:t>
      </w:r>
      <w:r>
        <w:rPr>
          <w:rFonts w:ascii="Traditional Arabic" w:hAnsi="Traditional Arabic" w:cs="Traditional Arabic" w:hint="cs"/>
          <w:sz w:val="26"/>
          <w:szCs w:val="26"/>
          <w:rtl/>
          <w:lang w:val="en-GB" w:eastAsia="zh-TW"/>
        </w:rPr>
        <w:t>ويرد</w:t>
      </w:r>
      <w:r>
        <w:rPr>
          <w:rFonts w:ascii="Traditional Arabic" w:hAnsi="Traditional Arabic" w:cs="Traditional Arabic"/>
          <w:sz w:val="26"/>
          <w:szCs w:val="26"/>
          <w:rtl/>
          <w:lang w:val="en-GB" w:eastAsia="zh-TW"/>
        </w:rPr>
        <w:t xml:space="preserve"> في الوثيقة</w:t>
      </w:r>
      <w:r>
        <w:rPr>
          <w:sz w:val="18"/>
          <w:szCs w:val="18"/>
          <w:lang w:val="en-GB" w:eastAsia="zh-TW"/>
        </w:rPr>
        <w:t>UNEP/CHW.5/29</w:t>
      </w:r>
      <w:r>
        <w:rPr>
          <w:lang w:val="en-GB" w:eastAsia="zh-TW"/>
        </w:rPr>
        <w:t xml:space="preserve"> </w:t>
      </w:r>
      <w:r>
        <w:rPr>
          <w:rFonts w:ascii="Traditional Arabic" w:hAnsi="Traditional Arabic" w:cs="Traditional Arabic"/>
          <w:sz w:val="26"/>
          <w:szCs w:val="26"/>
          <w:rtl/>
          <w:lang w:val="en-GB" w:eastAsia="zh-TW"/>
        </w:rPr>
        <w:t>، المرفق الثاني.</w:t>
      </w:r>
    </w:p>
  </w:footnote>
  <w:footnote w:id="2">
    <w:p w14:paraId="3E79F342" w14:textId="77777777" w:rsidR="007C7675" w:rsidRDefault="007C7675" w:rsidP="007C7675">
      <w:pPr>
        <w:pStyle w:val="FootnoteText"/>
        <w:spacing w:after="20" w:line="300" w:lineRule="exact"/>
        <w:ind w:left="1133"/>
        <w:rPr>
          <w:szCs w:val="30"/>
          <w:rtl/>
          <w:lang w:eastAsia="zh-TW"/>
        </w:rPr>
      </w:pPr>
      <w:r>
        <w:rPr>
          <w:rFonts w:ascii="Traditional Arabic" w:hAnsi="Traditional Arabic" w:cs="Traditional Arabic"/>
          <w:sz w:val="26"/>
          <w:szCs w:val="26"/>
          <w:rtl/>
          <w:lang w:val="en-GB" w:eastAsia="zh-TW"/>
        </w:rPr>
        <w:t>(</w:t>
      </w:r>
      <w:r w:rsidRPr="0003436D">
        <w:rPr>
          <w:rStyle w:val="FootnoteReference"/>
          <w:rFonts w:ascii="Traditional Arabic" w:hAnsi="Traditional Arabic" w:cs="Traditional Arabic"/>
          <w:sz w:val="26"/>
          <w:szCs w:val="26"/>
          <w:rtl/>
          <w:lang w:val="en-GB" w:eastAsia="zh-TW"/>
        </w:rPr>
        <w:footnoteRef/>
      </w:r>
      <w:r>
        <w:rPr>
          <w:rFonts w:ascii="Traditional Arabic" w:hAnsi="Traditional Arabic" w:cs="Traditional Arabic"/>
          <w:sz w:val="26"/>
          <w:szCs w:val="26"/>
          <w:rtl/>
          <w:lang w:val="en-GB" w:eastAsia="zh-TW"/>
        </w:rPr>
        <w:t xml:space="preserve">)  </w:t>
      </w:r>
      <w:r>
        <w:rPr>
          <w:rFonts w:ascii="Traditional Arabic" w:hAnsi="Traditional Arabic" w:cs="Traditional Arabic" w:hint="cs"/>
          <w:sz w:val="26"/>
          <w:szCs w:val="26"/>
          <w:rtl/>
          <w:lang w:val="en-GB" w:eastAsia="zh-TW"/>
        </w:rPr>
        <w:t>يرد</w:t>
      </w:r>
      <w:r>
        <w:rPr>
          <w:rFonts w:ascii="Traditional Arabic" w:hAnsi="Traditional Arabic" w:cs="Traditional Arabic"/>
          <w:sz w:val="26"/>
          <w:szCs w:val="26"/>
          <w:rtl/>
          <w:lang w:val="en-GB" w:eastAsia="zh-TW"/>
        </w:rPr>
        <w:t xml:space="preserve"> في الوثيقة</w:t>
      </w:r>
      <w:r>
        <w:rPr>
          <w:rFonts w:hint="cs"/>
          <w:rtl/>
          <w:lang w:val="en-GB" w:eastAsia="zh-TW"/>
        </w:rPr>
        <w:t xml:space="preserve"> </w:t>
      </w:r>
      <w:r>
        <w:rPr>
          <w:sz w:val="18"/>
          <w:szCs w:val="18"/>
        </w:rPr>
        <w:t>UNEP/CHW.8/16</w:t>
      </w:r>
      <w:r>
        <w:rPr>
          <w:rFonts w:ascii="Traditional Arabic" w:hAnsi="Traditional Arabic" w:cs="Traditional Arabic"/>
          <w:sz w:val="26"/>
          <w:szCs w:val="26"/>
          <w:rtl/>
          <w:lang w:val="en-GB" w:eastAsia="zh-TW"/>
        </w:rPr>
        <w:t>، المرفق الرابع.</w:t>
      </w:r>
    </w:p>
  </w:footnote>
  <w:footnote w:id="3">
    <w:p w14:paraId="6775F54E" w14:textId="77777777" w:rsidR="007C7675" w:rsidRPr="002B3B41" w:rsidRDefault="007C7675" w:rsidP="007C7675">
      <w:pPr>
        <w:pStyle w:val="FootnoteText"/>
        <w:spacing w:after="40" w:line="300" w:lineRule="exact"/>
        <w:ind w:left="1134"/>
        <w:rPr>
          <w:rFonts w:ascii="Traditional Arabic" w:hAnsi="Traditional Arabic" w:cs="Traditional Arabic"/>
          <w:sz w:val="26"/>
          <w:szCs w:val="26"/>
        </w:rPr>
      </w:pPr>
      <w:r w:rsidRPr="002B3B41">
        <w:rPr>
          <w:rFonts w:ascii="Traditional Arabic" w:hAnsi="Traditional Arabic" w:cs="Traditional Arabic" w:hint="cs"/>
          <w:sz w:val="26"/>
          <w:szCs w:val="26"/>
          <w:rtl/>
        </w:rPr>
        <w:t>(</w:t>
      </w:r>
      <w:r w:rsidRPr="002B3B41">
        <w:rPr>
          <w:rStyle w:val="FootnoteReference"/>
          <w:rFonts w:ascii="Traditional Arabic" w:hAnsi="Traditional Arabic" w:cs="Traditional Arabic" w:hint="cs"/>
          <w:sz w:val="26"/>
          <w:szCs w:val="26"/>
        </w:rPr>
        <w:footnoteRef/>
      </w:r>
      <w:r w:rsidRPr="002B3B41">
        <w:rPr>
          <w:rFonts w:ascii="Traditional Arabic" w:hAnsi="Traditional Arabic" w:cs="Traditional Arabic" w:hint="cs"/>
          <w:sz w:val="26"/>
          <w:szCs w:val="26"/>
          <w:rtl/>
        </w:rPr>
        <w:t xml:space="preserve">)  </w:t>
      </w:r>
      <w:r w:rsidRPr="002B3B41">
        <w:rPr>
          <w:rFonts w:asciiTheme="majorBidi" w:hAnsiTheme="majorBidi" w:cstheme="majorBidi"/>
          <w:sz w:val="18"/>
          <w:szCs w:val="18"/>
          <w:lang w:eastAsia="zh-TW"/>
        </w:rPr>
        <w:t>UNEP/CHW.14/INF/31</w:t>
      </w:r>
      <w:r w:rsidRPr="002B3B41">
        <w:rPr>
          <w:rFonts w:ascii="Traditional Arabic" w:hAnsi="Traditional Arabic" w:cs="Traditional Arabic" w:hint="cs"/>
          <w:sz w:val="26"/>
          <w:szCs w:val="26"/>
          <w:rtl/>
          <w:lang w:eastAsia="zh-TW"/>
        </w:rPr>
        <w:t>، المرفق</w:t>
      </w:r>
      <w:r w:rsidRPr="002B3B41">
        <w:rPr>
          <w:rFonts w:ascii="Traditional Arabic" w:hAnsi="Traditional Arabic" w:cs="Traditional Arabic" w:hint="cs"/>
          <w:sz w:val="26"/>
          <w:szCs w:val="26"/>
          <w:lang w:eastAsia="zh-TW"/>
        </w:rPr>
        <w:t>.</w:t>
      </w:r>
    </w:p>
  </w:footnote>
  <w:footnote w:id="4">
    <w:p w14:paraId="3350925F" w14:textId="77777777" w:rsidR="007C7675" w:rsidRPr="00B73046" w:rsidRDefault="007C7675" w:rsidP="007C7675">
      <w:pPr>
        <w:pStyle w:val="FootnoteText"/>
        <w:spacing w:after="40" w:line="300" w:lineRule="exact"/>
        <w:ind w:left="1134"/>
        <w:rPr>
          <w:rFonts w:ascii="Traditional Arabic" w:hAnsi="Traditional Arabic" w:cs="Traditional Arabic"/>
          <w:sz w:val="26"/>
          <w:szCs w:val="26"/>
        </w:rPr>
      </w:pPr>
      <w:r w:rsidRPr="00B73046">
        <w:rPr>
          <w:rFonts w:ascii="Traditional Arabic" w:hAnsi="Traditional Arabic" w:cs="Traditional Arabic"/>
          <w:sz w:val="26"/>
          <w:szCs w:val="26"/>
          <w:rtl/>
        </w:rPr>
        <w:t>(</w:t>
      </w:r>
      <w:r w:rsidRPr="00B73046">
        <w:rPr>
          <w:rFonts w:ascii="Traditional Arabic" w:hAnsi="Traditional Arabic" w:cs="Traditional Arabic"/>
          <w:sz w:val="26"/>
        </w:rPr>
        <w:footnoteRef/>
      </w:r>
      <w:r w:rsidRPr="00B73046">
        <w:rPr>
          <w:rFonts w:ascii="Traditional Arabic" w:hAnsi="Traditional Arabic" w:cs="Traditional Arabic"/>
          <w:sz w:val="26"/>
          <w:szCs w:val="26"/>
          <w:rtl/>
        </w:rPr>
        <w:t xml:space="preserve">)  </w:t>
      </w:r>
      <w:r w:rsidRPr="00B73046">
        <w:rPr>
          <w:rFonts w:asciiTheme="majorBidi" w:hAnsiTheme="majorBidi" w:cstheme="majorBidi"/>
          <w:sz w:val="18"/>
          <w:szCs w:val="18"/>
        </w:rPr>
        <w:t>UNEP/CHW.14/INF/32</w:t>
      </w:r>
      <w:r w:rsidRPr="00B73046">
        <w:rPr>
          <w:rFonts w:ascii="Traditional Arabic" w:hAnsi="Traditional Arabic" w:cs="Traditional Arabic"/>
          <w:sz w:val="26"/>
          <w:szCs w:val="26"/>
          <w:rt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4458F5"/>
    <w:multiLevelType w:val="hybridMultilevel"/>
    <w:tmpl w:val="DE641C52"/>
    <w:lvl w:ilvl="0" w:tplc="9E0489EC">
      <w:start w:val="1"/>
      <w:numFmt w:val="decimal"/>
      <w:lvlText w:val="%1-"/>
      <w:lvlJc w:val="left"/>
      <w:pPr>
        <w:ind w:left="2726" w:hanging="360"/>
      </w:pPr>
      <w:rPr>
        <w:rFonts w:hint="default"/>
        <w:i w:val="0"/>
        <w:iCs w:val="0"/>
      </w:rPr>
    </w:lvl>
    <w:lvl w:ilvl="1" w:tplc="5FD26FAA">
      <w:start w:val="1"/>
      <w:numFmt w:val="lowerLetter"/>
      <w:lvlText w:val="(%2)"/>
      <w:lvlJc w:val="left"/>
      <w:pPr>
        <w:ind w:left="3446" w:hanging="360"/>
      </w:pPr>
      <w:rPr>
        <w:rFonts w:hint="default"/>
        <w:i w:val="0"/>
        <w:iCs w:val="0"/>
      </w:rPr>
    </w:lvl>
    <w:lvl w:ilvl="2" w:tplc="0409001B" w:tentative="1">
      <w:start w:val="1"/>
      <w:numFmt w:val="lowerRoman"/>
      <w:lvlText w:val="%3."/>
      <w:lvlJc w:val="right"/>
      <w:pPr>
        <w:ind w:left="4166" w:hanging="180"/>
      </w:pPr>
    </w:lvl>
    <w:lvl w:ilvl="3" w:tplc="0409000F" w:tentative="1">
      <w:start w:val="1"/>
      <w:numFmt w:val="decimal"/>
      <w:lvlText w:val="%4."/>
      <w:lvlJc w:val="left"/>
      <w:pPr>
        <w:ind w:left="4886" w:hanging="360"/>
      </w:pPr>
    </w:lvl>
    <w:lvl w:ilvl="4" w:tplc="04090019" w:tentative="1">
      <w:start w:val="1"/>
      <w:numFmt w:val="lowerLetter"/>
      <w:lvlText w:val="%5."/>
      <w:lvlJc w:val="left"/>
      <w:pPr>
        <w:ind w:left="5606" w:hanging="360"/>
      </w:pPr>
    </w:lvl>
    <w:lvl w:ilvl="5" w:tplc="0409001B" w:tentative="1">
      <w:start w:val="1"/>
      <w:numFmt w:val="lowerRoman"/>
      <w:lvlText w:val="%6."/>
      <w:lvlJc w:val="right"/>
      <w:pPr>
        <w:ind w:left="6326" w:hanging="180"/>
      </w:pPr>
    </w:lvl>
    <w:lvl w:ilvl="6" w:tplc="0409000F" w:tentative="1">
      <w:start w:val="1"/>
      <w:numFmt w:val="decimal"/>
      <w:lvlText w:val="%7."/>
      <w:lvlJc w:val="left"/>
      <w:pPr>
        <w:ind w:left="7046" w:hanging="360"/>
      </w:pPr>
    </w:lvl>
    <w:lvl w:ilvl="7" w:tplc="04090019" w:tentative="1">
      <w:start w:val="1"/>
      <w:numFmt w:val="lowerLetter"/>
      <w:lvlText w:val="%8."/>
      <w:lvlJc w:val="left"/>
      <w:pPr>
        <w:ind w:left="7766" w:hanging="360"/>
      </w:pPr>
    </w:lvl>
    <w:lvl w:ilvl="8" w:tplc="0409001B" w:tentative="1">
      <w:start w:val="1"/>
      <w:numFmt w:val="lowerRoman"/>
      <w:lvlText w:val="%9."/>
      <w:lvlJc w:val="right"/>
      <w:pPr>
        <w:ind w:left="848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45B"/>
    <w:rsid w:val="002A245B"/>
    <w:rsid w:val="007C7675"/>
    <w:rsid w:val="00D44429"/>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AD4B8"/>
  <w15:chartTrackingRefBased/>
  <w15:docId w15:val="{9166044F-A035-425A-AB30-DD1B887E4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A245B"/>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2A245B"/>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rsid w:val="002A245B"/>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E Fußnotenzeichen,fr"/>
    <w:link w:val="BVIfnrCharCharCharChar"/>
    <w:uiPriority w:val="99"/>
    <w:qFormat/>
    <w:rsid w:val="002A245B"/>
    <w:rPr>
      <w:vertAlign w:val="superscript"/>
    </w:rPr>
  </w:style>
  <w:style w:type="paragraph" w:styleId="ListParagraph">
    <w:name w:val="List Paragraph"/>
    <w:basedOn w:val="Normal"/>
    <w:uiPriority w:val="34"/>
    <w:qFormat/>
    <w:rsid w:val="002A245B"/>
    <w:pPr>
      <w:bidi w:val="0"/>
      <w:spacing w:after="200" w:line="276" w:lineRule="auto"/>
      <w:ind w:left="720"/>
      <w:contextualSpacing/>
    </w:pPr>
    <w:rPr>
      <w:rFonts w:ascii="Calibri" w:eastAsia="Calibri" w:hAnsi="Calibri" w:cs="Arial"/>
      <w:sz w:val="22"/>
      <w:szCs w:val="22"/>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rsid w:val="002A245B"/>
    <w:pPr>
      <w:bidi w:val="0"/>
      <w:spacing w:before="120" w:after="160" w:line="240" w:lineRule="exact"/>
    </w:pPr>
    <w:rPr>
      <w:rFonts w:asciiTheme="minorHAnsi" w:eastAsiaTheme="minorEastAsia" w:hAnsiTheme="minorHAnsi" w:cstheme="minorBidi"/>
      <w:sz w:val="22"/>
      <w:szCs w:val="22"/>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1341</Words>
  <Characters>7646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2020-01-30T09:36:00Z</dcterms:created>
  <dcterms:modified xsi:type="dcterms:W3CDTF">2020-01-30T09:36:00Z</dcterms:modified>
</cp:coreProperties>
</file>