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05B30E" w14:textId="4B84D7AB" w:rsidR="00C408A1" w:rsidRPr="00B66330" w:rsidRDefault="00C408A1" w:rsidP="00C408A1">
      <w:pPr>
        <w:pStyle w:val="CH1"/>
        <w:spacing w:line="240" w:lineRule="auto"/>
        <w:rPr>
          <w:rFonts w:eastAsia="SimHei"/>
          <w:snapToGrid w:val="0"/>
          <w:sz w:val="32"/>
          <w:szCs w:val="32"/>
          <w:lang w:eastAsia="zh-CN"/>
        </w:rPr>
      </w:pPr>
      <w:r>
        <w:rPr>
          <w:rFonts w:eastAsia="SimHei"/>
          <w:bCs/>
          <w:snapToGrid w:val="0"/>
          <w:sz w:val="32"/>
          <w:szCs w:val="32"/>
          <w:lang w:val="zh-CN" w:eastAsia="zh-CN"/>
        </w:rPr>
        <w:tab/>
      </w:r>
      <w:r>
        <w:rPr>
          <w:rFonts w:eastAsia="SimHei"/>
          <w:bCs/>
          <w:snapToGrid w:val="0"/>
          <w:sz w:val="32"/>
          <w:szCs w:val="32"/>
          <w:lang w:val="zh-CN" w:eastAsia="zh-CN"/>
        </w:rPr>
        <w:tab/>
      </w:r>
      <w:bookmarkStart w:id="0" w:name="_GoBack"/>
      <w:bookmarkEnd w:id="0"/>
      <w:r w:rsidRPr="00B66330">
        <w:rPr>
          <w:rFonts w:eastAsia="SimHei"/>
          <w:bCs/>
          <w:snapToGrid w:val="0"/>
          <w:sz w:val="32"/>
          <w:szCs w:val="32"/>
          <w:lang w:val="zh-CN" w:eastAsia="zh-CN"/>
        </w:rPr>
        <w:t>BC-14/19</w:t>
      </w:r>
      <w:r w:rsidRPr="00B66330">
        <w:rPr>
          <w:rFonts w:eastAsia="SimHei"/>
          <w:bCs/>
          <w:snapToGrid w:val="0"/>
          <w:sz w:val="32"/>
          <w:szCs w:val="32"/>
          <w:lang w:val="zh-CN" w:eastAsia="zh-CN"/>
        </w:rPr>
        <w:t>：巴塞尔公约伙伴关系方案</w:t>
      </w:r>
    </w:p>
    <w:p w14:paraId="69B2C3D3" w14:textId="77777777" w:rsidR="00C408A1" w:rsidRPr="00682B39" w:rsidRDefault="00C408A1" w:rsidP="00C408A1">
      <w:pPr>
        <w:tabs>
          <w:tab w:val="left" w:pos="624"/>
        </w:tabs>
        <w:autoSpaceDE w:val="0"/>
        <w:autoSpaceDN w:val="0"/>
        <w:adjustRightInd w:val="0"/>
        <w:spacing w:line="240" w:lineRule="auto"/>
        <w:ind w:left="1247" w:firstLine="624"/>
        <w:rPr>
          <w:rFonts w:ascii="KaiTi" w:eastAsia="KaiTi" w:hAnsi="KaiTi" w:cs="楷体"/>
          <w:i/>
          <w:iCs/>
          <w:snapToGrid w:val="0"/>
          <w:sz w:val="24"/>
          <w:szCs w:val="24"/>
        </w:rPr>
      </w:pPr>
      <w:r w:rsidRPr="00682B39">
        <w:rPr>
          <w:rFonts w:ascii="KaiTi" w:eastAsia="KaiTi" w:hAnsi="KaiTi" w:cs="楷体" w:hint="eastAsia"/>
          <w:snapToGrid w:val="0"/>
          <w:sz w:val="24"/>
          <w:szCs w:val="24"/>
          <w:lang w:val="zh-CN"/>
        </w:rPr>
        <w:t>缔约方大会，</w:t>
      </w:r>
    </w:p>
    <w:p w14:paraId="0A0F6825" w14:textId="77777777" w:rsidR="00C408A1" w:rsidRPr="000B4994" w:rsidRDefault="00C408A1" w:rsidP="00C408A1">
      <w:pPr>
        <w:pStyle w:val="CH3"/>
        <w:tabs>
          <w:tab w:val="left" w:pos="624"/>
        </w:tabs>
        <w:spacing w:line="240" w:lineRule="auto"/>
        <w:ind w:firstLine="0"/>
        <w:jc w:val="center"/>
        <w:rPr>
          <w:rFonts w:eastAsia="SimHei"/>
          <w:snapToGrid w:val="0"/>
          <w:sz w:val="28"/>
          <w:szCs w:val="28"/>
          <w:lang w:eastAsia="zh-CN"/>
        </w:rPr>
      </w:pPr>
      <w:r w:rsidRPr="000B4994">
        <w:rPr>
          <w:rFonts w:eastAsia="SimHei"/>
          <w:bCs/>
          <w:snapToGrid w:val="0"/>
          <w:sz w:val="28"/>
          <w:szCs w:val="28"/>
          <w:lang w:val="zh-CN" w:eastAsia="zh-CN"/>
        </w:rPr>
        <w:t>一</w:t>
      </w:r>
    </w:p>
    <w:p w14:paraId="0C1B1BE7" w14:textId="77777777" w:rsidR="00C408A1" w:rsidRPr="000B4994" w:rsidRDefault="00C408A1" w:rsidP="00C408A1">
      <w:pPr>
        <w:pStyle w:val="CH3"/>
        <w:tabs>
          <w:tab w:val="clear" w:pos="851"/>
          <w:tab w:val="clear" w:pos="1247"/>
          <w:tab w:val="clear" w:pos="1814"/>
          <w:tab w:val="clear" w:pos="2381"/>
          <w:tab w:val="clear" w:pos="2948"/>
          <w:tab w:val="clear" w:pos="3515"/>
          <w:tab w:val="clear" w:pos="4082"/>
          <w:tab w:val="left" w:pos="624"/>
        </w:tabs>
        <w:spacing w:line="240" w:lineRule="auto"/>
        <w:ind w:firstLine="0"/>
        <w:jc w:val="center"/>
        <w:rPr>
          <w:rFonts w:eastAsia="SimHei"/>
          <w:snapToGrid w:val="0"/>
          <w:sz w:val="28"/>
          <w:szCs w:val="28"/>
          <w:lang w:eastAsia="zh-CN"/>
        </w:rPr>
      </w:pPr>
      <w:r w:rsidRPr="000B4994">
        <w:rPr>
          <w:rFonts w:eastAsia="SimHei"/>
          <w:bCs/>
          <w:snapToGrid w:val="0"/>
          <w:sz w:val="28"/>
          <w:szCs w:val="28"/>
          <w:lang w:val="zh-CN" w:eastAsia="zh-CN"/>
        </w:rPr>
        <w:t>计算机设备</w:t>
      </w:r>
      <w:proofErr w:type="gramStart"/>
      <w:r w:rsidRPr="000B4994">
        <w:rPr>
          <w:rFonts w:eastAsia="SimHei"/>
          <w:bCs/>
          <w:snapToGrid w:val="0"/>
          <w:sz w:val="28"/>
          <w:szCs w:val="28"/>
          <w:lang w:val="zh-CN" w:eastAsia="zh-CN"/>
        </w:rPr>
        <w:t>行动伙伴</w:t>
      </w:r>
      <w:proofErr w:type="gramEnd"/>
      <w:r w:rsidRPr="000B4994">
        <w:rPr>
          <w:rFonts w:eastAsia="SimHei"/>
          <w:bCs/>
          <w:snapToGrid w:val="0"/>
          <w:sz w:val="28"/>
          <w:szCs w:val="28"/>
          <w:lang w:val="zh-CN" w:eastAsia="zh-CN"/>
        </w:rPr>
        <w:t>关系后续伙伴关系</w:t>
      </w:r>
    </w:p>
    <w:p w14:paraId="070A12D6" w14:textId="77777777" w:rsidR="00C408A1" w:rsidRPr="00B66330" w:rsidRDefault="00C408A1" w:rsidP="00C408A1">
      <w:pPr>
        <w:tabs>
          <w:tab w:val="left" w:pos="624"/>
        </w:tabs>
        <w:spacing w:line="240" w:lineRule="auto"/>
        <w:ind w:left="1247" w:firstLine="624"/>
        <w:rPr>
          <w:snapToGrid w:val="0"/>
          <w:sz w:val="24"/>
          <w:szCs w:val="24"/>
        </w:rPr>
      </w:pPr>
      <w:r w:rsidRPr="00682B39">
        <w:rPr>
          <w:rFonts w:ascii="KaiTi" w:eastAsia="KaiTi" w:hAnsi="KaiTi" w:hint="eastAsia"/>
          <w:snapToGrid w:val="0"/>
          <w:sz w:val="24"/>
          <w:szCs w:val="24"/>
          <w:lang w:val="zh-CN"/>
        </w:rPr>
        <w:t>回顾</w:t>
      </w:r>
      <w:r>
        <w:rPr>
          <w:rFonts w:hint="eastAsia"/>
          <w:snapToGrid w:val="0"/>
          <w:sz w:val="24"/>
          <w:szCs w:val="24"/>
          <w:lang w:val="zh-CN"/>
        </w:rPr>
        <w:t>关于与环境非政府组织和与工商业界伙伴关系的</w:t>
      </w:r>
      <w:r w:rsidRPr="00B66330">
        <w:rPr>
          <w:snapToGrid w:val="0"/>
          <w:sz w:val="24"/>
          <w:szCs w:val="24"/>
          <w:lang w:val="zh-CN"/>
        </w:rPr>
        <w:t>第</w:t>
      </w:r>
      <w:r w:rsidRPr="00B66330">
        <w:rPr>
          <w:snapToGrid w:val="0"/>
          <w:sz w:val="24"/>
          <w:szCs w:val="24"/>
          <w:lang w:val="zh-CN"/>
        </w:rPr>
        <w:t>VI/32</w:t>
      </w:r>
      <w:r>
        <w:rPr>
          <w:rFonts w:hint="eastAsia"/>
          <w:snapToGrid w:val="0"/>
          <w:sz w:val="24"/>
          <w:szCs w:val="24"/>
          <w:lang w:val="zh-CN"/>
        </w:rPr>
        <w:t>号</w:t>
      </w:r>
      <w:r w:rsidRPr="00B66330">
        <w:rPr>
          <w:snapToGrid w:val="0"/>
          <w:sz w:val="24"/>
          <w:szCs w:val="24"/>
          <w:lang w:val="zh-CN"/>
        </w:rPr>
        <w:t>、</w:t>
      </w:r>
      <w:r>
        <w:rPr>
          <w:rFonts w:hint="eastAsia"/>
          <w:snapToGrid w:val="0"/>
          <w:sz w:val="24"/>
          <w:szCs w:val="24"/>
          <w:lang w:val="zh-CN"/>
        </w:rPr>
        <w:t>关于巴塞尔公约伙伴关系方案的第</w:t>
      </w:r>
      <w:r w:rsidRPr="00B66330">
        <w:rPr>
          <w:snapToGrid w:val="0"/>
          <w:sz w:val="24"/>
          <w:szCs w:val="24"/>
          <w:lang w:val="zh-CN"/>
        </w:rPr>
        <w:t>VII/3</w:t>
      </w:r>
      <w:r>
        <w:rPr>
          <w:rFonts w:hint="eastAsia"/>
          <w:snapToGrid w:val="0"/>
          <w:sz w:val="24"/>
          <w:szCs w:val="24"/>
          <w:lang w:val="zh-CN"/>
        </w:rPr>
        <w:t>号</w:t>
      </w:r>
      <w:r w:rsidRPr="00B66330">
        <w:rPr>
          <w:snapToGrid w:val="0"/>
          <w:sz w:val="24"/>
          <w:szCs w:val="24"/>
          <w:lang w:val="zh-CN"/>
        </w:rPr>
        <w:t>、</w:t>
      </w:r>
      <w:r>
        <w:rPr>
          <w:rFonts w:hint="eastAsia"/>
          <w:snapToGrid w:val="0"/>
          <w:sz w:val="24"/>
          <w:szCs w:val="24"/>
          <w:lang w:val="zh-CN"/>
        </w:rPr>
        <w:t>关于通过巴塞尔公约为电气和电子废物无害环境管理制订创新解决办法的第</w:t>
      </w:r>
      <w:r w:rsidRPr="00B66330">
        <w:rPr>
          <w:snapToGrid w:val="0"/>
          <w:sz w:val="24"/>
          <w:szCs w:val="24"/>
          <w:lang w:val="zh-CN"/>
        </w:rPr>
        <w:t>VIII/2</w:t>
      </w:r>
      <w:r>
        <w:rPr>
          <w:rFonts w:hint="eastAsia"/>
          <w:snapToGrid w:val="0"/>
          <w:sz w:val="24"/>
          <w:szCs w:val="24"/>
          <w:lang w:val="zh-CN"/>
        </w:rPr>
        <w:t>号</w:t>
      </w:r>
      <w:r w:rsidRPr="00B66330">
        <w:rPr>
          <w:snapToGrid w:val="0"/>
          <w:sz w:val="24"/>
          <w:szCs w:val="24"/>
          <w:lang w:val="zh-CN"/>
        </w:rPr>
        <w:t>、</w:t>
      </w:r>
      <w:r>
        <w:rPr>
          <w:rFonts w:hint="eastAsia"/>
          <w:snapToGrid w:val="0"/>
          <w:sz w:val="24"/>
          <w:szCs w:val="24"/>
          <w:lang w:val="zh-CN"/>
        </w:rPr>
        <w:t>关于巴塞尔公约伙伴关系方案的第</w:t>
      </w:r>
      <w:r w:rsidRPr="00B66330">
        <w:rPr>
          <w:snapToGrid w:val="0"/>
          <w:sz w:val="24"/>
          <w:szCs w:val="24"/>
          <w:lang w:val="zh-CN"/>
        </w:rPr>
        <w:t>VIII/5</w:t>
      </w:r>
      <w:r>
        <w:rPr>
          <w:rFonts w:hint="eastAsia"/>
          <w:snapToGrid w:val="0"/>
          <w:sz w:val="24"/>
          <w:szCs w:val="24"/>
          <w:lang w:val="zh-CN"/>
        </w:rPr>
        <w:t>号</w:t>
      </w:r>
      <w:r w:rsidRPr="00B66330">
        <w:rPr>
          <w:snapToGrid w:val="0"/>
          <w:sz w:val="24"/>
          <w:szCs w:val="24"/>
          <w:lang w:val="zh-CN"/>
        </w:rPr>
        <w:t>和</w:t>
      </w:r>
      <w:r>
        <w:rPr>
          <w:rFonts w:hint="eastAsia"/>
          <w:snapToGrid w:val="0"/>
          <w:sz w:val="24"/>
          <w:szCs w:val="24"/>
          <w:lang w:val="zh-CN"/>
        </w:rPr>
        <w:t>关于计算机设备</w:t>
      </w:r>
      <w:proofErr w:type="gramStart"/>
      <w:r>
        <w:rPr>
          <w:rFonts w:hint="eastAsia"/>
          <w:snapToGrid w:val="0"/>
          <w:sz w:val="24"/>
          <w:szCs w:val="24"/>
          <w:lang w:val="zh-CN"/>
        </w:rPr>
        <w:t>行动伙伴</w:t>
      </w:r>
      <w:proofErr w:type="gramEnd"/>
      <w:r>
        <w:rPr>
          <w:rFonts w:hint="eastAsia"/>
          <w:snapToGrid w:val="0"/>
          <w:sz w:val="24"/>
          <w:szCs w:val="24"/>
          <w:lang w:val="zh-CN"/>
        </w:rPr>
        <w:t>关系的第</w:t>
      </w:r>
      <w:r>
        <w:rPr>
          <w:rFonts w:hint="eastAsia"/>
          <w:snapToGrid w:val="0"/>
          <w:sz w:val="24"/>
          <w:szCs w:val="24"/>
          <w:lang w:val="zh-CN"/>
        </w:rPr>
        <w:t>1</w:t>
      </w:r>
      <w:r>
        <w:rPr>
          <w:snapToGrid w:val="0"/>
          <w:sz w:val="24"/>
          <w:szCs w:val="24"/>
          <w:lang w:val="zh-CN"/>
        </w:rPr>
        <w:t>3</w:t>
      </w:r>
      <w:r w:rsidRPr="00B66330">
        <w:rPr>
          <w:snapToGrid w:val="0"/>
          <w:sz w:val="24"/>
          <w:szCs w:val="24"/>
          <w:lang w:val="zh-CN"/>
        </w:rPr>
        <w:t>/12</w:t>
      </w:r>
      <w:r w:rsidRPr="00B66330">
        <w:rPr>
          <w:snapToGrid w:val="0"/>
          <w:sz w:val="24"/>
          <w:szCs w:val="24"/>
          <w:lang w:val="zh-CN"/>
        </w:rPr>
        <w:t>号决定，</w:t>
      </w:r>
    </w:p>
    <w:p w14:paraId="28814BC6" w14:textId="77777777" w:rsidR="00C408A1" w:rsidRPr="00B66330" w:rsidRDefault="00C408A1" w:rsidP="00C408A1">
      <w:pPr>
        <w:tabs>
          <w:tab w:val="left" w:pos="624"/>
        </w:tabs>
        <w:spacing w:line="240" w:lineRule="auto"/>
        <w:ind w:left="1247" w:firstLine="624"/>
        <w:rPr>
          <w:snapToGrid w:val="0"/>
          <w:sz w:val="24"/>
          <w:szCs w:val="24"/>
        </w:rPr>
      </w:pPr>
      <w:r w:rsidRPr="00682B39">
        <w:rPr>
          <w:rFonts w:ascii="KaiTi" w:eastAsia="KaiTi" w:hAnsi="KaiTi" w:hint="eastAsia"/>
          <w:snapToGrid w:val="0"/>
          <w:sz w:val="24"/>
          <w:szCs w:val="24"/>
          <w:lang w:val="zh-CN"/>
        </w:rPr>
        <w:t>考虑到</w:t>
      </w:r>
      <w:r w:rsidRPr="00B66330">
        <w:rPr>
          <w:snapToGrid w:val="0"/>
          <w:sz w:val="24"/>
          <w:szCs w:val="24"/>
          <w:lang w:val="zh-CN"/>
        </w:rPr>
        <w:t>《关于无害环境管理的巴塞尔宣言》</w:t>
      </w:r>
      <w:r w:rsidRPr="00B66330">
        <w:rPr>
          <w:rStyle w:val="FootnoteReference"/>
          <w:snapToGrid w:val="0"/>
          <w:sz w:val="24"/>
          <w:szCs w:val="24"/>
          <w:lang w:val="zh-CN"/>
        </w:rPr>
        <w:footnoteReference w:id="1"/>
      </w:r>
      <w:r w:rsidRPr="00B66330">
        <w:rPr>
          <w:snapToGrid w:val="0"/>
          <w:sz w:val="24"/>
          <w:szCs w:val="24"/>
          <w:lang w:val="zh-CN"/>
        </w:rPr>
        <w:t>和《关于对电气和电子废物实行无害环境管理的内罗毕宣言》</w:t>
      </w:r>
      <w:r w:rsidRPr="00B66330">
        <w:rPr>
          <w:rStyle w:val="FootnoteReference"/>
          <w:snapToGrid w:val="0"/>
          <w:sz w:val="24"/>
          <w:szCs w:val="24"/>
          <w:lang w:val="zh-CN"/>
        </w:rPr>
        <w:footnoteReference w:id="2"/>
      </w:r>
      <w:r w:rsidRPr="00B66330">
        <w:rPr>
          <w:snapToGrid w:val="0"/>
          <w:sz w:val="24"/>
          <w:szCs w:val="24"/>
          <w:lang w:val="zh-CN"/>
        </w:rPr>
        <w:t>，</w:t>
      </w:r>
    </w:p>
    <w:p w14:paraId="0344AEF8" w14:textId="77777777" w:rsidR="00C408A1" w:rsidRPr="00B66330" w:rsidRDefault="00C408A1" w:rsidP="00C408A1">
      <w:pPr>
        <w:tabs>
          <w:tab w:val="left" w:pos="624"/>
        </w:tabs>
        <w:spacing w:line="240" w:lineRule="auto"/>
        <w:ind w:left="1247" w:firstLine="624"/>
        <w:rPr>
          <w:snapToGrid w:val="0"/>
          <w:sz w:val="24"/>
          <w:szCs w:val="24"/>
        </w:rPr>
      </w:pPr>
      <w:r w:rsidRPr="00682B39">
        <w:rPr>
          <w:rFonts w:ascii="KaiTi" w:eastAsia="KaiTi" w:hAnsi="KaiTi" w:hint="eastAsia"/>
          <w:snapToGrid w:val="0"/>
          <w:sz w:val="24"/>
          <w:szCs w:val="24"/>
          <w:lang w:val="zh-CN"/>
        </w:rPr>
        <w:t>注意到</w:t>
      </w:r>
      <w:r w:rsidRPr="00B66330">
        <w:rPr>
          <w:snapToGrid w:val="0"/>
          <w:sz w:val="24"/>
          <w:szCs w:val="24"/>
          <w:lang w:val="zh-CN"/>
        </w:rPr>
        <w:t>全球使用和购买的电气和电子设备数量迅速增加，致使包括计算机设备在内的废旧电气和电子设备数量增加，而在很多情况下没有对这些设备进行无害环境管理，</w:t>
      </w:r>
    </w:p>
    <w:p w14:paraId="7CF910DE" w14:textId="77777777" w:rsidR="00C408A1" w:rsidRPr="00B66330" w:rsidRDefault="00C408A1" w:rsidP="00C408A1">
      <w:pPr>
        <w:tabs>
          <w:tab w:val="left" w:pos="624"/>
        </w:tabs>
        <w:spacing w:line="240" w:lineRule="auto"/>
        <w:ind w:left="1247" w:firstLine="624"/>
        <w:rPr>
          <w:snapToGrid w:val="0"/>
          <w:color w:val="000000"/>
          <w:sz w:val="24"/>
          <w:szCs w:val="24"/>
        </w:rPr>
      </w:pPr>
      <w:r w:rsidRPr="00682B39">
        <w:rPr>
          <w:rFonts w:ascii="KaiTi" w:eastAsia="KaiTi" w:hAnsi="KaiTi" w:hint="eastAsia"/>
          <w:snapToGrid w:val="0"/>
          <w:sz w:val="24"/>
          <w:szCs w:val="24"/>
          <w:lang w:val="zh-CN"/>
        </w:rPr>
        <w:t>又注意到</w:t>
      </w:r>
      <w:r w:rsidRPr="00B66330">
        <w:rPr>
          <w:snapToGrid w:val="0"/>
          <w:sz w:val="24"/>
          <w:szCs w:val="24"/>
          <w:lang w:val="zh-CN"/>
        </w:rPr>
        <w:t>以无害环境方式再使用和回收废旧电气和电子设备可能有生命周期的好处，例如减少温室气体排放、保护自然资源以及在发展中国家和经济转型国家中提供可持续的经济和社会发展机会，</w:t>
      </w:r>
    </w:p>
    <w:p w14:paraId="7A091E5E" w14:textId="77777777" w:rsidR="00C408A1" w:rsidRPr="00B66330" w:rsidRDefault="00C408A1" w:rsidP="00C408A1">
      <w:pPr>
        <w:tabs>
          <w:tab w:val="left" w:pos="624"/>
        </w:tabs>
        <w:spacing w:line="240" w:lineRule="auto"/>
        <w:ind w:left="1247" w:firstLine="624"/>
        <w:rPr>
          <w:snapToGrid w:val="0"/>
          <w:color w:val="000000"/>
          <w:sz w:val="24"/>
          <w:szCs w:val="24"/>
        </w:rPr>
      </w:pPr>
      <w:r w:rsidRPr="00682B39">
        <w:rPr>
          <w:rFonts w:ascii="KaiTi" w:eastAsia="KaiTi" w:hAnsi="KaiTi" w:hint="eastAsia"/>
          <w:snapToGrid w:val="0"/>
          <w:sz w:val="24"/>
          <w:szCs w:val="24"/>
          <w:lang w:val="zh-CN"/>
        </w:rPr>
        <w:t>还注意到</w:t>
      </w:r>
      <w:r w:rsidRPr="00B66330">
        <w:rPr>
          <w:snapToGrid w:val="0"/>
          <w:sz w:val="24"/>
          <w:szCs w:val="24"/>
          <w:lang w:val="zh-CN"/>
        </w:rPr>
        <w:t>《控制危险废物越境转移及其处置巴塞尔公约》的越境转移管制对保护环境的重要性，</w:t>
      </w:r>
    </w:p>
    <w:p w14:paraId="4ADEE785" w14:textId="77777777" w:rsidR="00C408A1" w:rsidRPr="00B66330" w:rsidRDefault="00C408A1" w:rsidP="00C408A1">
      <w:pPr>
        <w:tabs>
          <w:tab w:val="left" w:pos="624"/>
        </w:tabs>
        <w:spacing w:line="240" w:lineRule="auto"/>
        <w:ind w:left="1247" w:firstLine="624"/>
        <w:rPr>
          <w:snapToGrid w:val="0"/>
          <w:sz w:val="24"/>
          <w:szCs w:val="24"/>
        </w:rPr>
      </w:pPr>
      <w:r w:rsidRPr="00682B39">
        <w:rPr>
          <w:rFonts w:ascii="KaiTi" w:eastAsia="KaiTi" w:hAnsi="KaiTi" w:hint="eastAsia"/>
          <w:snapToGrid w:val="0"/>
          <w:sz w:val="24"/>
          <w:szCs w:val="24"/>
          <w:lang w:val="zh-CN"/>
        </w:rPr>
        <w:t>确认</w:t>
      </w:r>
      <w:r w:rsidRPr="00B66330">
        <w:rPr>
          <w:snapToGrid w:val="0"/>
          <w:sz w:val="24"/>
          <w:szCs w:val="24"/>
          <w:lang w:val="zh-CN"/>
        </w:rPr>
        <w:t>分发计算机设备</w:t>
      </w:r>
      <w:proofErr w:type="gramStart"/>
      <w:r w:rsidRPr="00B66330">
        <w:rPr>
          <w:snapToGrid w:val="0"/>
          <w:sz w:val="24"/>
          <w:szCs w:val="24"/>
          <w:lang w:val="zh-CN"/>
        </w:rPr>
        <w:t>行动伙伴</w:t>
      </w:r>
      <w:proofErr w:type="gramEnd"/>
      <w:r w:rsidRPr="00B66330">
        <w:rPr>
          <w:snapToGrid w:val="0"/>
          <w:sz w:val="24"/>
          <w:szCs w:val="24"/>
          <w:lang w:val="zh-CN"/>
        </w:rPr>
        <w:t>关系和移动电话伙伴关系举措制定的指导文件以及其他相关技术准则和指导文件，可以协助更好地对报废计算机设备并可能对其他报废电气和电子设备进行无害环境管理，特别是在发展中国家和经济转型国家</w:t>
      </w:r>
    </w:p>
    <w:p w14:paraId="6464BE65" w14:textId="77777777" w:rsidR="00C408A1" w:rsidRPr="00B66330" w:rsidRDefault="00C408A1" w:rsidP="00C408A1">
      <w:pPr>
        <w:tabs>
          <w:tab w:val="left" w:pos="624"/>
        </w:tabs>
        <w:spacing w:line="240" w:lineRule="auto"/>
        <w:ind w:left="1247" w:firstLine="624"/>
        <w:rPr>
          <w:snapToGrid w:val="0"/>
          <w:sz w:val="24"/>
          <w:szCs w:val="24"/>
        </w:rPr>
      </w:pPr>
      <w:r w:rsidRPr="00682B39">
        <w:rPr>
          <w:rFonts w:ascii="KaiTi" w:eastAsia="KaiTi" w:hAnsi="KaiTi" w:hint="eastAsia"/>
          <w:snapToGrid w:val="0"/>
          <w:sz w:val="24"/>
          <w:szCs w:val="24"/>
          <w:lang w:val="zh-CN"/>
        </w:rPr>
        <w:t>欢迎</w:t>
      </w:r>
      <w:r w:rsidRPr="00B66330">
        <w:rPr>
          <w:snapToGrid w:val="0"/>
          <w:sz w:val="24"/>
          <w:szCs w:val="24"/>
          <w:lang w:val="zh-CN"/>
        </w:rPr>
        <w:t>计算机设备</w:t>
      </w:r>
      <w:proofErr w:type="gramStart"/>
      <w:r w:rsidRPr="00B66330">
        <w:rPr>
          <w:snapToGrid w:val="0"/>
          <w:sz w:val="24"/>
          <w:szCs w:val="24"/>
          <w:lang w:val="zh-CN"/>
        </w:rPr>
        <w:t>行动伙伴</w:t>
      </w:r>
      <w:proofErr w:type="gramEnd"/>
      <w:r w:rsidRPr="00B66330">
        <w:rPr>
          <w:snapToGrid w:val="0"/>
          <w:sz w:val="24"/>
          <w:szCs w:val="24"/>
          <w:lang w:val="zh-CN"/>
        </w:rPr>
        <w:t>关系的后续伙伴关系（下称</w:t>
      </w:r>
      <w:r w:rsidRPr="00B66330">
        <w:rPr>
          <w:snapToGrid w:val="0"/>
          <w:sz w:val="24"/>
          <w:szCs w:val="24"/>
          <w:lang w:val="zh-CN"/>
        </w:rPr>
        <w:t>“</w:t>
      </w:r>
      <w:r w:rsidRPr="00B66330">
        <w:rPr>
          <w:snapToGrid w:val="0"/>
          <w:sz w:val="24"/>
          <w:szCs w:val="24"/>
          <w:lang w:val="zh-CN"/>
        </w:rPr>
        <w:t>伙伴关系</w:t>
      </w:r>
      <w:r w:rsidRPr="00B66330">
        <w:rPr>
          <w:snapToGrid w:val="0"/>
          <w:sz w:val="24"/>
          <w:szCs w:val="24"/>
          <w:lang w:val="zh-CN"/>
        </w:rPr>
        <w:t>”</w:t>
      </w:r>
      <w:r w:rsidRPr="00B66330">
        <w:rPr>
          <w:snapToGrid w:val="0"/>
          <w:sz w:val="24"/>
          <w:szCs w:val="24"/>
          <w:lang w:val="zh-CN"/>
        </w:rPr>
        <w:t>）临时小组的提议，</w:t>
      </w:r>
    </w:p>
    <w:p w14:paraId="07E903CF" w14:textId="77777777" w:rsidR="00C408A1" w:rsidRPr="00B66330" w:rsidRDefault="00C408A1" w:rsidP="00C408A1">
      <w:pPr>
        <w:pStyle w:val="ListParagraph"/>
        <w:numPr>
          <w:ilvl w:val="0"/>
          <w:numId w:val="2"/>
        </w:numPr>
        <w:tabs>
          <w:tab w:val="left" w:pos="624"/>
        </w:tabs>
        <w:spacing w:line="240" w:lineRule="auto"/>
        <w:ind w:left="1247" w:firstLine="624"/>
        <w:contextualSpacing w:val="0"/>
        <w:rPr>
          <w:snapToGrid w:val="0"/>
        </w:rPr>
      </w:pPr>
      <w:r w:rsidRPr="00682B39">
        <w:rPr>
          <w:rFonts w:ascii="KaiTi" w:eastAsia="KaiTi" w:hAnsi="KaiTi" w:hint="eastAsia"/>
          <w:snapToGrid w:val="0"/>
        </w:rPr>
        <w:t>表示</w:t>
      </w:r>
      <w:r w:rsidRPr="00682B39">
        <w:rPr>
          <w:rFonts w:ascii="KaiTi" w:eastAsia="KaiTi" w:hAnsi="KaiTi" w:hint="eastAsia"/>
          <w:snapToGrid w:val="0"/>
          <w:lang w:val="zh-CN"/>
        </w:rPr>
        <w:t>注意到</w:t>
      </w:r>
      <w:r w:rsidRPr="00B66330">
        <w:rPr>
          <w:snapToGrid w:val="0"/>
          <w:lang w:val="zh-CN"/>
        </w:rPr>
        <w:t>UNEP/CHW.14/INF/30</w:t>
      </w:r>
      <w:r w:rsidRPr="00B66330">
        <w:rPr>
          <w:snapToGrid w:val="0"/>
          <w:lang w:val="zh-CN"/>
        </w:rPr>
        <w:t>号文件附件一中的由临时小组编写的概念说明，原则上同意临时小组制定的、载于该文件附件二和附件三的伙伴关系职权范围和工作方案；</w:t>
      </w:r>
    </w:p>
    <w:p w14:paraId="1143CAE2" w14:textId="77777777" w:rsidR="00C408A1" w:rsidRPr="00B66330" w:rsidRDefault="00C408A1" w:rsidP="00C408A1">
      <w:pPr>
        <w:pStyle w:val="ListParagraph"/>
        <w:numPr>
          <w:ilvl w:val="0"/>
          <w:numId w:val="2"/>
        </w:numPr>
        <w:tabs>
          <w:tab w:val="left" w:pos="624"/>
        </w:tabs>
        <w:spacing w:line="240" w:lineRule="auto"/>
        <w:ind w:left="1247" w:firstLine="624"/>
        <w:contextualSpacing w:val="0"/>
        <w:rPr>
          <w:snapToGrid w:val="0"/>
        </w:rPr>
      </w:pPr>
      <w:proofErr w:type="gramStart"/>
      <w:r w:rsidRPr="00682B39">
        <w:rPr>
          <w:rFonts w:ascii="KaiTi" w:eastAsia="KaiTi" w:hAnsi="KaiTi" w:hint="eastAsia"/>
          <w:snapToGrid w:val="0"/>
          <w:lang w:val="zh-CN"/>
        </w:rPr>
        <w:t>强调</w:t>
      </w:r>
      <w:r w:rsidRPr="00B66330">
        <w:rPr>
          <w:snapToGrid w:val="0"/>
          <w:lang w:val="zh-CN"/>
        </w:rPr>
        <w:t>伙伴</w:t>
      </w:r>
      <w:proofErr w:type="gramEnd"/>
      <w:r w:rsidRPr="00B66330">
        <w:rPr>
          <w:snapToGrid w:val="0"/>
          <w:lang w:val="zh-CN"/>
        </w:rPr>
        <w:t>关系无权另外为《巴塞尔公约》缔约方规定权利或责任，也无权废除它们现有的权利或责任；</w:t>
      </w:r>
    </w:p>
    <w:p w14:paraId="70CAF9CB" w14:textId="77777777" w:rsidR="00C408A1" w:rsidRPr="00B66330" w:rsidRDefault="00C408A1" w:rsidP="00C408A1">
      <w:pPr>
        <w:pStyle w:val="ListParagraph"/>
        <w:numPr>
          <w:ilvl w:val="0"/>
          <w:numId w:val="2"/>
        </w:numPr>
        <w:tabs>
          <w:tab w:val="left" w:pos="624"/>
        </w:tabs>
        <w:spacing w:line="240" w:lineRule="auto"/>
        <w:ind w:left="1247" w:firstLine="624"/>
        <w:contextualSpacing w:val="0"/>
        <w:rPr>
          <w:snapToGrid w:val="0"/>
        </w:rPr>
      </w:pPr>
      <w:r w:rsidRPr="00682B39">
        <w:rPr>
          <w:rFonts w:ascii="KaiTi" w:eastAsia="KaiTi" w:hAnsi="KaiTi" w:hint="eastAsia"/>
          <w:snapToGrid w:val="0"/>
        </w:rPr>
        <w:t>表示</w:t>
      </w:r>
      <w:r w:rsidRPr="00682B39">
        <w:rPr>
          <w:rFonts w:ascii="KaiTi" w:eastAsia="KaiTi" w:hAnsi="KaiTi" w:hint="eastAsia"/>
          <w:snapToGrid w:val="0"/>
          <w:lang w:val="zh-CN"/>
        </w:rPr>
        <w:t>注意到</w:t>
      </w:r>
      <w:r w:rsidRPr="00B66330">
        <w:rPr>
          <w:snapToGrid w:val="0"/>
          <w:lang w:val="zh-CN"/>
        </w:rPr>
        <w:t>UNEP/CHW.14/INF/30</w:t>
      </w:r>
      <w:r w:rsidRPr="00B66330">
        <w:rPr>
          <w:snapToGrid w:val="0"/>
          <w:lang w:val="zh-CN"/>
        </w:rPr>
        <w:t>号文件附件二中的为伙伴关系提供资金的提案；</w:t>
      </w:r>
    </w:p>
    <w:p w14:paraId="35DDDBB4" w14:textId="77777777" w:rsidR="00C408A1" w:rsidRPr="00B66330" w:rsidRDefault="00C408A1" w:rsidP="00C408A1">
      <w:pPr>
        <w:pStyle w:val="ListParagraph"/>
        <w:numPr>
          <w:ilvl w:val="0"/>
          <w:numId w:val="2"/>
        </w:numPr>
        <w:tabs>
          <w:tab w:val="left" w:pos="624"/>
        </w:tabs>
        <w:spacing w:line="240" w:lineRule="auto"/>
        <w:ind w:left="1247" w:firstLine="624"/>
        <w:contextualSpacing w:val="0"/>
        <w:rPr>
          <w:snapToGrid w:val="0"/>
        </w:rPr>
      </w:pPr>
      <w:r w:rsidRPr="00682B39">
        <w:rPr>
          <w:rFonts w:ascii="KaiTi" w:eastAsia="KaiTi" w:hAnsi="KaiTi" w:hint="eastAsia"/>
          <w:snapToGrid w:val="0"/>
          <w:lang w:val="zh-CN"/>
        </w:rPr>
        <w:lastRenderedPageBreak/>
        <w:t>决定</w:t>
      </w:r>
      <w:r w:rsidRPr="00B66330">
        <w:rPr>
          <w:snapToGrid w:val="0"/>
          <w:lang w:val="zh-CN"/>
        </w:rPr>
        <w:t>设立一个伙伴关系工作组，在不限成员名额工作组的指导下开展工作；</w:t>
      </w:r>
    </w:p>
    <w:p w14:paraId="1B426514" w14:textId="77777777" w:rsidR="00C408A1" w:rsidRPr="00B66330" w:rsidRDefault="00C408A1" w:rsidP="00C408A1">
      <w:pPr>
        <w:pStyle w:val="ListParagraph"/>
        <w:numPr>
          <w:ilvl w:val="0"/>
          <w:numId w:val="2"/>
        </w:numPr>
        <w:tabs>
          <w:tab w:val="left" w:pos="624"/>
        </w:tabs>
        <w:spacing w:line="240" w:lineRule="auto"/>
        <w:ind w:left="1247" w:firstLine="624"/>
        <w:contextualSpacing w:val="0"/>
        <w:rPr>
          <w:snapToGrid w:val="0"/>
        </w:rPr>
      </w:pPr>
      <w:r w:rsidRPr="00682B39">
        <w:rPr>
          <w:rFonts w:ascii="KaiTi" w:eastAsia="KaiTi" w:hAnsi="KaiTi" w:hint="eastAsia"/>
          <w:snapToGrid w:val="0"/>
          <w:lang w:val="zh-CN"/>
        </w:rPr>
        <w:t>邀请</w:t>
      </w:r>
      <w:r w:rsidRPr="00B66330">
        <w:rPr>
          <w:snapToGrid w:val="0"/>
          <w:lang w:val="zh-CN"/>
        </w:rPr>
        <w:t>缔约方、签署方和其他</w:t>
      </w:r>
      <w:proofErr w:type="gramStart"/>
      <w:r w:rsidRPr="00B66330">
        <w:rPr>
          <w:snapToGrid w:val="0"/>
          <w:lang w:val="zh-CN"/>
        </w:rPr>
        <w:t>所有利益</w:t>
      </w:r>
      <w:proofErr w:type="gramEnd"/>
      <w:r w:rsidRPr="00B66330">
        <w:rPr>
          <w:snapToGrid w:val="0"/>
          <w:lang w:val="zh-CN"/>
        </w:rPr>
        <w:t>攸关方，包括制造商、回收商、翻新商家、学术界、相关的电子废物平台、非政府和政府间组织以及计算机设备</w:t>
      </w:r>
      <w:proofErr w:type="gramStart"/>
      <w:r w:rsidRPr="00B66330">
        <w:rPr>
          <w:snapToGrid w:val="0"/>
          <w:lang w:val="zh-CN"/>
        </w:rPr>
        <w:t>行动伙伴</w:t>
      </w:r>
      <w:proofErr w:type="gramEnd"/>
      <w:r w:rsidRPr="00B66330">
        <w:rPr>
          <w:snapToGrid w:val="0"/>
          <w:lang w:val="zh-CN"/>
        </w:rPr>
        <w:t>关系的前伙伴，在考虑到参加工作组活动所需要的具体专门知识和经验的情况下，最迟于</w:t>
      </w:r>
      <w:r w:rsidRPr="00B66330">
        <w:rPr>
          <w:snapToGrid w:val="0"/>
          <w:lang w:val="zh-CN"/>
        </w:rPr>
        <w:t>2019</w:t>
      </w:r>
      <w:r w:rsidRPr="00B66330">
        <w:rPr>
          <w:snapToGrid w:val="0"/>
          <w:lang w:val="zh-CN"/>
        </w:rPr>
        <w:t>年</w:t>
      </w:r>
      <w:r w:rsidRPr="00B66330">
        <w:rPr>
          <w:snapToGrid w:val="0"/>
          <w:lang w:val="zh-CN"/>
        </w:rPr>
        <w:t>9</w:t>
      </w:r>
      <w:r w:rsidRPr="00B66330">
        <w:rPr>
          <w:snapToGrid w:val="0"/>
          <w:lang w:val="zh-CN"/>
        </w:rPr>
        <w:t>月</w:t>
      </w:r>
      <w:r w:rsidRPr="00B66330">
        <w:rPr>
          <w:snapToGrid w:val="0"/>
          <w:lang w:val="zh-CN"/>
        </w:rPr>
        <w:t>30</w:t>
      </w:r>
      <w:r w:rsidRPr="00B66330">
        <w:rPr>
          <w:snapToGrid w:val="0"/>
          <w:lang w:val="zh-CN"/>
        </w:rPr>
        <w:t>日向秘书处表明参加该伙伴关系工作组的意向；</w:t>
      </w:r>
    </w:p>
    <w:p w14:paraId="5D2C7E31" w14:textId="77777777" w:rsidR="00C408A1" w:rsidRPr="00B66330" w:rsidRDefault="00C408A1" w:rsidP="00C408A1">
      <w:pPr>
        <w:pStyle w:val="Normalnumber"/>
        <w:numPr>
          <w:ilvl w:val="0"/>
          <w:numId w:val="2"/>
        </w:numPr>
        <w:spacing w:line="240" w:lineRule="auto"/>
        <w:ind w:left="1247" w:firstLine="624"/>
        <w:jc w:val="both"/>
        <w:rPr>
          <w:rFonts w:eastAsia="Calibri"/>
          <w:snapToGrid w:val="0"/>
          <w:sz w:val="24"/>
          <w:szCs w:val="24"/>
          <w:lang w:eastAsia="zh-CN"/>
        </w:rPr>
      </w:pPr>
      <w:r w:rsidRPr="00682B39">
        <w:rPr>
          <w:rFonts w:ascii="KaiTi" w:eastAsia="KaiTi" w:hAnsi="KaiTi" w:hint="eastAsia"/>
          <w:snapToGrid w:val="0"/>
          <w:sz w:val="24"/>
          <w:szCs w:val="24"/>
          <w:lang w:val="zh-CN" w:eastAsia="zh-CN"/>
        </w:rPr>
        <w:t>邀请</w:t>
      </w:r>
      <w:r w:rsidRPr="00B66330">
        <w:rPr>
          <w:snapToGrid w:val="0"/>
          <w:sz w:val="24"/>
          <w:szCs w:val="24"/>
          <w:lang w:val="zh-CN" w:eastAsia="zh-CN"/>
        </w:rPr>
        <w:t>缔约方和其他各方在</w:t>
      </w:r>
      <w:r w:rsidRPr="00B66330">
        <w:rPr>
          <w:snapToGrid w:val="0"/>
          <w:sz w:val="24"/>
          <w:szCs w:val="24"/>
          <w:lang w:val="zh-CN" w:eastAsia="zh-CN"/>
        </w:rPr>
        <w:t>2019</w:t>
      </w:r>
      <w:r w:rsidRPr="00B66330">
        <w:rPr>
          <w:snapToGrid w:val="0"/>
          <w:sz w:val="24"/>
          <w:szCs w:val="24"/>
          <w:lang w:val="zh-CN" w:eastAsia="zh-CN"/>
        </w:rPr>
        <w:t>年</w:t>
      </w:r>
      <w:r w:rsidRPr="00B66330">
        <w:rPr>
          <w:snapToGrid w:val="0"/>
          <w:sz w:val="24"/>
          <w:szCs w:val="24"/>
          <w:lang w:val="zh-CN" w:eastAsia="zh-CN"/>
        </w:rPr>
        <w:t>9</w:t>
      </w:r>
      <w:r w:rsidRPr="00B66330">
        <w:rPr>
          <w:snapToGrid w:val="0"/>
          <w:sz w:val="24"/>
          <w:szCs w:val="24"/>
          <w:lang w:val="zh-CN" w:eastAsia="zh-CN"/>
        </w:rPr>
        <w:t>月</w:t>
      </w:r>
      <w:r w:rsidRPr="00B66330">
        <w:rPr>
          <w:snapToGrid w:val="0"/>
          <w:sz w:val="24"/>
          <w:szCs w:val="24"/>
          <w:lang w:val="zh-CN" w:eastAsia="zh-CN"/>
        </w:rPr>
        <w:t>30</w:t>
      </w:r>
      <w:r w:rsidRPr="00B66330">
        <w:rPr>
          <w:snapToGrid w:val="0"/>
          <w:sz w:val="24"/>
          <w:szCs w:val="24"/>
          <w:lang w:val="zh-CN" w:eastAsia="zh-CN"/>
        </w:rPr>
        <w:t>日前通过秘书处向伙伴关系工作组提交对本决定第</w:t>
      </w:r>
      <w:r w:rsidRPr="00B66330">
        <w:rPr>
          <w:snapToGrid w:val="0"/>
          <w:sz w:val="24"/>
          <w:szCs w:val="24"/>
          <w:lang w:val="zh-CN" w:eastAsia="zh-CN"/>
        </w:rPr>
        <w:t>1</w:t>
      </w:r>
      <w:r w:rsidRPr="00B66330">
        <w:rPr>
          <w:snapToGrid w:val="0"/>
          <w:sz w:val="24"/>
          <w:szCs w:val="24"/>
          <w:lang w:val="zh-CN" w:eastAsia="zh-CN"/>
        </w:rPr>
        <w:t>段所述职权范围和工作方案的意见；</w:t>
      </w:r>
    </w:p>
    <w:p w14:paraId="0EF1F40C" w14:textId="77777777" w:rsidR="00C408A1" w:rsidRPr="00B66330" w:rsidRDefault="00C408A1" w:rsidP="00C408A1">
      <w:pPr>
        <w:pStyle w:val="Normalnumber"/>
        <w:numPr>
          <w:ilvl w:val="0"/>
          <w:numId w:val="2"/>
        </w:numPr>
        <w:spacing w:line="240" w:lineRule="auto"/>
        <w:ind w:left="1247" w:firstLine="624"/>
        <w:jc w:val="both"/>
        <w:rPr>
          <w:iCs/>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伙伴关系工作组参考缔约方和其他各方的意见，起草一份职权范围和工作方案的修订稿，包括在工作方案中确定工作的轻重缓急，概述伙伴关系领导层的结构，并将修订稿提交不限成员名额工作组第十二次会议审议；</w:t>
      </w:r>
    </w:p>
    <w:p w14:paraId="732C2674" w14:textId="77777777" w:rsidR="00C408A1" w:rsidRPr="00B66330" w:rsidRDefault="00C408A1" w:rsidP="00C408A1">
      <w:pPr>
        <w:pStyle w:val="Normalnumber"/>
        <w:numPr>
          <w:ilvl w:val="0"/>
          <w:numId w:val="2"/>
        </w:numPr>
        <w:spacing w:line="240" w:lineRule="auto"/>
        <w:ind w:left="1247" w:firstLine="624"/>
        <w:jc w:val="both"/>
        <w:rPr>
          <w:iCs/>
          <w:snapToGrid w:val="0"/>
          <w:sz w:val="24"/>
          <w:szCs w:val="24"/>
          <w:lang w:eastAsia="zh-CN"/>
        </w:rPr>
      </w:pPr>
      <w:r w:rsidRPr="00682B39">
        <w:rPr>
          <w:rFonts w:ascii="KaiTi" w:eastAsia="KaiTi" w:hAnsi="KaiTi" w:hint="eastAsia"/>
          <w:snapToGrid w:val="0"/>
          <w:sz w:val="24"/>
          <w:szCs w:val="24"/>
          <w:lang w:val="zh-CN" w:eastAsia="zh-CN"/>
        </w:rPr>
        <w:t>授权</w:t>
      </w:r>
      <w:r w:rsidRPr="00B66330">
        <w:rPr>
          <w:snapToGrid w:val="0"/>
          <w:sz w:val="24"/>
          <w:szCs w:val="24"/>
          <w:lang w:val="zh-CN" w:eastAsia="zh-CN"/>
        </w:rPr>
        <w:t>不限成员名额工作组在第十二次会议上代表缔约方大会通过职权范围和工作方案；</w:t>
      </w:r>
    </w:p>
    <w:p w14:paraId="7FCC35E2" w14:textId="77777777" w:rsidR="00C408A1" w:rsidRPr="00B66330" w:rsidRDefault="00C408A1" w:rsidP="00C408A1">
      <w:pPr>
        <w:pStyle w:val="ListParagraph"/>
        <w:numPr>
          <w:ilvl w:val="0"/>
          <w:numId w:val="2"/>
        </w:numPr>
        <w:tabs>
          <w:tab w:val="left" w:pos="624"/>
        </w:tabs>
        <w:spacing w:line="240" w:lineRule="auto"/>
        <w:ind w:left="1247" w:firstLine="624"/>
        <w:contextualSpacing w:val="0"/>
        <w:rPr>
          <w:iCs/>
          <w:snapToGrid w:val="0"/>
        </w:rPr>
      </w:pPr>
      <w:r w:rsidRPr="00682B39">
        <w:rPr>
          <w:rFonts w:ascii="KaiTi" w:eastAsia="KaiTi" w:hAnsi="KaiTi" w:hint="eastAsia"/>
          <w:snapToGrid w:val="0"/>
          <w:lang w:val="zh-CN"/>
        </w:rPr>
        <w:t>请</w:t>
      </w:r>
      <w:r w:rsidRPr="00B66330">
        <w:rPr>
          <w:snapToGrid w:val="0"/>
          <w:lang w:val="zh-CN"/>
        </w:rPr>
        <w:t>伙伴关系工作组开展工作方案中的各项活动，首先是</w:t>
      </w:r>
      <w:r w:rsidRPr="00B66330">
        <w:rPr>
          <w:snapToGrid w:val="0"/>
          <w:lang w:val="zh-CN"/>
        </w:rPr>
        <w:t>UNEP/CHW.14/INF/30</w:t>
      </w:r>
      <w:r w:rsidRPr="00B66330">
        <w:rPr>
          <w:snapToGrid w:val="0"/>
          <w:lang w:val="zh-CN"/>
        </w:rPr>
        <w:t>号文件附件三开列的以下优先活动：</w:t>
      </w:r>
    </w:p>
    <w:p w14:paraId="583C2825" w14:textId="77777777" w:rsidR="00C408A1" w:rsidRPr="00B66330" w:rsidRDefault="00C408A1" w:rsidP="00C408A1">
      <w:pPr>
        <w:pStyle w:val="Normalnumber"/>
        <w:numPr>
          <w:ilvl w:val="0"/>
          <w:numId w:val="3"/>
        </w:numPr>
        <w:spacing w:line="240" w:lineRule="auto"/>
        <w:ind w:left="1247" w:firstLine="624"/>
        <w:jc w:val="both"/>
        <w:rPr>
          <w:snapToGrid w:val="0"/>
          <w:sz w:val="24"/>
          <w:szCs w:val="24"/>
          <w:lang w:eastAsia="zh-CN"/>
        </w:rPr>
      </w:pPr>
      <w:r w:rsidRPr="00B66330">
        <w:rPr>
          <w:snapToGrid w:val="0"/>
          <w:sz w:val="24"/>
          <w:szCs w:val="24"/>
          <w:lang w:val="zh-CN" w:eastAsia="zh-CN"/>
        </w:rPr>
        <w:t>将现行指导文件翻译成其他语文；</w:t>
      </w:r>
    </w:p>
    <w:p w14:paraId="16DCF5D3" w14:textId="77777777" w:rsidR="00C408A1" w:rsidRPr="00B66330" w:rsidRDefault="00C408A1" w:rsidP="00C408A1">
      <w:pPr>
        <w:pStyle w:val="Normalnumber"/>
        <w:numPr>
          <w:ilvl w:val="0"/>
          <w:numId w:val="3"/>
        </w:numPr>
        <w:spacing w:line="240" w:lineRule="auto"/>
        <w:ind w:left="1247" w:firstLine="624"/>
        <w:jc w:val="both"/>
        <w:rPr>
          <w:snapToGrid w:val="0"/>
          <w:sz w:val="24"/>
          <w:szCs w:val="24"/>
        </w:rPr>
      </w:pPr>
      <w:proofErr w:type="spellStart"/>
      <w:r w:rsidRPr="00B66330">
        <w:rPr>
          <w:snapToGrid w:val="0"/>
          <w:sz w:val="24"/>
          <w:szCs w:val="24"/>
          <w:lang w:val="zh-CN"/>
        </w:rPr>
        <w:t>分发活动</w:t>
      </w:r>
      <w:proofErr w:type="spellEnd"/>
      <w:r w:rsidRPr="00B66330">
        <w:rPr>
          <w:snapToGrid w:val="0"/>
          <w:sz w:val="24"/>
          <w:szCs w:val="24"/>
          <w:lang w:val="zh-CN"/>
        </w:rPr>
        <w:t>；</w:t>
      </w:r>
    </w:p>
    <w:p w14:paraId="35CF6616" w14:textId="77777777" w:rsidR="00C408A1" w:rsidRPr="00B66330" w:rsidRDefault="00C408A1" w:rsidP="00C408A1">
      <w:pPr>
        <w:tabs>
          <w:tab w:val="left" w:pos="624"/>
        </w:tabs>
        <w:spacing w:line="240" w:lineRule="auto"/>
        <w:ind w:left="1247" w:firstLine="624"/>
        <w:rPr>
          <w:iCs/>
          <w:snapToGrid w:val="0"/>
          <w:sz w:val="24"/>
          <w:szCs w:val="24"/>
        </w:rPr>
      </w:pPr>
      <w:r w:rsidRPr="00B66330">
        <w:rPr>
          <w:snapToGrid w:val="0"/>
          <w:sz w:val="24"/>
          <w:szCs w:val="24"/>
          <w:lang w:val="zh-CN"/>
        </w:rPr>
        <w:t>并向不限成员名额工作组第十二次会议报告进展情况；</w:t>
      </w:r>
    </w:p>
    <w:p w14:paraId="708C29F0" w14:textId="77777777" w:rsidR="00C408A1" w:rsidRPr="00B66330" w:rsidRDefault="00C408A1" w:rsidP="00C408A1">
      <w:pPr>
        <w:pStyle w:val="Normalnumber"/>
        <w:numPr>
          <w:ilvl w:val="0"/>
          <w:numId w:val="2"/>
        </w:numPr>
        <w:spacing w:line="240" w:lineRule="auto"/>
        <w:ind w:left="1247" w:firstLine="624"/>
        <w:jc w:val="both"/>
        <w:rPr>
          <w:iCs/>
          <w:snapToGrid w:val="0"/>
          <w:sz w:val="24"/>
          <w:szCs w:val="24"/>
          <w:lang w:eastAsia="zh-CN"/>
        </w:rPr>
      </w:pPr>
      <w:r w:rsidRPr="00682B39">
        <w:rPr>
          <w:rFonts w:ascii="KaiTi" w:eastAsia="KaiTi" w:hAnsi="KaiTi" w:hint="eastAsia"/>
          <w:snapToGrid w:val="0"/>
          <w:sz w:val="24"/>
          <w:szCs w:val="24"/>
          <w:lang w:val="zh-CN" w:eastAsia="zh-CN"/>
        </w:rPr>
        <w:t>又请</w:t>
      </w:r>
      <w:r w:rsidRPr="00B66330">
        <w:rPr>
          <w:snapToGrid w:val="0"/>
          <w:sz w:val="24"/>
          <w:szCs w:val="24"/>
          <w:lang w:val="zh-CN" w:eastAsia="zh-CN"/>
        </w:rPr>
        <w:t>伙伴关系工作组</w:t>
      </w:r>
      <w:proofErr w:type="gramStart"/>
      <w:r w:rsidRPr="00B66330">
        <w:rPr>
          <w:snapToGrid w:val="0"/>
          <w:sz w:val="24"/>
          <w:szCs w:val="24"/>
          <w:lang w:val="zh-CN" w:eastAsia="zh-CN"/>
        </w:rPr>
        <w:t>酌情同</w:t>
      </w:r>
      <w:proofErr w:type="gramEnd"/>
      <w:r w:rsidRPr="00B66330">
        <w:rPr>
          <w:snapToGrid w:val="0"/>
          <w:sz w:val="24"/>
          <w:szCs w:val="24"/>
          <w:lang w:val="zh-CN" w:eastAsia="zh-CN"/>
        </w:rPr>
        <w:t>其他组织和举措协调活动和合作开展活动，以便发挥协同作用和避免重复工作；</w:t>
      </w:r>
    </w:p>
    <w:p w14:paraId="4C31D51F" w14:textId="77777777" w:rsidR="00C408A1" w:rsidRPr="00B66330" w:rsidRDefault="00C408A1" w:rsidP="00C408A1">
      <w:pPr>
        <w:pStyle w:val="Normalnumber"/>
        <w:numPr>
          <w:ilvl w:val="0"/>
          <w:numId w:val="2"/>
        </w:numPr>
        <w:spacing w:line="240" w:lineRule="auto"/>
        <w:ind w:left="1247" w:firstLine="624"/>
        <w:jc w:val="both"/>
        <w:rPr>
          <w:iCs/>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秘书处在资源允许的情况下，</w:t>
      </w:r>
      <w:proofErr w:type="gramStart"/>
      <w:r w:rsidRPr="00B66330">
        <w:rPr>
          <w:snapToGrid w:val="0"/>
          <w:sz w:val="24"/>
          <w:szCs w:val="24"/>
          <w:lang w:val="zh-CN" w:eastAsia="zh-CN"/>
        </w:rPr>
        <w:t>协助伙伴</w:t>
      </w:r>
      <w:proofErr w:type="gramEnd"/>
      <w:r w:rsidRPr="00B66330">
        <w:rPr>
          <w:snapToGrid w:val="0"/>
          <w:sz w:val="24"/>
          <w:szCs w:val="24"/>
          <w:lang w:val="zh-CN" w:eastAsia="zh-CN"/>
        </w:rPr>
        <w:t>关系开展工作并为其提供专门知识，包括收集和分发缔约方为在国家一级加强对电子和电气废物的无害环境管理而采取的步骤的信息；</w:t>
      </w:r>
    </w:p>
    <w:p w14:paraId="2EC9E6B2" w14:textId="77777777" w:rsidR="00C408A1" w:rsidRPr="00B66330" w:rsidRDefault="00C408A1" w:rsidP="00C408A1">
      <w:pPr>
        <w:pStyle w:val="Normalnumber"/>
        <w:numPr>
          <w:ilvl w:val="0"/>
          <w:numId w:val="2"/>
        </w:numPr>
        <w:spacing w:line="240" w:lineRule="auto"/>
        <w:ind w:left="1247" w:firstLine="624"/>
        <w:jc w:val="both"/>
        <w:rPr>
          <w:snapToGrid w:val="0"/>
          <w:sz w:val="24"/>
          <w:szCs w:val="24"/>
          <w:lang w:eastAsia="zh-CN"/>
        </w:rPr>
      </w:pPr>
      <w:r w:rsidRPr="00682B39">
        <w:rPr>
          <w:rFonts w:ascii="KaiTi" w:eastAsia="KaiTi" w:hAnsi="KaiTi" w:hint="eastAsia"/>
          <w:snapToGrid w:val="0"/>
          <w:sz w:val="24"/>
          <w:szCs w:val="24"/>
          <w:lang w:val="zh-CN" w:eastAsia="zh-CN"/>
        </w:rPr>
        <w:t>鼓励</w:t>
      </w:r>
      <w:r w:rsidRPr="00B66330">
        <w:rPr>
          <w:snapToGrid w:val="0"/>
          <w:sz w:val="24"/>
          <w:szCs w:val="24"/>
          <w:lang w:val="zh-CN" w:eastAsia="zh-CN"/>
        </w:rPr>
        <w:t>《公约》缔约方和签署方以及业界成员、国际政府组织和非政府组织积极参与伙伴关系，提供财政或实物捐助，或两者兼而有之，同时考虑到职权范围中的财政安排，以便：</w:t>
      </w:r>
    </w:p>
    <w:p w14:paraId="12A40BBD" w14:textId="77777777" w:rsidR="00C408A1" w:rsidRPr="00B66330" w:rsidRDefault="00C408A1" w:rsidP="00C408A1">
      <w:pPr>
        <w:pStyle w:val="Normalnumber"/>
        <w:numPr>
          <w:ilvl w:val="0"/>
          <w:numId w:val="4"/>
        </w:numPr>
        <w:spacing w:line="240" w:lineRule="auto"/>
        <w:ind w:left="1247" w:firstLine="624"/>
        <w:jc w:val="both"/>
        <w:rPr>
          <w:snapToGrid w:val="0"/>
          <w:sz w:val="24"/>
          <w:szCs w:val="24"/>
          <w:lang w:eastAsia="zh-CN"/>
        </w:rPr>
      </w:pPr>
      <w:r w:rsidRPr="00B66330">
        <w:rPr>
          <w:snapToGrid w:val="0"/>
          <w:sz w:val="24"/>
          <w:szCs w:val="24"/>
          <w:lang w:val="zh-CN" w:eastAsia="zh-CN"/>
        </w:rPr>
        <w:t>促进发展中国家和经济转型国家及巴塞尔公约区域和协调中心，以及斯德哥尔摩公约区域和次区域中心参与该伙伴关系；</w:t>
      </w:r>
    </w:p>
    <w:p w14:paraId="3A6319AB" w14:textId="77777777" w:rsidR="00C408A1" w:rsidRPr="00B66330" w:rsidRDefault="00C408A1" w:rsidP="00C408A1">
      <w:pPr>
        <w:pStyle w:val="Normalnumber"/>
        <w:numPr>
          <w:ilvl w:val="0"/>
          <w:numId w:val="4"/>
        </w:numPr>
        <w:spacing w:line="240" w:lineRule="auto"/>
        <w:ind w:left="1247" w:firstLine="624"/>
        <w:jc w:val="both"/>
        <w:rPr>
          <w:snapToGrid w:val="0"/>
          <w:sz w:val="24"/>
          <w:szCs w:val="24"/>
          <w:lang w:eastAsia="zh-CN"/>
        </w:rPr>
      </w:pPr>
      <w:r w:rsidRPr="00B66330">
        <w:rPr>
          <w:snapToGrid w:val="0"/>
          <w:sz w:val="24"/>
          <w:szCs w:val="24"/>
          <w:lang w:val="zh-CN" w:eastAsia="zh-CN"/>
        </w:rPr>
        <w:t>协助开发工具和开展活动；</w:t>
      </w:r>
    </w:p>
    <w:p w14:paraId="06DC7DF5" w14:textId="77777777" w:rsidR="00C408A1" w:rsidRPr="00B66330" w:rsidRDefault="00C408A1" w:rsidP="00C408A1">
      <w:pPr>
        <w:pStyle w:val="Normalnumber"/>
        <w:numPr>
          <w:ilvl w:val="0"/>
          <w:numId w:val="2"/>
        </w:numPr>
        <w:spacing w:line="240" w:lineRule="auto"/>
        <w:ind w:left="1247" w:firstLine="624"/>
        <w:jc w:val="both"/>
        <w:rPr>
          <w:bCs/>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不限成员名额工作组就其执行本决定第</w:t>
      </w:r>
      <w:r w:rsidRPr="00B66330">
        <w:rPr>
          <w:snapToGrid w:val="0"/>
          <w:sz w:val="24"/>
          <w:szCs w:val="24"/>
          <w:lang w:val="zh-CN" w:eastAsia="zh-CN"/>
        </w:rPr>
        <w:t>8</w:t>
      </w:r>
      <w:r w:rsidRPr="00B66330">
        <w:rPr>
          <w:snapToGrid w:val="0"/>
          <w:sz w:val="24"/>
          <w:szCs w:val="24"/>
          <w:lang w:val="zh-CN" w:eastAsia="zh-CN"/>
        </w:rPr>
        <w:t>段的情况缔约方第十五次会议提交报告</w:t>
      </w:r>
      <w:r>
        <w:rPr>
          <w:rFonts w:hint="eastAsia"/>
          <w:snapToGrid w:val="0"/>
          <w:sz w:val="24"/>
          <w:szCs w:val="24"/>
          <w:lang w:val="zh-CN" w:eastAsia="zh-CN"/>
        </w:rPr>
        <w:t>；</w:t>
      </w:r>
    </w:p>
    <w:p w14:paraId="53D8C265" w14:textId="77777777" w:rsidR="00C408A1" w:rsidRPr="000B4994" w:rsidRDefault="00C408A1" w:rsidP="00C408A1">
      <w:pPr>
        <w:pStyle w:val="CH3"/>
        <w:tabs>
          <w:tab w:val="clear" w:pos="851"/>
          <w:tab w:val="clear" w:pos="1247"/>
          <w:tab w:val="clear" w:pos="1814"/>
          <w:tab w:val="clear" w:pos="2381"/>
          <w:tab w:val="clear" w:pos="2948"/>
          <w:tab w:val="clear" w:pos="3515"/>
          <w:tab w:val="clear" w:pos="4082"/>
          <w:tab w:val="left" w:pos="624"/>
        </w:tabs>
        <w:spacing w:line="240" w:lineRule="auto"/>
        <w:ind w:firstLine="0"/>
        <w:jc w:val="center"/>
        <w:rPr>
          <w:rFonts w:eastAsia="SimHei"/>
          <w:snapToGrid w:val="0"/>
          <w:sz w:val="28"/>
          <w:szCs w:val="28"/>
          <w:lang w:eastAsia="zh-CN"/>
        </w:rPr>
      </w:pPr>
      <w:r w:rsidRPr="000B4994">
        <w:rPr>
          <w:rFonts w:eastAsia="SimHei"/>
          <w:bCs/>
          <w:snapToGrid w:val="0"/>
          <w:sz w:val="28"/>
          <w:szCs w:val="28"/>
          <w:lang w:val="zh-CN" w:eastAsia="zh-CN"/>
        </w:rPr>
        <w:lastRenderedPageBreak/>
        <w:t>二</w:t>
      </w:r>
    </w:p>
    <w:p w14:paraId="3DA684D8" w14:textId="77777777" w:rsidR="00C408A1" w:rsidRPr="000B4994" w:rsidRDefault="00C408A1" w:rsidP="00C408A1">
      <w:pPr>
        <w:pStyle w:val="CH3"/>
        <w:tabs>
          <w:tab w:val="clear" w:pos="851"/>
          <w:tab w:val="clear" w:pos="1247"/>
          <w:tab w:val="clear" w:pos="1814"/>
          <w:tab w:val="clear" w:pos="2381"/>
          <w:tab w:val="clear" w:pos="2948"/>
          <w:tab w:val="clear" w:pos="3515"/>
          <w:tab w:val="clear" w:pos="4082"/>
          <w:tab w:val="left" w:pos="624"/>
        </w:tabs>
        <w:spacing w:line="240" w:lineRule="auto"/>
        <w:ind w:firstLine="0"/>
        <w:jc w:val="center"/>
        <w:rPr>
          <w:rFonts w:eastAsia="SimHei"/>
          <w:snapToGrid w:val="0"/>
          <w:sz w:val="28"/>
          <w:szCs w:val="28"/>
          <w:lang w:eastAsia="zh-CN"/>
        </w:rPr>
      </w:pPr>
      <w:r w:rsidRPr="000B4994">
        <w:rPr>
          <w:rFonts w:eastAsia="SimHei"/>
          <w:bCs/>
          <w:snapToGrid w:val="0"/>
          <w:sz w:val="28"/>
          <w:szCs w:val="28"/>
          <w:lang w:val="zh-CN" w:eastAsia="zh-CN"/>
        </w:rPr>
        <w:t>优化非法贩运问题上的遵章守法环境网络</w:t>
      </w:r>
    </w:p>
    <w:p w14:paraId="38431861"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表示注意到</w:t>
      </w:r>
      <w:r w:rsidRPr="00B66330">
        <w:rPr>
          <w:snapToGrid w:val="0"/>
          <w:sz w:val="24"/>
          <w:szCs w:val="24"/>
          <w:lang w:val="zh-CN" w:eastAsia="zh-CN"/>
        </w:rPr>
        <w:t>优化非法贩运问题上的遵章守法环境网络的进度报告</w:t>
      </w:r>
      <w:r w:rsidRPr="00B66330">
        <w:rPr>
          <w:snapToGrid w:val="0"/>
          <w:sz w:val="24"/>
          <w:szCs w:val="24"/>
          <w:vertAlign w:val="superscript"/>
          <w:lang w:val="zh-CN"/>
        </w:rPr>
        <w:footnoteReference w:id="3"/>
      </w:r>
      <w:r w:rsidRPr="00B66330">
        <w:rPr>
          <w:snapToGrid w:val="0"/>
          <w:sz w:val="24"/>
          <w:szCs w:val="24"/>
          <w:lang w:val="zh-CN" w:eastAsia="zh-CN"/>
        </w:rPr>
        <w:t>，并肯定该网络自缔约方大会第十三次会议以来所取得的进展；</w:t>
      </w:r>
    </w:p>
    <w:p w14:paraId="010B06C7" w14:textId="77777777" w:rsidR="00C408A1" w:rsidRPr="00B66330" w:rsidRDefault="00C408A1" w:rsidP="00C408A1">
      <w:pPr>
        <w:pStyle w:val="Normalnumber"/>
        <w:numPr>
          <w:ilvl w:val="0"/>
          <w:numId w:val="2"/>
        </w:numPr>
        <w:spacing w:line="240" w:lineRule="auto"/>
        <w:ind w:left="1247" w:firstLine="624"/>
        <w:jc w:val="both"/>
        <w:rPr>
          <w:snapToGrid w:val="0"/>
          <w:sz w:val="24"/>
          <w:szCs w:val="24"/>
          <w:lang w:eastAsia="zh-CN"/>
        </w:rPr>
      </w:pPr>
      <w:r w:rsidRPr="00682B39">
        <w:rPr>
          <w:rFonts w:ascii="KaiTi" w:eastAsia="KaiTi" w:hAnsi="KaiTi" w:hint="eastAsia"/>
          <w:snapToGrid w:val="0"/>
          <w:sz w:val="24"/>
          <w:szCs w:val="24"/>
          <w:lang w:val="zh-CN" w:eastAsia="zh-CN"/>
        </w:rPr>
        <w:t>鼓励</w:t>
      </w:r>
      <w:r w:rsidRPr="00B66330">
        <w:rPr>
          <w:snapToGrid w:val="0"/>
          <w:sz w:val="24"/>
          <w:szCs w:val="24"/>
          <w:lang w:val="zh-CN" w:eastAsia="zh-CN"/>
        </w:rPr>
        <w:t>网络成员继续开展合作，为此交流经验、提供相关信息，并开展能力建设活动，以防止和打击非法贩运；</w:t>
      </w:r>
    </w:p>
    <w:p w14:paraId="1F0FA2FD"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邀请</w:t>
      </w:r>
      <w:r w:rsidRPr="00B66330">
        <w:rPr>
          <w:snapToGrid w:val="0"/>
          <w:sz w:val="24"/>
          <w:szCs w:val="24"/>
          <w:lang w:val="zh-CN" w:eastAsia="zh-CN"/>
        </w:rPr>
        <w:t>国际刑事警察组织、世界海关组织及联合国毒品和犯罪问题办公室考虑作为成员加入该网络，并邀请其他承担着开展实施和执行能力建设活动以协助巴塞尔公约缔约</w:t>
      </w:r>
      <w:proofErr w:type="gramStart"/>
      <w:r w:rsidRPr="00B66330">
        <w:rPr>
          <w:snapToGrid w:val="0"/>
          <w:sz w:val="24"/>
          <w:szCs w:val="24"/>
          <w:lang w:val="zh-CN" w:eastAsia="zh-CN"/>
        </w:rPr>
        <w:t>方防止</w:t>
      </w:r>
      <w:proofErr w:type="gramEnd"/>
      <w:r w:rsidRPr="00B66330">
        <w:rPr>
          <w:snapToGrid w:val="0"/>
          <w:sz w:val="24"/>
          <w:szCs w:val="24"/>
          <w:lang w:val="zh-CN" w:eastAsia="zh-CN"/>
        </w:rPr>
        <w:t>和打击危险废物和其他废物非法贩运的具体任务的实体，考虑向该网络主席发出申请成为网络成员的、说明充分理由的请求；</w:t>
      </w:r>
    </w:p>
    <w:p w14:paraId="35EC7B36"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选举</w:t>
      </w:r>
      <w:r w:rsidRPr="00B66330">
        <w:rPr>
          <w:snapToGrid w:val="0"/>
          <w:sz w:val="24"/>
          <w:szCs w:val="24"/>
          <w:lang w:val="zh-CN" w:eastAsia="zh-CN"/>
        </w:rPr>
        <w:t>巴塞尔公约下列五个缔约方代表在缔约方大会第十五次会议之前担任网络成员：</w:t>
      </w:r>
    </w:p>
    <w:p w14:paraId="4C3F878B" w14:textId="77777777" w:rsidR="00C408A1" w:rsidRPr="00BE4BAC" w:rsidRDefault="00C408A1" w:rsidP="00C408A1">
      <w:pPr>
        <w:tabs>
          <w:tab w:val="clear" w:pos="1247"/>
          <w:tab w:val="clear" w:pos="1814"/>
          <w:tab w:val="clear" w:pos="2381"/>
          <w:tab w:val="clear" w:pos="2948"/>
          <w:tab w:val="clear" w:pos="3515"/>
          <w:tab w:val="left" w:pos="624"/>
        </w:tabs>
        <w:autoSpaceDE w:val="0"/>
        <w:autoSpaceDN w:val="0"/>
        <w:adjustRightInd w:val="0"/>
        <w:spacing w:line="240" w:lineRule="auto"/>
        <w:ind w:left="2495"/>
        <w:rPr>
          <w:snapToGrid w:val="0"/>
          <w:color w:val="000000"/>
          <w:spacing w:val="-8"/>
          <w:sz w:val="24"/>
          <w:szCs w:val="24"/>
        </w:rPr>
      </w:pPr>
      <w:r w:rsidRPr="00682B39">
        <w:rPr>
          <w:rFonts w:ascii="SimHei" w:eastAsia="SimHei" w:hAnsi="SimHei" w:hint="eastAsia"/>
          <w:b/>
          <w:snapToGrid w:val="0"/>
          <w:sz w:val="24"/>
          <w:szCs w:val="24"/>
          <w:lang w:val="zh-CN"/>
        </w:rPr>
        <w:t>非洲国家</w:t>
      </w:r>
      <w:r w:rsidRPr="00682B39">
        <w:rPr>
          <w:rFonts w:ascii="SimHei" w:eastAsia="SimHei" w:hAnsi="SimHei" w:hint="eastAsia"/>
          <w:b/>
          <w:snapToGrid w:val="0"/>
          <w:sz w:val="24"/>
          <w:szCs w:val="24"/>
          <w:lang w:val="en-GB"/>
        </w:rPr>
        <w:t>：</w:t>
      </w:r>
      <w:r w:rsidRPr="00BE4BAC">
        <w:rPr>
          <w:snapToGrid w:val="0"/>
          <w:spacing w:val="-8"/>
          <w:sz w:val="24"/>
          <w:szCs w:val="24"/>
          <w:lang w:val="en-GB"/>
        </w:rPr>
        <w:t xml:space="preserve">Marianne </w:t>
      </w:r>
      <w:proofErr w:type="spellStart"/>
      <w:r w:rsidRPr="00BE4BAC">
        <w:rPr>
          <w:snapToGrid w:val="0"/>
          <w:spacing w:val="-8"/>
          <w:sz w:val="24"/>
          <w:szCs w:val="24"/>
          <w:lang w:val="en-GB"/>
        </w:rPr>
        <w:t>Pulchérie</w:t>
      </w:r>
      <w:proofErr w:type="spellEnd"/>
      <w:r w:rsidRPr="00BE4BAC">
        <w:rPr>
          <w:snapToGrid w:val="0"/>
          <w:spacing w:val="-8"/>
          <w:sz w:val="24"/>
          <w:szCs w:val="24"/>
          <w:lang w:val="en-GB"/>
        </w:rPr>
        <w:t xml:space="preserve"> </w:t>
      </w:r>
      <w:proofErr w:type="spellStart"/>
      <w:r w:rsidRPr="00BE4BAC">
        <w:rPr>
          <w:snapToGrid w:val="0"/>
          <w:spacing w:val="-8"/>
          <w:sz w:val="24"/>
          <w:szCs w:val="24"/>
          <w:lang w:val="en-GB"/>
        </w:rPr>
        <w:t>Sessito</w:t>
      </w:r>
      <w:proofErr w:type="spellEnd"/>
      <w:r w:rsidRPr="00BE4BAC">
        <w:rPr>
          <w:snapToGrid w:val="0"/>
          <w:spacing w:val="-8"/>
          <w:sz w:val="24"/>
          <w:szCs w:val="24"/>
          <w:lang w:val="en-GB"/>
        </w:rPr>
        <w:t xml:space="preserve"> </w:t>
      </w:r>
      <w:proofErr w:type="spellStart"/>
      <w:r w:rsidRPr="00BE4BAC">
        <w:rPr>
          <w:snapToGrid w:val="0"/>
          <w:spacing w:val="-8"/>
          <w:sz w:val="24"/>
          <w:szCs w:val="24"/>
          <w:lang w:val="en-GB"/>
        </w:rPr>
        <w:t>Donoumassou</w:t>
      </w:r>
      <w:proofErr w:type="spellEnd"/>
      <w:r w:rsidRPr="00BE4BAC">
        <w:rPr>
          <w:snapToGrid w:val="0"/>
          <w:spacing w:val="-8"/>
          <w:sz w:val="24"/>
          <w:szCs w:val="24"/>
          <w:lang w:val="en-GB"/>
        </w:rPr>
        <w:t xml:space="preserve"> Simeon</w:t>
      </w:r>
      <w:r w:rsidRPr="00BE4BAC">
        <w:rPr>
          <w:rFonts w:hint="eastAsia"/>
          <w:snapToGrid w:val="0"/>
          <w:spacing w:val="-8"/>
          <w:sz w:val="24"/>
          <w:szCs w:val="24"/>
          <w:lang w:val="en-GB"/>
        </w:rPr>
        <w:t>女士</w:t>
      </w:r>
      <w:r w:rsidRPr="00BE4BAC">
        <w:rPr>
          <w:snapToGrid w:val="0"/>
          <w:spacing w:val="-8"/>
          <w:sz w:val="24"/>
          <w:szCs w:val="24"/>
          <w:lang w:val="en-GB"/>
        </w:rPr>
        <w:t>（</w:t>
      </w:r>
      <w:r w:rsidRPr="00BE4BAC">
        <w:rPr>
          <w:snapToGrid w:val="0"/>
          <w:spacing w:val="-8"/>
          <w:sz w:val="24"/>
          <w:szCs w:val="24"/>
          <w:lang w:val="zh-CN"/>
        </w:rPr>
        <w:t>贝宁</w:t>
      </w:r>
      <w:r w:rsidRPr="00BE4BAC">
        <w:rPr>
          <w:snapToGrid w:val="0"/>
          <w:spacing w:val="-8"/>
          <w:sz w:val="24"/>
          <w:szCs w:val="24"/>
          <w:lang w:val="en-GB"/>
        </w:rPr>
        <w:t>）</w:t>
      </w:r>
    </w:p>
    <w:p w14:paraId="3C3FB537" w14:textId="77777777" w:rsidR="00C408A1" w:rsidRPr="00B66330" w:rsidRDefault="00C408A1" w:rsidP="00C408A1">
      <w:pPr>
        <w:tabs>
          <w:tab w:val="clear" w:pos="1247"/>
          <w:tab w:val="clear" w:pos="1814"/>
          <w:tab w:val="clear" w:pos="2381"/>
          <w:tab w:val="clear" w:pos="2948"/>
          <w:tab w:val="clear" w:pos="3515"/>
          <w:tab w:val="left" w:pos="624"/>
        </w:tabs>
        <w:autoSpaceDE w:val="0"/>
        <w:autoSpaceDN w:val="0"/>
        <w:adjustRightInd w:val="0"/>
        <w:spacing w:line="240" w:lineRule="auto"/>
        <w:ind w:left="2495"/>
        <w:rPr>
          <w:snapToGrid w:val="0"/>
          <w:color w:val="000000"/>
          <w:sz w:val="24"/>
          <w:szCs w:val="24"/>
        </w:rPr>
      </w:pPr>
      <w:r w:rsidRPr="00682B39">
        <w:rPr>
          <w:rFonts w:ascii="SimHei" w:eastAsia="SimHei" w:hAnsi="SimHei" w:hint="eastAsia"/>
          <w:b/>
          <w:snapToGrid w:val="0"/>
          <w:sz w:val="24"/>
          <w:szCs w:val="24"/>
          <w:lang w:val="zh-CN"/>
        </w:rPr>
        <w:t>亚太国家</w:t>
      </w:r>
      <w:r w:rsidRPr="00682B39">
        <w:rPr>
          <w:rFonts w:ascii="SimHei" w:eastAsia="SimHei" w:hAnsi="SimHei" w:hint="eastAsia"/>
          <w:b/>
          <w:snapToGrid w:val="0"/>
          <w:sz w:val="24"/>
          <w:szCs w:val="24"/>
          <w:lang w:val="en-GB"/>
        </w:rPr>
        <w:t>：</w:t>
      </w:r>
      <w:r w:rsidRPr="00B66330">
        <w:rPr>
          <w:snapToGrid w:val="0"/>
          <w:sz w:val="24"/>
          <w:szCs w:val="24"/>
          <w:lang w:val="en-GB"/>
        </w:rPr>
        <w:t>Mazhar Hayat</w:t>
      </w:r>
      <w:r w:rsidRPr="00B66330">
        <w:rPr>
          <w:snapToGrid w:val="0"/>
          <w:sz w:val="24"/>
          <w:szCs w:val="24"/>
          <w:lang w:val="zh-CN"/>
        </w:rPr>
        <w:t>先生</w:t>
      </w:r>
      <w:r w:rsidRPr="00B66330">
        <w:rPr>
          <w:snapToGrid w:val="0"/>
          <w:sz w:val="24"/>
          <w:szCs w:val="24"/>
          <w:lang w:val="en-GB"/>
        </w:rPr>
        <w:t>（</w:t>
      </w:r>
      <w:r w:rsidRPr="00B66330">
        <w:rPr>
          <w:snapToGrid w:val="0"/>
          <w:sz w:val="24"/>
          <w:szCs w:val="24"/>
          <w:lang w:val="zh-CN"/>
        </w:rPr>
        <w:t>巴基斯坦</w:t>
      </w:r>
      <w:r w:rsidRPr="00B66330">
        <w:rPr>
          <w:snapToGrid w:val="0"/>
          <w:sz w:val="24"/>
          <w:szCs w:val="24"/>
          <w:lang w:val="en-GB"/>
        </w:rPr>
        <w:t>）</w:t>
      </w:r>
    </w:p>
    <w:p w14:paraId="7317D106" w14:textId="77777777" w:rsidR="00C408A1" w:rsidRPr="00B66330" w:rsidRDefault="00C408A1" w:rsidP="00C408A1">
      <w:pPr>
        <w:tabs>
          <w:tab w:val="clear" w:pos="1247"/>
          <w:tab w:val="clear" w:pos="1814"/>
          <w:tab w:val="clear" w:pos="2381"/>
          <w:tab w:val="clear" w:pos="2948"/>
          <w:tab w:val="clear" w:pos="3515"/>
          <w:tab w:val="left" w:pos="624"/>
        </w:tabs>
        <w:autoSpaceDE w:val="0"/>
        <w:autoSpaceDN w:val="0"/>
        <w:adjustRightInd w:val="0"/>
        <w:spacing w:line="240" w:lineRule="auto"/>
        <w:ind w:left="2495"/>
        <w:rPr>
          <w:snapToGrid w:val="0"/>
          <w:color w:val="000000"/>
          <w:sz w:val="24"/>
          <w:szCs w:val="24"/>
        </w:rPr>
      </w:pPr>
      <w:r w:rsidRPr="00682B39">
        <w:rPr>
          <w:rFonts w:ascii="SimHei" w:eastAsia="SimHei" w:hAnsi="SimHei" w:hint="eastAsia"/>
          <w:b/>
          <w:snapToGrid w:val="0"/>
          <w:sz w:val="24"/>
          <w:szCs w:val="24"/>
          <w:lang w:val="zh-CN"/>
        </w:rPr>
        <w:t>中东欧国家</w:t>
      </w:r>
      <w:r w:rsidRPr="00682B39">
        <w:rPr>
          <w:rFonts w:ascii="SimHei" w:eastAsia="SimHei" w:hAnsi="SimHei" w:hint="eastAsia"/>
          <w:b/>
          <w:snapToGrid w:val="0"/>
          <w:sz w:val="24"/>
          <w:szCs w:val="24"/>
          <w:lang w:val="en-GB"/>
        </w:rPr>
        <w:t>：</w:t>
      </w:r>
      <w:r w:rsidRPr="00B66330">
        <w:rPr>
          <w:snapToGrid w:val="0"/>
          <w:sz w:val="24"/>
          <w:szCs w:val="24"/>
          <w:lang w:val="en-GB"/>
        </w:rPr>
        <w:t xml:space="preserve">Florin-Constantin </w:t>
      </w:r>
      <w:proofErr w:type="spellStart"/>
      <w:r w:rsidRPr="00B66330">
        <w:rPr>
          <w:snapToGrid w:val="0"/>
          <w:sz w:val="24"/>
          <w:szCs w:val="24"/>
          <w:lang w:val="en-GB"/>
        </w:rPr>
        <w:t>Homorean</w:t>
      </w:r>
      <w:proofErr w:type="spellEnd"/>
      <w:r w:rsidRPr="00B66330">
        <w:rPr>
          <w:snapToGrid w:val="0"/>
          <w:sz w:val="24"/>
          <w:szCs w:val="24"/>
          <w:lang w:val="zh-CN"/>
        </w:rPr>
        <w:t>先生</w:t>
      </w:r>
      <w:r w:rsidRPr="00B66330">
        <w:rPr>
          <w:snapToGrid w:val="0"/>
          <w:sz w:val="24"/>
          <w:szCs w:val="24"/>
          <w:lang w:val="en-GB"/>
        </w:rPr>
        <w:t>（</w:t>
      </w:r>
      <w:r w:rsidRPr="00B66330">
        <w:rPr>
          <w:snapToGrid w:val="0"/>
          <w:sz w:val="24"/>
          <w:szCs w:val="24"/>
          <w:lang w:val="zh-CN"/>
        </w:rPr>
        <w:t>罗马尼亚</w:t>
      </w:r>
      <w:r w:rsidRPr="00B66330">
        <w:rPr>
          <w:snapToGrid w:val="0"/>
          <w:sz w:val="24"/>
          <w:szCs w:val="24"/>
          <w:lang w:val="en-GB"/>
        </w:rPr>
        <w:t>）</w:t>
      </w:r>
    </w:p>
    <w:p w14:paraId="73BACF68" w14:textId="77777777" w:rsidR="00C408A1" w:rsidRPr="00B66330" w:rsidRDefault="00C408A1" w:rsidP="00C408A1">
      <w:pPr>
        <w:tabs>
          <w:tab w:val="clear" w:pos="1247"/>
          <w:tab w:val="clear" w:pos="1814"/>
          <w:tab w:val="clear" w:pos="2381"/>
          <w:tab w:val="clear" w:pos="2948"/>
          <w:tab w:val="clear" w:pos="3515"/>
          <w:tab w:val="left" w:pos="624"/>
        </w:tabs>
        <w:autoSpaceDE w:val="0"/>
        <w:autoSpaceDN w:val="0"/>
        <w:adjustRightInd w:val="0"/>
        <w:spacing w:line="240" w:lineRule="auto"/>
        <w:ind w:left="2495"/>
        <w:rPr>
          <w:snapToGrid w:val="0"/>
          <w:color w:val="000000"/>
          <w:sz w:val="24"/>
          <w:szCs w:val="24"/>
        </w:rPr>
      </w:pPr>
      <w:r w:rsidRPr="00682B39">
        <w:rPr>
          <w:rFonts w:ascii="SimHei" w:eastAsia="SimHei" w:hAnsi="SimHei" w:hint="eastAsia"/>
          <w:b/>
          <w:snapToGrid w:val="0"/>
          <w:sz w:val="24"/>
          <w:szCs w:val="24"/>
          <w:lang w:val="zh-CN"/>
        </w:rPr>
        <w:t>拉丁美洲和加勒比国家</w:t>
      </w:r>
      <w:r w:rsidRPr="00682B39">
        <w:rPr>
          <w:rFonts w:ascii="SimHei" w:eastAsia="SimHei" w:hAnsi="SimHei" w:hint="eastAsia"/>
          <w:b/>
          <w:snapToGrid w:val="0"/>
          <w:sz w:val="24"/>
          <w:szCs w:val="24"/>
        </w:rPr>
        <w:t>：</w:t>
      </w:r>
      <w:r w:rsidRPr="00B66330">
        <w:rPr>
          <w:snapToGrid w:val="0"/>
          <w:sz w:val="24"/>
          <w:szCs w:val="24"/>
        </w:rPr>
        <w:t xml:space="preserve">Leila </w:t>
      </w:r>
      <w:proofErr w:type="spellStart"/>
      <w:r w:rsidRPr="00B66330">
        <w:rPr>
          <w:snapToGrid w:val="0"/>
          <w:sz w:val="24"/>
          <w:szCs w:val="24"/>
        </w:rPr>
        <w:t>Devia</w:t>
      </w:r>
      <w:proofErr w:type="spellEnd"/>
      <w:r w:rsidRPr="00B66330">
        <w:rPr>
          <w:snapToGrid w:val="0"/>
          <w:sz w:val="24"/>
          <w:szCs w:val="24"/>
          <w:lang w:val="zh-CN"/>
        </w:rPr>
        <w:t>女士</w:t>
      </w:r>
      <w:r w:rsidRPr="00B66330">
        <w:rPr>
          <w:snapToGrid w:val="0"/>
          <w:sz w:val="24"/>
          <w:szCs w:val="24"/>
        </w:rPr>
        <w:t>（</w:t>
      </w:r>
      <w:r w:rsidRPr="00B66330">
        <w:rPr>
          <w:snapToGrid w:val="0"/>
          <w:sz w:val="24"/>
          <w:szCs w:val="24"/>
          <w:lang w:val="zh-CN"/>
        </w:rPr>
        <w:t>阿根廷</w:t>
      </w:r>
      <w:r w:rsidRPr="00B66330">
        <w:rPr>
          <w:snapToGrid w:val="0"/>
          <w:sz w:val="24"/>
          <w:szCs w:val="24"/>
        </w:rPr>
        <w:t>）</w:t>
      </w:r>
    </w:p>
    <w:p w14:paraId="60B3CF47" w14:textId="77777777" w:rsidR="00C408A1" w:rsidRPr="00B66330" w:rsidRDefault="00C408A1" w:rsidP="00C408A1">
      <w:pPr>
        <w:tabs>
          <w:tab w:val="clear" w:pos="1247"/>
          <w:tab w:val="clear" w:pos="1814"/>
          <w:tab w:val="clear" w:pos="2381"/>
          <w:tab w:val="clear" w:pos="2948"/>
          <w:tab w:val="clear" w:pos="3515"/>
          <w:tab w:val="left" w:pos="624"/>
        </w:tabs>
        <w:autoSpaceDE w:val="0"/>
        <w:autoSpaceDN w:val="0"/>
        <w:adjustRightInd w:val="0"/>
        <w:spacing w:line="240" w:lineRule="auto"/>
        <w:ind w:left="2495"/>
        <w:rPr>
          <w:snapToGrid w:val="0"/>
          <w:color w:val="000000"/>
          <w:sz w:val="24"/>
          <w:szCs w:val="24"/>
        </w:rPr>
      </w:pPr>
      <w:r w:rsidRPr="00682B39">
        <w:rPr>
          <w:rFonts w:ascii="SimHei" w:eastAsia="SimHei" w:hAnsi="SimHei" w:hint="eastAsia"/>
          <w:b/>
          <w:snapToGrid w:val="0"/>
          <w:sz w:val="24"/>
          <w:szCs w:val="24"/>
          <w:lang w:val="zh-CN"/>
        </w:rPr>
        <w:t>西欧和其他国家</w:t>
      </w:r>
      <w:r w:rsidRPr="00682B39">
        <w:rPr>
          <w:rFonts w:ascii="SimHei" w:eastAsia="SimHei" w:hAnsi="SimHei" w:hint="eastAsia"/>
          <w:b/>
          <w:snapToGrid w:val="0"/>
          <w:sz w:val="24"/>
          <w:szCs w:val="24"/>
        </w:rPr>
        <w:t>：</w:t>
      </w:r>
      <w:r w:rsidRPr="00B66330">
        <w:rPr>
          <w:snapToGrid w:val="0"/>
          <w:sz w:val="24"/>
          <w:szCs w:val="24"/>
        </w:rPr>
        <w:t xml:space="preserve">Katie </w:t>
      </w:r>
      <w:proofErr w:type="spellStart"/>
      <w:r w:rsidRPr="00B66330">
        <w:rPr>
          <w:snapToGrid w:val="0"/>
          <w:sz w:val="24"/>
          <w:szCs w:val="24"/>
        </w:rPr>
        <w:t>Olley</w:t>
      </w:r>
      <w:proofErr w:type="spellEnd"/>
      <w:r w:rsidRPr="00B66330">
        <w:rPr>
          <w:snapToGrid w:val="0"/>
          <w:sz w:val="24"/>
          <w:szCs w:val="24"/>
        </w:rPr>
        <w:t xml:space="preserve"> </w:t>
      </w:r>
      <w:r w:rsidRPr="00B66330">
        <w:rPr>
          <w:snapToGrid w:val="0"/>
          <w:sz w:val="24"/>
          <w:szCs w:val="24"/>
          <w:lang w:val="zh-CN"/>
        </w:rPr>
        <w:t>女士</w:t>
      </w:r>
      <w:r w:rsidRPr="00B66330">
        <w:rPr>
          <w:snapToGrid w:val="0"/>
          <w:sz w:val="24"/>
          <w:szCs w:val="24"/>
        </w:rPr>
        <w:t xml:space="preserve"> </w:t>
      </w:r>
      <w:r w:rsidRPr="00B66330">
        <w:rPr>
          <w:snapToGrid w:val="0"/>
          <w:sz w:val="24"/>
          <w:szCs w:val="24"/>
        </w:rPr>
        <w:t>（</w:t>
      </w:r>
      <w:r w:rsidRPr="00B66330">
        <w:rPr>
          <w:snapToGrid w:val="0"/>
          <w:sz w:val="24"/>
          <w:szCs w:val="24"/>
          <w:lang w:val="zh-CN"/>
        </w:rPr>
        <w:t>大不列颠及北爱尔兰联合王国</w:t>
      </w:r>
      <w:r w:rsidRPr="00B66330">
        <w:rPr>
          <w:snapToGrid w:val="0"/>
          <w:sz w:val="24"/>
          <w:szCs w:val="24"/>
        </w:rPr>
        <w:t>）</w:t>
      </w:r>
    </w:p>
    <w:p w14:paraId="6D23B26E"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指定</w:t>
      </w:r>
      <w:r w:rsidRPr="00B66330">
        <w:rPr>
          <w:snapToGrid w:val="0"/>
          <w:sz w:val="24"/>
          <w:szCs w:val="24"/>
          <w:lang w:val="zh-CN" w:eastAsia="zh-CN"/>
        </w:rPr>
        <w:t>巴塞尔公约区域中心和协调中心下列四个代表在缔约方大会第十五次会议之前担任网络成员：</w:t>
      </w:r>
    </w:p>
    <w:p w14:paraId="0D81056C" w14:textId="77777777" w:rsidR="00C408A1" w:rsidRPr="00B66330" w:rsidRDefault="00C408A1" w:rsidP="00C408A1">
      <w:pPr>
        <w:tabs>
          <w:tab w:val="left" w:pos="624"/>
        </w:tabs>
        <w:autoSpaceDE w:val="0"/>
        <w:autoSpaceDN w:val="0"/>
        <w:adjustRightInd w:val="0"/>
        <w:spacing w:line="240" w:lineRule="auto"/>
        <w:ind w:left="2495"/>
        <w:rPr>
          <w:snapToGrid w:val="0"/>
          <w:sz w:val="24"/>
          <w:szCs w:val="24"/>
          <w:lang w:val="zh-CN"/>
        </w:rPr>
      </w:pPr>
      <w:r w:rsidRPr="00682B39">
        <w:rPr>
          <w:rFonts w:ascii="SimHei" w:eastAsia="SimHei" w:hAnsi="SimHei" w:hint="eastAsia"/>
          <w:b/>
          <w:snapToGrid w:val="0"/>
          <w:sz w:val="24"/>
          <w:szCs w:val="24"/>
          <w:lang w:val="zh-CN"/>
        </w:rPr>
        <w:t>非洲区域</w:t>
      </w:r>
      <w:r w:rsidRPr="00B66330">
        <w:rPr>
          <w:snapToGrid w:val="0"/>
          <w:sz w:val="24"/>
          <w:szCs w:val="24"/>
          <w:lang w:val="zh-CN"/>
        </w:rPr>
        <w:t>：位于南非的巴塞尔公约非洲英语国家区域中心</w:t>
      </w:r>
    </w:p>
    <w:p w14:paraId="29B9C399" w14:textId="77777777" w:rsidR="00C408A1" w:rsidRPr="00B66330" w:rsidRDefault="00C408A1" w:rsidP="00C408A1">
      <w:pPr>
        <w:tabs>
          <w:tab w:val="left" w:pos="624"/>
        </w:tabs>
        <w:autoSpaceDE w:val="0"/>
        <w:autoSpaceDN w:val="0"/>
        <w:adjustRightInd w:val="0"/>
        <w:spacing w:line="240" w:lineRule="auto"/>
        <w:ind w:left="2495"/>
        <w:rPr>
          <w:snapToGrid w:val="0"/>
          <w:sz w:val="24"/>
          <w:szCs w:val="24"/>
          <w:lang w:val="zh-CN"/>
        </w:rPr>
      </w:pPr>
      <w:r w:rsidRPr="00682B39">
        <w:rPr>
          <w:rFonts w:ascii="SimHei" w:eastAsia="SimHei" w:hAnsi="SimHei" w:hint="eastAsia"/>
          <w:b/>
          <w:snapToGrid w:val="0"/>
          <w:sz w:val="24"/>
          <w:szCs w:val="24"/>
          <w:lang w:val="zh-CN"/>
        </w:rPr>
        <w:t>亚太区域</w:t>
      </w:r>
      <w:r w:rsidRPr="00B66330">
        <w:rPr>
          <w:snapToGrid w:val="0"/>
          <w:sz w:val="24"/>
          <w:szCs w:val="24"/>
          <w:lang w:val="zh-CN"/>
        </w:rPr>
        <w:t>：位于印度尼西亚的巴塞尔公约东南亚区域中心</w:t>
      </w:r>
    </w:p>
    <w:p w14:paraId="5691835F" w14:textId="77777777" w:rsidR="00C408A1" w:rsidRPr="00B66330" w:rsidRDefault="00C408A1" w:rsidP="00C408A1">
      <w:pPr>
        <w:tabs>
          <w:tab w:val="left" w:pos="624"/>
        </w:tabs>
        <w:autoSpaceDE w:val="0"/>
        <w:autoSpaceDN w:val="0"/>
        <w:adjustRightInd w:val="0"/>
        <w:spacing w:line="240" w:lineRule="auto"/>
        <w:ind w:left="2495"/>
        <w:rPr>
          <w:snapToGrid w:val="0"/>
          <w:sz w:val="24"/>
          <w:szCs w:val="24"/>
          <w:lang w:val="zh-CN"/>
        </w:rPr>
      </w:pPr>
      <w:r w:rsidRPr="00682B39">
        <w:rPr>
          <w:rFonts w:ascii="SimHei" w:eastAsia="SimHei" w:hAnsi="SimHei" w:hint="eastAsia"/>
          <w:b/>
          <w:snapToGrid w:val="0"/>
          <w:sz w:val="24"/>
          <w:szCs w:val="24"/>
          <w:lang w:val="zh-CN"/>
        </w:rPr>
        <w:t>中东欧区域</w:t>
      </w:r>
      <w:r w:rsidRPr="00B66330">
        <w:rPr>
          <w:rFonts w:hint="eastAsia"/>
          <w:snapToGrid w:val="0"/>
          <w:sz w:val="24"/>
          <w:szCs w:val="24"/>
          <w:lang w:val="zh-CN"/>
        </w:rPr>
        <w:t>：</w:t>
      </w:r>
      <w:r w:rsidRPr="00B66330">
        <w:rPr>
          <w:snapToGrid w:val="0"/>
          <w:sz w:val="24"/>
          <w:szCs w:val="24"/>
          <w:lang w:val="zh-CN"/>
        </w:rPr>
        <w:t>位于斯洛伐克的巴塞尔公约中欧区域中心</w:t>
      </w:r>
    </w:p>
    <w:p w14:paraId="2769B598" w14:textId="77777777" w:rsidR="00C408A1" w:rsidRPr="00B66330" w:rsidRDefault="00C408A1" w:rsidP="00C408A1">
      <w:pPr>
        <w:tabs>
          <w:tab w:val="left" w:pos="624"/>
        </w:tabs>
        <w:autoSpaceDE w:val="0"/>
        <w:autoSpaceDN w:val="0"/>
        <w:adjustRightInd w:val="0"/>
        <w:spacing w:line="240" w:lineRule="auto"/>
        <w:ind w:left="2495"/>
        <w:rPr>
          <w:snapToGrid w:val="0"/>
          <w:color w:val="000000"/>
          <w:sz w:val="24"/>
          <w:szCs w:val="24"/>
        </w:rPr>
      </w:pPr>
      <w:r w:rsidRPr="00682B39">
        <w:rPr>
          <w:rFonts w:ascii="SimHei" w:eastAsia="SimHei" w:hAnsi="SimHei" w:hint="eastAsia"/>
          <w:b/>
          <w:snapToGrid w:val="0"/>
          <w:sz w:val="24"/>
          <w:szCs w:val="24"/>
          <w:lang w:val="zh-CN"/>
        </w:rPr>
        <w:t>拉丁美洲和加勒比区域：</w:t>
      </w:r>
      <w:r w:rsidRPr="00B66330">
        <w:rPr>
          <w:snapToGrid w:val="0"/>
          <w:sz w:val="24"/>
          <w:szCs w:val="24"/>
          <w:lang w:val="zh-CN"/>
        </w:rPr>
        <w:t>位于特立尼达和多巴哥的巴塞尔公约加勒比区域中心</w:t>
      </w:r>
    </w:p>
    <w:p w14:paraId="1D685925"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秘书处在资源允许的情况下，继续为该网络提供便利和专门知识，组织该网络的年度会议，并向缔约方大会第十五次会议报告该网络的活动；</w:t>
      </w:r>
    </w:p>
    <w:p w14:paraId="47309A83" w14:textId="77777777" w:rsidR="00C408A1" w:rsidRPr="000B4994" w:rsidRDefault="00C408A1" w:rsidP="00C408A1">
      <w:pPr>
        <w:pStyle w:val="CH3"/>
        <w:tabs>
          <w:tab w:val="clear" w:pos="851"/>
          <w:tab w:val="clear" w:pos="1247"/>
          <w:tab w:val="clear" w:pos="1814"/>
          <w:tab w:val="clear" w:pos="2381"/>
          <w:tab w:val="clear" w:pos="2948"/>
          <w:tab w:val="clear" w:pos="3515"/>
          <w:tab w:val="clear" w:pos="4082"/>
          <w:tab w:val="left" w:pos="624"/>
        </w:tabs>
        <w:spacing w:line="240" w:lineRule="auto"/>
        <w:ind w:firstLine="0"/>
        <w:jc w:val="center"/>
        <w:rPr>
          <w:rFonts w:eastAsia="SimHei"/>
          <w:snapToGrid w:val="0"/>
          <w:sz w:val="28"/>
          <w:szCs w:val="28"/>
        </w:rPr>
      </w:pPr>
      <w:r w:rsidRPr="000B4994">
        <w:rPr>
          <w:rFonts w:eastAsia="SimHei"/>
          <w:bCs/>
          <w:snapToGrid w:val="0"/>
          <w:sz w:val="28"/>
          <w:szCs w:val="28"/>
          <w:lang w:val="zh-CN"/>
        </w:rPr>
        <w:lastRenderedPageBreak/>
        <w:t>三</w:t>
      </w:r>
    </w:p>
    <w:p w14:paraId="2EA464AA" w14:textId="77777777" w:rsidR="00C408A1" w:rsidRPr="000B4994" w:rsidRDefault="00C408A1" w:rsidP="00C408A1">
      <w:pPr>
        <w:pStyle w:val="CH3"/>
        <w:tabs>
          <w:tab w:val="clear" w:pos="851"/>
          <w:tab w:val="clear" w:pos="1247"/>
          <w:tab w:val="clear" w:pos="1814"/>
          <w:tab w:val="clear" w:pos="2381"/>
          <w:tab w:val="clear" w:pos="2948"/>
          <w:tab w:val="clear" w:pos="3515"/>
          <w:tab w:val="clear" w:pos="4082"/>
          <w:tab w:val="left" w:pos="624"/>
        </w:tabs>
        <w:spacing w:line="240" w:lineRule="auto"/>
        <w:ind w:firstLine="0"/>
        <w:jc w:val="center"/>
        <w:rPr>
          <w:rFonts w:eastAsia="SimHei"/>
          <w:snapToGrid w:val="0"/>
          <w:sz w:val="28"/>
          <w:szCs w:val="28"/>
        </w:rPr>
      </w:pPr>
      <w:proofErr w:type="spellStart"/>
      <w:r w:rsidRPr="000B4994">
        <w:rPr>
          <w:rFonts w:eastAsia="SimHei"/>
          <w:bCs/>
          <w:snapToGrid w:val="0"/>
          <w:sz w:val="28"/>
          <w:szCs w:val="28"/>
          <w:lang w:val="zh-CN"/>
        </w:rPr>
        <w:t>家庭废物伙伴关系</w:t>
      </w:r>
      <w:proofErr w:type="spellEnd"/>
    </w:p>
    <w:p w14:paraId="73B695C3"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en-US" w:eastAsia="zh-CN"/>
        </w:rPr>
        <w:t>表示</w:t>
      </w:r>
      <w:r w:rsidRPr="00682B39">
        <w:rPr>
          <w:rFonts w:ascii="KaiTi" w:eastAsia="KaiTi" w:hAnsi="KaiTi" w:hint="eastAsia"/>
          <w:snapToGrid w:val="0"/>
          <w:sz w:val="24"/>
          <w:szCs w:val="24"/>
          <w:lang w:val="zh-CN" w:eastAsia="zh-CN"/>
        </w:rPr>
        <w:t>注意到</w:t>
      </w:r>
      <w:r w:rsidRPr="00B66330">
        <w:rPr>
          <w:snapToGrid w:val="0"/>
          <w:sz w:val="24"/>
          <w:szCs w:val="24"/>
          <w:lang w:val="zh-CN" w:eastAsia="zh-CN"/>
        </w:rPr>
        <w:t>家庭废物伙伴关系工作组制定的关于家庭废物无害环境管理的总体指导文件草案；</w:t>
      </w:r>
      <w:r w:rsidRPr="00B66330">
        <w:rPr>
          <w:snapToGrid w:val="0"/>
          <w:sz w:val="24"/>
          <w:szCs w:val="24"/>
          <w:vertAlign w:val="superscript"/>
          <w:lang w:val="zh-CN"/>
        </w:rPr>
        <w:footnoteReference w:id="4"/>
      </w:r>
    </w:p>
    <w:p w14:paraId="3E9C4909"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工作组在</w:t>
      </w:r>
      <w:r w:rsidRPr="00B66330">
        <w:rPr>
          <w:snapToGrid w:val="0"/>
          <w:sz w:val="24"/>
          <w:szCs w:val="24"/>
          <w:lang w:val="zh-CN" w:eastAsia="zh-CN"/>
        </w:rPr>
        <w:t>2019</w:t>
      </w:r>
      <w:r w:rsidRPr="00B66330">
        <w:rPr>
          <w:snapToGrid w:val="0"/>
          <w:sz w:val="24"/>
          <w:szCs w:val="24"/>
          <w:lang w:val="zh-CN" w:eastAsia="zh-CN"/>
        </w:rPr>
        <w:t>年</w:t>
      </w:r>
      <w:r w:rsidRPr="00B66330">
        <w:rPr>
          <w:snapToGrid w:val="0"/>
          <w:sz w:val="24"/>
          <w:szCs w:val="24"/>
          <w:lang w:val="zh-CN" w:eastAsia="zh-CN"/>
        </w:rPr>
        <w:t>10</w:t>
      </w:r>
      <w:r w:rsidRPr="00B66330">
        <w:rPr>
          <w:snapToGrid w:val="0"/>
          <w:sz w:val="24"/>
          <w:szCs w:val="24"/>
          <w:lang w:val="zh-CN" w:eastAsia="zh-CN"/>
        </w:rPr>
        <w:t>月</w:t>
      </w:r>
      <w:r w:rsidRPr="00B66330">
        <w:rPr>
          <w:snapToGrid w:val="0"/>
          <w:sz w:val="24"/>
          <w:szCs w:val="24"/>
          <w:lang w:val="zh-CN" w:eastAsia="zh-CN"/>
        </w:rPr>
        <w:t>31</w:t>
      </w:r>
      <w:r w:rsidRPr="00B66330">
        <w:rPr>
          <w:snapToGrid w:val="0"/>
          <w:sz w:val="24"/>
          <w:szCs w:val="24"/>
          <w:lang w:val="zh-CN" w:eastAsia="zh-CN"/>
        </w:rPr>
        <w:t>日之前，考虑到缔约方大会第十四次会议上的讨论和迄今收到的评论意见，并认真考虑《巴塞尔公约》下的现有指导意见，特别是关于无害环境管理的现有指导意见，编写一份完整的总体指导文件草案；</w:t>
      </w:r>
    </w:p>
    <w:p w14:paraId="0CAAA707"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邀请</w:t>
      </w:r>
      <w:r w:rsidRPr="00B66330">
        <w:rPr>
          <w:snapToGrid w:val="0"/>
          <w:sz w:val="24"/>
          <w:szCs w:val="24"/>
          <w:lang w:val="zh-CN" w:eastAsia="zh-CN"/>
        </w:rPr>
        <w:t>缔约方和观察员在</w:t>
      </w:r>
      <w:r w:rsidRPr="00B66330">
        <w:rPr>
          <w:snapToGrid w:val="0"/>
          <w:sz w:val="24"/>
          <w:szCs w:val="24"/>
          <w:lang w:val="zh-CN" w:eastAsia="zh-CN"/>
        </w:rPr>
        <w:t>2019</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w:t>
      </w:r>
      <w:r w:rsidRPr="00B66330">
        <w:rPr>
          <w:snapToGrid w:val="0"/>
          <w:sz w:val="24"/>
          <w:szCs w:val="24"/>
          <w:lang w:val="zh-CN" w:eastAsia="zh-CN"/>
        </w:rPr>
        <w:t>31</w:t>
      </w:r>
      <w:r w:rsidRPr="00B66330">
        <w:rPr>
          <w:snapToGrid w:val="0"/>
          <w:sz w:val="24"/>
          <w:szCs w:val="24"/>
          <w:lang w:val="zh-CN" w:eastAsia="zh-CN"/>
        </w:rPr>
        <w:t>日前就此向秘书处提出评论意见；</w:t>
      </w:r>
    </w:p>
    <w:p w14:paraId="09D67955"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工作组考虑到根据本决定第</w:t>
      </w:r>
      <w:r w:rsidRPr="00B66330">
        <w:rPr>
          <w:snapToGrid w:val="0"/>
          <w:sz w:val="24"/>
          <w:szCs w:val="24"/>
          <w:lang w:val="zh-CN" w:eastAsia="zh-CN"/>
        </w:rPr>
        <w:t>22</w:t>
      </w:r>
      <w:r w:rsidRPr="00B66330">
        <w:rPr>
          <w:snapToGrid w:val="0"/>
          <w:sz w:val="24"/>
          <w:szCs w:val="24"/>
          <w:lang w:val="zh-CN" w:eastAsia="zh-CN"/>
        </w:rPr>
        <w:t>段收到的意见，编写一份总体指导文件的订正草案，供不限成员名额工作组第十二次会议作为资料文件审议；</w:t>
      </w:r>
    </w:p>
    <w:p w14:paraId="03F977CA"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rPr>
      </w:pPr>
      <w:proofErr w:type="spellStart"/>
      <w:r w:rsidRPr="00682B39">
        <w:rPr>
          <w:rFonts w:ascii="KaiTi" w:eastAsia="KaiTi" w:hAnsi="KaiTi" w:hint="eastAsia"/>
          <w:snapToGrid w:val="0"/>
          <w:sz w:val="24"/>
          <w:szCs w:val="24"/>
          <w:lang w:val="zh-CN"/>
        </w:rPr>
        <w:t>又请</w:t>
      </w:r>
      <w:r w:rsidRPr="00B66330">
        <w:rPr>
          <w:snapToGrid w:val="0"/>
          <w:sz w:val="24"/>
          <w:szCs w:val="24"/>
          <w:lang w:val="zh-CN"/>
        </w:rPr>
        <w:t>工作组</w:t>
      </w:r>
      <w:proofErr w:type="spellEnd"/>
      <w:r w:rsidRPr="00B66330">
        <w:rPr>
          <w:snapToGrid w:val="0"/>
          <w:sz w:val="24"/>
          <w:szCs w:val="24"/>
          <w:lang w:val="zh-CN"/>
        </w:rPr>
        <w:t>：</w:t>
      </w:r>
    </w:p>
    <w:p w14:paraId="147545EB" w14:textId="77777777" w:rsidR="00C408A1" w:rsidRPr="00B66330" w:rsidRDefault="00C408A1" w:rsidP="00C408A1">
      <w:pPr>
        <w:pStyle w:val="Normalpool"/>
        <w:numPr>
          <w:ilvl w:val="1"/>
          <w:numId w:val="5"/>
        </w:numPr>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执行本决定附件所载的工作计划；</w:t>
      </w:r>
    </w:p>
    <w:p w14:paraId="7208116C" w14:textId="77777777" w:rsidR="00C408A1" w:rsidRPr="00B66330" w:rsidRDefault="00C408A1" w:rsidP="00C408A1">
      <w:pPr>
        <w:pStyle w:val="Normalpool"/>
        <w:numPr>
          <w:ilvl w:val="1"/>
          <w:numId w:val="5"/>
        </w:numPr>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与根据</w:t>
      </w:r>
      <w:r w:rsidRPr="00B66330">
        <w:rPr>
          <w:snapToGrid w:val="0"/>
          <w:sz w:val="24"/>
          <w:szCs w:val="24"/>
          <w:lang w:val="zh-CN" w:eastAsia="zh-CN"/>
        </w:rPr>
        <w:t>BC-14/13</w:t>
      </w:r>
      <w:r w:rsidRPr="00B66330">
        <w:rPr>
          <w:snapToGrid w:val="0"/>
          <w:sz w:val="24"/>
          <w:szCs w:val="24"/>
          <w:lang w:val="zh-CN" w:eastAsia="zh-CN"/>
        </w:rPr>
        <w:t>号决定新设立的塑料废物伙伴关系密切协调，以防止各自工作方案的重叠，并分享经验教训；</w:t>
      </w:r>
    </w:p>
    <w:p w14:paraId="3A916042"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决定</w:t>
      </w:r>
      <w:r w:rsidRPr="00B66330">
        <w:rPr>
          <w:snapToGrid w:val="0"/>
          <w:sz w:val="24"/>
          <w:szCs w:val="24"/>
          <w:lang w:val="zh-CN" w:eastAsia="zh-CN"/>
        </w:rPr>
        <w:t>家庭废物伙伴关系应以电子方式运作，并在资源允许的情况下举行实际会议；</w:t>
      </w:r>
    </w:p>
    <w:p w14:paraId="76269FE9" w14:textId="77777777" w:rsidR="00C408A1" w:rsidRPr="00B66330" w:rsidRDefault="00C408A1" w:rsidP="00C408A1">
      <w:pPr>
        <w:pStyle w:val="Normalnumber"/>
        <w:numPr>
          <w:ilvl w:val="0"/>
          <w:numId w:val="2"/>
        </w:numPr>
        <w:spacing w:line="240" w:lineRule="auto"/>
        <w:ind w:left="1247" w:firstLine="624"/>
        <w:jc w:val="both"/>
        <w:rPr>
          <w:i/>
          <w:iCs/>
          <w:snapToGrid w:val="0"/>
          <w:sz w:val="24"/>
          <w:szCs w:val="24"/>
        </w:rPr>
      </w:pPr>
      <w:proofErr w:type="spellStart"/>
      <w:r w:rsidRPr="00682B39">
        <w:rPr>
          <w:rFonts w:ascii="KaiTi" w:eastAsia="KaiTi" w:hAnsi="KaiTi" w:hint="eastAsia"/>
          <w:snapToGrid w:val="0"/>
          <w:sz w:val="24"/>
          <w:szCs w:val="24"/>
          <w:lang w:val="zh-CN"/>
        </w:rPr>
        <w:t>请</w:t>
      </w:r>
      <w:r w:rsidRPr="00B66330">
        <w:rPr>
          <w:snapToGrid w:val="0"/>
          <w:sz w:val="24"/>
          <w:szCs w:val="24"/>
          <w:lang w:val="zh-CN"/>
        </w:rPr>
        <w:t>秘书处</w:t>
      </w:r>
      <w:proofErr w:type="spellEnd"/>
      <w:r w:rsidRPr="00B66330">
        <w:rPr>
          <w:snapToGrid w:val="0"/>
          <w:sz w:val="24"/>
          <w:szCs w:val="24"/>
          <w:lang w:val="zh-CN"/>
        </w:rPr>
        <w:t>：</w:t>
      </w:r>
    </w:p>
    <w:p w14:paraId="42D1A8FA" w14:textId="77777777" w:rsidR="00C408A1" w:rsidRPr="00B66330" w:rsidRDefault="00C408A1" w:rsidP="00C408A1">
      <w:pPr>
        <w:pStyle w:val="Normalpool"/>
        <w:numPr>
          <w:ilvl w:val="0"/>
          <w:numId w:val="6"/>
        </w:numPr>
        <w:tabs>
          <w:tab w:val="clear" w:pos="1247"/>
          <w:tab w:val="clear" w:pos="1814"/>
          <w:tab w:val="clear" w:pos="2381"/>
          <w:tab w:val="clear" w:pos="2948"/>
          <w:tab w:val="clear" w:pos="3515"/>
          <w:tab w:val="clear" w:pos="4082"/>
          <w:tab w:val="left" w:pos="624"/>
        </w:tabs>
        <w:spacing w:after="120" w:line="240" w:lineRule="auto"/>
        <w:ind w:left="1247" w:firstLine="624"/>
        <w:jc w:val="both"/>
        <w:rPr>
          <w:iCs/>
          <w:snapToGrid w:val="0"/>
          <w:sz w:val="24"/>
          <w:szCs w:val="24"/>
          <w:lang w:eastAsia="zh-CN"/>
        </w:rPr>
      </w:pPr>
      <w:r w:rsidRPr="00B66330">
        <w:rPr>
          <w:snapToGrid w:val="0"/>
          <w:sz w:val="24"/>
          <w:szCs w:val="24"/>
          <w:lang w:val="zh-CN" w:eastAsia="zh-CN"/>
        </w:rPr>
        <w:t>将根据本决定第</w:t>
      </w:r>
      <w:r w:rsidRPr="00B66330">
        <w:rPr>
          <w:snapToGrid w:val="0"/>
          <w:sz w:val="24"/>
          <w:szCs w:val="24"/>
          <w:lang w:val="zh-CN" w:eastAsia="zh-CN"/>
        </w:rPr>
        <w:t>22</w:t>
      </w:r>
      <w:r w:rsidRPr="00B66330">
        <w:rPr>
          <w:snapToGrid w:val="0"/>
          <w:sz w:val="24"/>
          <w:szCs w:val="24"/>
          <w:lang w:val="zh-CN" w:eastAsia="zh-CN"/>
        </w:rPr>
        <w:t>段收到的评论意见发布在公约网站上，并提供给工作组；</w:t>
      </w:r>
    </w:p>
    <w:p w14:paraId="004C5810" w14:textId="77777777" w:rsidR="00C408A1" w:rsidRPr="00B66330" w:rsidRDefault="00C408A1" w:rsidP="00C408A1">
      <w:pPr>
        <w:pStyle w:val="Normalpool"/>
        <w:numPr>
          <w:ilvl w:val="0"/>
          <w:numId w:val="6"/>
        </w:numPr>
        <w:tabs>
          <w:tab w:val="clear" w:pos="1247"/>
          <w:tab w:val="clear" w:pos="1814"/>
          <w:tab w:val="clear" w:pos="2381"/>
          <w:tab w:val="clear" w:pos="2948"/>
          <w:tab w:val="clear" w:pos="3515"/>
          <w:tab w:val="clear" w:pos="4082"/>
          <w:tab w:val="left" w:pos="624"/>
        </w:tabs>
        <w:spacing w:after="120" w:line="240" w:lineRule="auto"/>
        <w:ind w:left="1247" w:firstLine="624"/>
        <w:jc w:val="both"/>
        <w:rPr>
          <w:iCs/>
          <w:snapToGrid w:val="0"/>
          <w:sz w:val="24"/>
          <w:szCs w:val="24"/>
          <w:lang w:eastAsia="zh-CN"/>
        </w:rPr>
      </w:pPr>
      <w:r w:rsidRPr="00B66330">
        <w:rPr>
          <w:snapToGrid w:val="0"/>
          <w:sz w:val="24"/>
          <w:szCs w:val="24"/>
          <w:lang w:val="zh-CN" w:eastAsia="zh-CN"/>
        </w:rPr>
        <w:t>在资源允许的情况下，继续为工作组提供便利和专门知识，并组织工作组会议；</w:t>
      </w:r>
    </w:p>
    <w:p w14:paraId="0BDB1E1B" w14:textId="77777777" w:rsidR="00C408A1" w:rsidRPr="00B66330" w:rsidRDefault="00C408A1" w:rsidP="00C408A1">
      <w:pPr>
        <w:pStyle w:val="Normalpool"/>
        <w:numPr>
          <w:ilvl w:val="0"/>
          <w:numId w:val="6"/>
        </w:numPr>
        <w:tabs>
          <w:tab w:val="clear" w:pos="1247"/>
          <w:tab w:val="clear" w:pos="1814"/>
          <w:tab w:val="clear" w:pos="2381"/>
          <w:tab w:val="clear" w:pos="2948"/>
          <w:tab w:val="clear" w:pos="3515"/>
          <w:tab w:val="clear" w:pos="4082"/>
          <w:tab w:val="left" w:pos="624"/>
        </w:tabs>
        <w:spacing w:after="120" w:line="240" w:lineRule="auto"/>
        <w:ind w:left="1247" w:firstLine="624"/>
        <w:jc w:val="both"/>
        <w:rPr>
          <w:iCs/>
          <w:snapToGrid w:val="0"/>
          <w:sz w:val="24"/>
          <w:szCs w:val="24"/>
          <w:lang w:eastAsia="zh-CN"/>
        </w:rPr>
      </w:pPr>
      <w:r w:rsidRPr="00B66330">
        <w:rPr>
          <w:snapToGrid w:val="0"/>
          <w:sz w:val="24"/>
          <w:szCs w:val="24"/>
          <w:lang w:val="zh-CN" w:eastAsia="zh-CN"/>
        </w:rPr>
        <w:t>向不限成员名额工作组第十二次会议和缔约方大会第十五次会议报告本决定的执行情况。</w:t>
      </w:r>
    </w:p>
    <w:p w14:paraId="701E9F70" w14:textId="77777777" w:rsidR="00C408A1" w:rsidRPr="00B66330" w:rsidRDefault="00C408A1" w:rsidP="00C408A1">
      <w:pPr>
        <w:pStyle w:val="CH1"/>
        <w:spacing w:line="240" w:lineRule="auto"/>
        <w:rPr>
          <w:rFonts w:eastAsia="SimHei"/>
          <w:snapToGrid w:val="0"/>
          <w:sz w:val="32"/>
          <w:szCs w:val="32"/>
          <w:lang w:eastAsia="zh-CN"/>
        </w:rPr>
      </w:pPr>
      <w:r w:rsidRPr="00B66330">
        <w:rPr>
          <w:rFonts w:eastAsia="SimHei"/>
          <w:snapToGrid w:val="0"/>
          <w:sz w:val="32"/>
          <w:szCs w:val="32"/>
          <w:lang w:val="zh-CN" w:eastAsia="zh-CN"/>
        </w:rPr>
        <w:tab/>
      </w:r>
      <w:r w:rsidRPr="00B66330">
        <w:rPr>
          <w:rFonts w:eastAsia="SimHei"/>
          <w:snapToGrid w:val="0"/>
          <w:sz w:val="32"/>
          <w:szCs w:val="32"/>
          <w:lang w:val="zh-CN" w:eastAsia="zh-CN"/>
        </w:rPr>
        <w:tab/>
      </w:r>
      <w:r w:rsidRPr="00B66330">
        <w:rPr>
          <w:rFonts w:eastAsia="SimHei"/>
          <w:bCs/>
          <w:snapToGrid w:val="0"/>
          <w:sz w:val="32"/>
          <w:szCs w:val="32"/>
          <w:lang w:val="zh-CN" w:eastAsia="zh-CN"/>
        </w:rPr>
        <w:t>BC-14/19</w:t>
      </w:r>
      <w:r w:rsidRPr="00B66330">
        <w:rPr>
          <w:rFonts w:eastAsia="SimHei"/>
          <w:bCs/>
          <w:snapToGrid w:val="0"/>
          <w:sz w:val="32"/>
          <w:szCs w:val="32"/>
          <w:lang w:val="zh-CN" w:eastAsia="zh-CN"/>
        </w:rPr>
        <w:t>号决定附件</w:t>
      </w:r>
    </w:p>
    <w:p w14:paraId="61D78BA7" w14:textId="77777777" w:rsidR="00C408A1" w:rsidRPr="00B66330" w:rsidRDefault="00C408A1" w:rsidP="00C408A1">
      <w:pPr>
        <w:pStyle w:val="CH1"/>
        <w:spacing w:line="240" w:lineRule="auto"/>
        <w:rPr>
          <w:rFonts w:eastAsia="SimHei"/>
          <w:snapToGrid w:val="0"/>
          <w:lang w:eastAsia="zh-CN"/>
        </w:rPr>
      </w:pPr>
      <w:r w:rsidRPr="00B66330">
        <w:rPr>
          <w:rFonts w:eastAsia="SimHei"/>
          <w:snapToGrid w:val="0"/>
          <w:lang w:val="zh-CN" w:eastAsia="zh-CN"/>
        </w:rPr>
        <w:tab/>
      </w:r>
      <w:r w:rsidRPr="00B66330">
        <w:rPr>
          <w:rFonts w:eastAsia="SimHei"/>
          <w:snapToGrid w:val="0"/>
          <w:lang w:val="zh-CN" w:eastAsia="zh-CN"/>
        </w:rPr>
        <w:tab/>
      </w:r>
      <w:r w:rsidRPr="00B66330">
        <w:rPr>
          <w:rFonts w:eastAsia="SimHei"/>
          <w:bCs/>
          <w:snapToGrid w:val="0"/>
          <w:lang w:val="zh-CN" w:eastAsia="zh-CN"/>
        </w:rPr>
        <w:t>家庭废物伙伴关系</w:t>
      </w:r>
      <w:r w:rsidRPr="00B66330">
        <w:rPr>
          <w:rFonts w:eastAsia="SimHei"/>
          <w:bCs/>
          <w:snapToGrid w:val="0"/>
          <w:lang w:val="zh-CN" w:eastAsia="zh-CN"/>
        </w:rPr>
        <w:t>2020-2021</w:t>
      </w:r>
      <w:r w:rsidRPr="00B66330">
        <w:rPr>
          <w:rFonts w:eastAsia="SimHei"/>
          <w:bCs/>
          <w:snapToGrid w:val="0"/>
          <w:lang w:val="zh-CN" w:eastAsia="zh-CN"/>
        </w:rPr>
        <w:t>两年期工作计划</w:t>
      </w:r>
    </w:p>
    <w:p w14:paraId="25158007" w14:textId="77777777" w:rsidR="00C408A1" w:rsidRPr="00B66330" w:rsidRDefault="00C408A1" w:rsidP="00C408A1">
      <w:pPr>
        <w:pStyle w:val="Normal-pool"/>
        <w:tabs>
          <w:tab w:val="clear" w:pos="1247"/>
          <w:tab w:val="clear" w:pos="1814"/>
          <w:tab w:val="clear" w:pos="2381"/>
          <w:tab w:val="clear" w:pos="2948"/>
          <w:tab w:val="clear" w:pos="3515"/>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家庭废物伙伴关系工作组及其下所设各项目组应开展以下任务：</w:t>
      </w:r>
    </w:p>
    <w:p w14:paraId="44DD57C5" w14:textId="77777777" w:rsidR="00C408A1" w:rsidRPr="00B66330" w:rsidRDefault="00C408A1" w:rsidP="00C408A1">
      <w:pPr>
        <w:numPr>
          <w:ilvl w:val="0"/>
          <w:numId w:val="7"/>
        </w:numPr>
        <w:tabs>
          <w:tab w:val="clear" w:pos="1247"/>
          <w:tab w:val="clear" w:pos="1814"/>
          <w:tab w:val="clear" w:pos="2381"/>
          <w:tab w:val="clear" w:pos="2948"/>
          <w:tab w:val="clear" w:pos="3515"/>
          <w:tab w:val="left" w:pos="624"/>
        </w:tabs>
        <w:spacing w:line="240" w:lineRule="auto"/>
        <w:ind w:left="1247" w:firstLine="624"/>
        <w:rPr>
          <w:snapToGrid w:val="0"/>
          <w:sz w:val="24"/>
          <w:szCs w:val="24"/>
        </w:rPr>
      </w:pPr>
      <w:r w:rsidRPr="00B66330">
        <w:rPr>
          <w:snapToGrid w:val="0"/>
          <w:sz w:val="24"/>
          <w:szCs w:val="24"/>
          <w:lang w:val="zh-CN"/>
        </w:rPr>
        <w:t>进一步制定关于家庭废物无害环境管理的总体指导文件草案；</w:t>
      </w:r>
    </w:p>
    <w:p w14:paraId="7A7D087D" w14:textId="77777777" w:rsidR="00C408A1" w:rsidRPr="00B66330" w:rsidRDefault="00C408A1" w:rsidP="00C408A1">
      <w:pPr>
        <w:numPr>
          <w:ilvl w:val="0"/>
          <w:numId w:val="7"/>
        </w:numPr>
        <w:tabs>
          <w:tab w:val="clear" w:pos="1247"/>
          <w:tab w:val="clear" w:pos="1814"/>
          <w:tab w:val="clear" w:pos="2381"/>
          <w:tab w:val="clear" w:pos="2948"/>
          <w:tab w:val="clear" w:pos="3515"/>
          <w:tab w:val="left" w:pos="624"/>
        </w:tabs>
        <w:spacing w:line="240" w:lineRule="auto"/>
        <w:ind w:left="1247" w:firstLine="624"/>
        <w:rPr>
          <w:snapToGrid w:val="0"/>
          <w:sz w:val="24"/>
          <w:szCs w:val="24"/>
        </w:rPr>
      </w:pPr>
      <w:r w:rsidRPr="00B66330">
        <w:rPr>
          <w:snapToGrid w:val="0"/>
          <w:sz w:val="24"/>
          <w:szCs w:val="24"/>
          <w:lang w:val="zh-CN"/>
        </w:rPr>
        <w:t>收集来自不同区域的有关指导文件所涉议题的案例研究；</w:t>
      </w:r>
    </w:p>
    <w:p w14:paraId="29BBA124" w14:textId="77777777" w:rsidR="00C408A1" w:rsidRPr="00B66330" w:rsidRDefault="00C408A1" w:rsidP="00C408A1">
      <w:pPr>
        <w:numPr>
          <w:ilvl w:val="0"/>
          <w:numId w:val="7"/>
        </w:numPr>
        <w:tabs>
          <w:tab w:val="clear" w:pos="1247"/>
          <w:tab w:val="clear" w:pos="1814"/>
          <w:tab w:val="clear" w:pos="2381"/>
          <w:tab w:val="clear" w:pos="2948"/>
          <w:tab w:val="clear" w:pos="3515"/>
          <w:tab w:val="left" w:pos="624"/>
        </w:tabs>
        <w:spacing w:line="240" w:lineRule="auto"/>
        <w:ind w:left="1247" w:firstLine="624"/>
        <w:rPr>
          <w:snapToGrid w:val="0"/>
          <w:sz w:val="24"/>
          <w:szCs w:val="24"/>
        </w:rPr>
      </w:pPr>
      <w:r w:rsidRPr="00B66330">
        <w:rPr>
          <w:snapToGrid w:val="0"/>
          <w:sz w:val="24"/>
          <w:szCs w:val="24"/>
          <w:lang w:val="zh-CN"/>
        </w:rPr>
        <w:lastRenderedPageBreak/>
        <w:t>围绕家庭废物的无害环境管理问题加强提高认识和培训工作，提高人们对家庭废物管理活动和决策的参与度；</w:t>
      </w:r>
    </w:p>
    <w:p w14:paraId="1E21B421" w14:textId="77777777" w:rsidR="00C408A1" w:rsidRPr="00B66330" w:rsidRDefault="00C408A1" w:rsidP="00C408A1">
      <w:pPr>
        <w:numPr>
          <w:ilvl w:val="0"/>
          <w:numId w:val="7"/>
        </w:numPr>
        <w:tabs>
          <w:tab w:val="clear" w:pos="1247"/>
          <w:tab w:val="clear" w:pos="1814"/>
          <w:tab w:val="clear" w:pos="2381"/>
          <w:tab w:val="clear" w:pos="2948"/>
          <w:tab w:val="clear" w:pos="3515"/>
          <w:tab w:val="left" w:pos="624"/>
        </w:tabs>
        <w:spacing w:line="240" w:lineRule="auto"/>
        <w:ind w:left="1247" w:firstLine="624"/>
        <w:rPr>
          <w:snapToGrid w:val="0"/>
          <w:sz w:val="24"/>
          <w:szCs w:val="24"/>
        </w:rPr>
      </w:pPr>
      <w:r w:rsidRPr="00B66330">
        <w:rPr>
          <w:snapToGrid w:val="0"/>
          <w:sz w:val="24"/>
          <w:szCs w:val="24"/>
          <w:lang w:val="zh-CN"/>
        </w:rPr>
        <w:t>协调与致力于家庭废物管理的其他组织（包括塑料废物伙伴关系）之间的外联活动及合作。</w:t>
      </w:r>
    </w:p>
    <w:p w14:paraId="26ECF3A7" w14:textId="77777777" w:rsidR="00F935A6" w:rsidRDefault="00F935A6"/>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8250FF" w14:textId="77777777" w:rsidR="00374E3C" w:rsidRDefault="00374E3C" w:rsidP="00C408A1">
      <w:pPr>
        <w:spacing w:after="0" w:line="240" w:lineRule="auto"/>
      </w:pPr>
      <w:r>
        <w:separator/>
      </w:r>
    </w:p>
  </w:endnote>
  <w:endnote w:type="continuationSeparator" w:id="0">
    <w:p w14:paraId="51F3A867" w14:textId="77777777" w:rsidR="00374E3C" w:rsidRDefault="00374E3C" w:rsidP="00C408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00000000"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E0DA3" w14:textId="77777777" w:rsidR="00374E3C" w:rsidRDefault="00374E3C" w:rsidP="00C408A1">
      <w:pPr>
        <w:spacing w:after="0" w:line="240" w:lineRule="auto"/>
      </w:pPr>
      <w:r>
        <w:separator/>
      </w:r>
    </w:p>
  </w:footnote>
  <w:footnote w:type="continuationSeparator" w:id="0">
    <w:p w14:paraId="1D76F922" w14:textId="77777777" w:rsidR="00374E3C" w:rsidRDefault="00374E3C" w:rsidP="00C408A1">
      <w:pPr>
        <w:spacing w:after="0" w:line="240" w:lineRule="auto"/>
      </w:pPr>
      <w:r>
        <w:continuationSeparator/>
      </w:r>
    </w:p>
  </w:footnote>
  <w:footnote w:id="1">
    <w:p w14:paraId="0E08057F" w14:textId="77777777" w:rsidR="00C408A1" w:rsidRPr="00B119E9" w:rsidRDefault="00C408A1" w:rsidP="00C408A1">
      <w:pPr>
        <w:pStyle w:val="FootnoteText"/>
        <w:tabs>
          <w:tab w:val="left" w:pos="624"/>
        </w:tabs>
        <w:spacing w:after="40" w:line="240" w:lineRule="auto"/>
        <w:ind w:left="476" w:right="57" w:firstLine="782"/>
        <w:rPr>
          <w:spacing w:val="0"/>
          <w:w w:val="100"/>
          <w:kern w:val="0"/>
          <w:sz w:val="20"/>
          <w:lang w:val="en-GB" w:eastAsia="zh-CN"/>
        </w:rPr>
      </w:pPr>
      <w:r w:rsidRPr="00B119E9">
        <w:rPr>
          <w:rStyle w:val="FootnoteReference"/>
          <w:spacing w:val="0"/>
          <w:w w:val="100"/>
          <w:kern w:val="0"/>
          <w:lang w:val="zh-CN"/>
        </w:rPr>
        <w:footnoteRef/>
      </w:r>
      <w:r w:rsidRPr="00B119E9">
        <w:rPr>
          <w:spacing w:val="0"/>
          <w:w w:val="100"/>
          <w:kern w:val="0"/>
          <w:sz w:val="20"/>
          <w:lang w:val="en-GB" w:eastAsia="zh-CN"/>
        </w:rPr>
        <w:t xml:space="preserve"> </w:t>
      </w:r>
      <w:r w:rsidRPr="00B119E9">
        <w:rPr>
          <w:rFonts w:hint="eastAsia"/>
          <w:spacing w:val="0"/>
          <w:w w:val="100"/>
          <w:kern w:val="0"/>
          <w:sz w:val="20"/>
          <w:lang w:val="zh-CN" w:eastAsia="zh-CN"/>
        </w:rPr>
        <w:t>第</w:t>
      </w:r>
      <w:r w:rsidRPr="00B119E9">
        <w:rPr>
          <w:spacing w:val="0"/>
          <w:w w:val="100"/>
          <w:kern w:val="0"/>
          <w:sz w:val="20"/>
          <w:lang w:val="en-GB" w:eastAsia="zh-CN"/>
        </w:rPr>
        <w:t>V/1</w:t>
      </w:r>
      <w:r w:rsidRPr="00B119E9">
        <w:rPr>
          <w:rFonts w:hint="eastAsia"/>
          <w:spacing w:val="0"/>
          <w:w w:val="100"/>
          <w:kern w:val="0"/>
          <w:sz w:val="20"/>
          <w:lang w:val="zh-CN" w:eastAsia="zh-CN"/>
        </w:rPr>
        <w:t>号决定通过</w:t>
      </w:r>
      <w:r w:rsidRPr="00B119E9">
        <w:rPr>
          <w:rFonts w:hint="eastAsia"/>
          <w:spacing w:val="0"/>
          <w:w w:val="100"/>
          <w:kern w:val="0"/>
          <w:sz w:val="20"/>
          <w:lang w:val="en-GB" w:eastAsia="zh-CN"/>
        </w:rPr>
        <w:t>，</w:t>
      </w:r>
      <w:r w:rsidRPr="00B119E9">
        <w:rPr>
          <w:rFonts w:hint="eastAsia"/>
          <w:spacing w:val="0"/>
          <w:w w:val="100"/>
          <w:kern w:val="0"/>
          <w:sz w:val="20"/>
          <w:lang w:val="zh-CN" w:eastAsia="zh-CN"/>
        </w:rPr>
        <w:t>载于</w:t>
      </w:r>
      <w:r w:rsidRPr="00B119E9">
        <w:rPr>
          <w:spacing w:val="0"/>
          <w:w w:val="100"/>
          <w:kern w:val="0"/>
          <w:sz w:val="20"/>
          <w:lang w:val="en-GB" w:eastAsia="zh-CN"/>
        </w:rPr>
        <w:t>UNEP/CHW.5/29</w:t>
      </w:r>
      <w:r w:rsidRPr="00B119E9">
        <w:rPr>
          <w:rFonts w:hint="eastAsia"/>
          <w:spacing w:val="0"/>
          <w:w w:val="100"/>
          <w:kern w:val="0"/>
          <w:sz w:val="20"/>
          <w:lang w:val="zh-CN" w:eastAsia="zh-CN"/>
        </w:rPr>
        <w:t>号文件附件二。</w:t>
      </w:r>
    </w:p>
  </w:footnote>
  <w:footnote w:id="2">
    <w:p w14:paraId="64C792C1" w14:textId="77777777" w:rsidR="00C408A1" w:rsidRPr="00682B39" w:rsidRDefault="00C408A1" w:rsidP="00C408A1">
      <w:pPr>
        <w:pStyle w:val="FootnoteText"/>
        <w:tabs>
          <w:tab w:val="left" w:pos="624"/>
        </w:tabs>
        <w:spacing w:after="40" w:line="240" w:lineRule="auto"/>
        <w:ind w:left="476" w:right="57" w:firstLine="782"/>
        <w:rPr>
          <w:spacing w:val="0"/>
          <w:w w:val="100"/>
          <w:sz w:val="20"/>
          <w:lang w:val="en-GB" w:eastAsia="zh-CN"/>
        </w:rPr>
      </w:pPr>
      <w:r w:rsidRPr="00B119E9">
        <w:rPr>
          <w:rStyle w:val="FootnoteReference"/>
          <w:spacing w:val="0"/>
          <w:w w:val="100"/>
          <w:kern w:val="0"/>
          <w:lang w:val="zh-CN"/>
        </w:rPr>
        <w:footnoteRef/>
      </w:r>
      <w:r w:rsidRPr="00B119E9">
        <w:rPr>
          <w:spacing w:val="0"/>
          <w:w w:val="100"/>
          <w:kern w:val="0"/>
          <w:sz w:val="20"/>
          <w:lang w:val="en-GB" w:eastAsia="zh-CN"/>
        </w:rPr>
        <w:t xml:space="preserve"> </w:t>
      </w:r>
      <w:r w:rsidRPr="00B119E9">
        <w:rPr>
          <w:rFonts w:hint="eastAsia"/>
          <w:spacing w:val="0"/>
          <w:w w:val="100"/>
          <w:kern w:val="0"/>
          <w:sz w:val="20"/>
          <w:lang w:val="zh-CN" w:eastAsia="zh-CN"/>
        </w:rPr>
        <w:t>载于</w:t>
      </w:r>
      <w:r w:rsidRPr="00B119E9">
        <w:rPr>
          <w:spacing w:val="0"/>
          <w:w w:val="100"/>
          <w:kern w:val="0"/>
          <w:sz w:val="20"/>
          <w:lang w:val="en-GB" w:eastAsia="zh-CN"/>
        </w:rPr>
        <w:t>UNEP/CHW.8/16</w:t>
      </w:r>
      <w:r w:rsidRPr="00B119E9">
        <w:rPr>
          <w:rFonts w:hint="eastAsia"/>
          <w:spacing w:val="0"/>
          <w:w w:val="100"/>
          <w:kern w:val="0"/>
          <w:sz w:val="20"/>
          <w:lang w:val="zh-CN" w:eastAsia="zh-CN"/>
        </w:rPr>
        <w:t>号文件附件四。</w:t>
      </w:r>
    </w:p>
  </w:footnote>
  <w:footnote w:id="3">
    <w:p w14:paraId="5755EA1A" w14:textId="77777777" w:rsidR="00C408A1" w:rsidRPr="00682B39" w:rsidRDefault="00C408A1" w:rsidP="00C408A1">
      <w:pPr>
        <w:pStyle w:val="FootnoteText"/>
        <w:tabs>
          <w:tab w:val="left" w:pos="624"/>
        </w:tabs>
        <w:spacing w:after="40" w:line="240" w:lineRule="auto"/>
        <w:ind w:right="57" w:firstLine="785"/>
        <w:rPr>
          <w:spacing w:val="0"/>
          <w:w w:val="100"/>
          <w:sz w:val="20"/>
          <w:lang w:val="en-US"/>
        </w:rPr>
      </w:pPr>
      <w:r w:rsidRPr="00682B39">
        <w:rPr>
          <w:rStyle w:val="FootnoteReference"/>
          <w:spacing w:val="0"/>
          <w:w w:val="100"/>
          <w:lang w:val="zh-CN"/>
        </w:rPr>
        <w:footnoteRef/>
      </w:r>
      <w:r w:rsidRPr="00682B39">
        <w:rPr>
          <w:spacing w:val="0"/>
          <w:w w:val="100"/>
          <w:sz w:val="20"/>
          <w:lang w:val="en-US"/>
        </w:rPr>
        <w:t xml:space="preserve"> UNEP/CHW.14/INF/31</w:t>
      </w:r>
      <w:r w:rsidRPr="00682B39">
        <w:rPr>
          <w:rFonts w:hint="eastAsia"/>
          <w:spacing w:val="0"/>
          <w:w w:val="100"/>
          <w:sz w:val="20"/>
          <w:lang w:val="en-US"/>
        </w:rPr>
        <w:t>，</w:t>
      </w:r>
      <w:r w:rsidRPr="00682B39">
        <w:rPr>
          <w:rFonts w:hint="eastAsia"/>
          <w:spacing w:val="0"/>
          <w:w w:val="100"/>
          <w:sz w:val="20"/>
          <w:lang w:val="zh-CN"/>
        </w:rPr>
        <w:t>附件。</w:t>
      </w:r>
    </w:p>
  </w:footnote>
  <w:footnote w:id="4">
    <w:p w14:paraId="1602C82E" w14:textId="77777777" w:rsidR="00C408A1" w:rsidRPr="00682B39" w:rsidRDefault="00C408A1" w:rsidP="00C408A1">
      <w:pPr>
        <w:pStyle w:val="FootnoteText"/>
        <w:tabs>
          <w:tab w:val="left" w:pos="624"/>
        </w:tabs>
        <w:spacing w:after="40" w:line="240" w:lineRule="auto"/>
        <w:ind w:right="57" w:firstLine="785"/>
        <w:rPr>
          <w:spacing w:val="0"/>
          <w:w w:val="100"/>
          <w:sz w:val="20"/>
          <w:lang w:val="en-US"/>
        </w:rPr>
      </w:pPr>
      <w:r w:rsidRPr="00682B39">
        <w:rPr>
          <w:rStyle w:val="FootnoteReference"/>
          <w:spacing w:val="0"/>
          <w:w w:val="100"/>
          <w:lang w:val="zh-CN"/>
        </w:rPr>
        <w:footnoteRef/>
      </w:r>
      <w:r w:rsidRPr="00682B39">
        <w:rPr>
          <w:spacing w:val="0"/>
          <w:w w:val="100"/>
          <w:sz w:val="20"/>
          <w:lang w:val="en-US"/>
        </w:rPr>
        <w:t xml:space="preserve"> UNEP/CHW.14/INF/32</w:t>
      </w:r>
      <w:r w:rsidRPr="00682B39">
        <w:rPr>
          <w:rFonts w:hint="eastAsia"/>
          <w:spacing w:val="0"/>
          <w:w w:val="100"/>
          <w:sz w:val="20"/>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970CB"/>
    <w:multiLevelType w:val="multilevel"/>
    <w:tmpl w:val="045970CB"/>
    <w:lvl w:ilvl="0">
      <w:start w:val="1"/>
      <w:numFmt w:val="lowerLetter"/>
      <w:lvlText w:val="(%1)"/>
      <w:lvlJc w:val="left"/>
      <w:pPr>
        <w:ind w:left="3446" w:hanging="360"/>
      </w:pPr>
      <w:rPr>
        <w:rFonts w:hint="default"/>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9B11913"/>
    <w:multiLevelType w:val="multilevel"/>
    <w:tmpl w:val="29B11913"/>
    <w:lvl w:ilvl="0">
      <w:start w:val="1"/>
      <w:numFmt w:val="lowerLetter"/>
      <w:lvlText w:val="(%1)"/>
      <w:lvlJc w:val="left"/>
      <w:pPr>
        <w:ind w:left="1605" w:hanging="1245"/>
      </w:pPr>
      <w:rPr>
        <w:rFonts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AEE2E97"/>
    <w:multiLevelType w:val="multilevel"/>
    <w:tmpl w:val="2AEE2E97"/>
    <w:lvl w:ilvl="0">
      <w:start w:val="1"/>
      <w:numFmt w:val="lowerLetter"/>
      <w:lvlText w:val="(%1)"/>
      <w:lvlJc w:val="left"/>
      <w:pPr>
        <w:ind w:left="1607" w:hanging="360"/>
      </w:pPr>
      <w:rPr>
        <w:rFonts w:hint="default"/>
      </w:rPr>
    </w:lvl>
    <w:lvl w:ilvl="1">
      <w:start w:val="1"/>
      <w:numFmt w:val="lowerLetter"/>
      <w:lvlText w:val="%2."/>
      <w:lvlJc w:val="left"/>
      <w:pPr>
        <w:ind w:left="2327" w:hanging="360"/>
      </w:pPr>
    </w:lvl>
    <w:lvl w:ilvl="2">
      <w:start w:val="1"/>
      <w:numFmt w:val="lowerRoman"/>
      <w:lvlText w:val="%3."/>
      <w:lvlJc w:val="right"/>
      <w:pPr>
        <w:ind w:left="3047" w:hanging="180"/>
      </w:pPr>
    </w:lvl>
    <w:lvl w:ilvl="3">
      <w:start w:val="1"/>
      <w:numFmt w:val="decimal"/>
      <w:lvlText w:val="%4."/>
      <w:lvlJc w:val="left"/>
      <w:pPr>
        <w:ind w:left="3767" w:hanging="360"/>
      </w:pPr>
    </w:lvl>
    <w:lvl w:ilvl="4">
      <w:start w:val="1"/>
      <w:numFmt w:val="lowerLetter"/>
      <w:lvlText w:val="%5."/>
      <w:lvlJc w:val="left"/>
      <w:pPr>
        <w:ind w:left="4487" w:hanging="360"/>
      </w:pPr>
    </w:lvl>
    <w:lvl w:ilvl="5">
      <w:start w:val="1"/>
      <w:numFmt w:val="lowerRoman"/>
      <w:lvlText w:val="%6."/>
      <w:lvlJc w:val="right"/>
      <w:pPr>
        <w:ind w:left="5207" w:hanging="180"/>
      </w:pPr>
    </w:lvl>
    <w:lvl w:ilvl="6">
      <w:start w:val="1"/>
      <w:numFmt w:val="decimal"/>
      <w:lvlText w:val="%7."/>
      <w:lvlJc w:val="left"/>
      <w:pPr>
        <w:ind w:left="5927" w:hanging="360"/>
      </w:pPr>
    </w:lvl>
    <w:lvl w:ilvl="7">
      <w:start w:val="1"/>
      <w:numFmt w:val="lowerLetter"/>
      <w:lvlText w:val="%8."/>
      <w:lvlJc w:val="left"/>
      <w:pPr>
        <w:ind w:left="6647" w:hanging="360"/>
      </w:pPr>
    </w:lvl>
    <w:lvl w:ilvl="8">
      <w:start w:val="1"/>
      <w:numFmt w:val="lowerRoman"/>
      <w:lvlText w:val="%9."/>
      <w:lvlJc w:val="right"/>
      <w:pPr>
        <w:ind w:left="7367" w:hanging="180"/>
      </w:pPr>
    </w:lvl>
  </w:abstractNum>
  <w:abstractNum w:abstractNumId="3" w15:restartNumberingAfterBreak="0">
    <w:nsid w:val="374458F5"/>
    <w:multiLevelType w:val="multilevel"/>
    <w:tmpl w:val="374458F5"/>
    <w:lvl w:ilvl="0">
      <w:start w:val="1"/>
      <w:numFmt w:val="decimal"/>
      <w:lvlText w:val="%1."/>
      <w:lvlJc w:val="left"/>
      <w:pPr>
        <w:ind w:left="2726" w:hanging="360"/>
      </w:pPr>
      <w:rPr>
        <w:i w:val="0"/>
        <w:iCs w:val="0"/>
      </w:rPr>
    </w:lvl>
    <w:lvl w:ilvl="1">
      <w:start w:val="1"/>
      <w:numFmt w:val="lowerLetter"/>
      <w:lvlText w:val="(%2)"/>
      <w:lvlJc w:val="left"/>
      <w:pPr>
        <w:ind w:left="3446" w:hanging="360"/>
      </w:pPr>
      <w:rPr>
        <w:rFonts w:hint="default"/>
        <w:i w:val="0"/>
        <w:iCs w:val="0"/>
      </w:rPr>
    </w:lvl>
    <w:lvl w:ilvl="2">
      <w:start w:val="1"/>
      <w:numFmt w:val="lowerRoman"/>
      <w:lvlText w:val="%3."/>
      <w:lvlJc w:val="right"/>
      <w:pPr>
        <w:ind w:left="4166" w:hanging="180"/>
      </w:pPr>
    </w:lvl>
    <w:lvl w:ilvl="3">
      <w:start w:val="1"/>
      <w:numFmt w:val="decimal"/>
      <w:lvlText w:val="%4."/>
      <w:lvlJc w:val="left"/>
      <w:pPr>
        <w:ind w:left="4886" w:hanging="360"/>
      </w:pPr>
    </w:lvl>
    <w:lvl w:ilvl="4">
      <w:start w:val="1"/>
      <w:numFmt w:val="lowerLetter"/>
      <w:lvlText w:val="%5."/>
      <w:lvlJc w:val="left"/>
      <w:pPr>
        <w:ind w:left="5606" w:hanging="360"/>
      </w:pPr>
    </w:lvl>
    <w:lvl w:ilvl="5">
      <w:start w:val="1"/>
      <w:numFmt w:val="lowerRoman"/>
      <w:lvlText w:val="%6."/>
      <w:lvlJc w:val="right"/>
      <w:pPr>
        <w:ind w:left="6326" w:hanging="180"/>
      </w:pPr>
    </w:lvl>
    <w:lvl w:ilvl="6">
      <w:start w:val="1"/>
      <w:numFmt w:val="decimal"/>
      <w:lvlText w:val="%7."/>
      <w:lvlJc w:val="left"/>
      <w:pPr>
        <w:ind w:left="7046" w:hanging="360"/>
      </w:pPr>
    </w:lvl>
    <w:lvl w:ilvl="7">
      <w:start w:val="1"/>
      <w:numFmt w:val="lowerLetter"/>
      <w:lvlText w:val="%8."/>
      <w:lvlJc w:val="left"/>
      <w:pPr>
        <w:ind w:left="7766" w:hanging="360"/>
      </w:pPr>
    </w:lvl>
    <w:lvl w:ilvl="8">
      <w:start w:val="1"/>
      <w:numFmt w:val="lowerRoman"/>
      <w:lvlText w:val="%9."/>
      <w:lvlJc w:val="right"/>
      <w:pPr>
        <w:ind w:left="8486" w:hanging="180"/>
      </w:pPr>
    </w:lvl>
  </w:abstractNum>
  <w:abstractNum w:abstractNumId="4" w15:restartNumberingAfterBreak="0">
    <w:nsid w:val="52A66A9D"/>
    <w:multiLevelType w:val="multilevel"/>
    <w:tmpl w:val="B46AE4B0"/>
    <w:lvl w:ilvl="0">
      <w:start w:val="1"/>
      <w:numFmt w:val="decimal"/>
      <w:pStyle w:val="Normalnumber"/>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sz w:val="24"/>
        <w:szCs w:val="24"/>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5" w15:restartNumberingAfterBreak="0">
    <w:nsid w:val="61C91C16"/>
    <w:multiLevelType w:val="multilevel"/>
    <w:tmpl w:val="29AE7B6C"/>
    <w:lvl w:ilvl="0">
      <w:start w:val="1"/>
      <w:numFmt w:val="decimal"/>
      <w:lvlText w:val="%1."/>
      <w:lvlJc w:val="left"/>
      <w:pPr>
        <w:ind w:left="1362" w:hanging="510"/>
      </w:pPr>
      <w:rPr>
        <w:rFonts w:hint="default"/>
        <w:b w:val="0"/>
        <w:bCs w:val="0"/>
        <w:i w:val="0"/>
        <w:sz w:val="20"/>
        <w:szCs w:val="20"/>
      </w:rPr>
    </w:lvl>
    <w:lvl w:ilvl="1">
      <w:start w:val="1"/>
      <w:numFmt w:val="lowerLetter"/>
      <w:lvlText w:val="%2."/>
      <w:lvlJc w:val="left"/>
      <w:pPr>
        <w:ind w:left="2951" w:hanging="360"/>
      </w:pPr>
    </w:lvl>
    <w:lvl w:ilvl="2">
      <w:start w:val="1"/>
      <w:numFmt w:val="lowerRoman"/>
      <w:lvlText w:val="%3."/>
      <w:lvlJc w:val="right"/>
      <w:pPr>
        <w:ind w:left="3671" w:hanging="180"/>
      </w:pPr>
    </w:lvl>
    <w:lvl w:ilvl="3">
      <w:start w:val="1"/>
      <w:numFmt w:val="decimal"/>
      <w:lvlText w:val="%4."/>
      <w:lvlJc w:val="left"/>
      <w:pPr>
        <w:ind w:left="4391" w:hanging="360"/>
      </w:pPr>
    </w:lvl>
    <w:lvl w:ilvl="4">
      <w:start w:val="1"/>
      <w:numFmt w:val="lowerLetter"/>
      <w:lvlText w:val="%5."/>
      <w:lvlJc w:val="left"/>
      <w:pPr>
        <w:ind w:left="5111" w:hanging="360"/>
      </w:pPr>
    </w:lvl>
    <w:lvl w:ilvl="5">
      <w:start w:val="1"/>
      <w:numFmt w:val="lowerRoman"/>
      <w:lvlText w:val="%6."/>
      <w:lvlJc w:val="right"/>
      <w:pPr>
        <w:ind w:left="5831" w:hanging="180"/>
      </w:pPr>
    </w:lvl>
    <w:lvl w:ilvl="6">
      <w:start w:val="1"/>
      <w:numFmt w:val="decimal"/>
      <w:lvlText w:val="%7."/>
      <w:lvlJc w:val="left"/>
      <w:pPr>
        <w:ind w:left="6551" w:hanging="360"/>
      </w:pPr>
    </w:lvl>
    <w:lvl w:ilvl="7">
      <w:start w:val="1"/>
      <w:numFmt w:val="lowerLetter"/>
      <w:lvlText w:val="%8."/>
      <w:lvlJc w:val="left"/>
      <w:pPr>
        <w:ind w:left="7271" w:hanging="360"/>
      </w:pPr>
    </w:lvl>
    <w:lvl w:ilvl="8">
      <w:start w:val="1"/>
      <w:numFmt w:val="lowerRoman"/>
      <w:lvlText w:val="%9."/>
      <w:lvlJc w:val="right"/>
      <w:pPr>
        <w:ind w:left="7991" w:hanging="180"/>
      </w:pPr>
    </w:lvl>
  </w:abstractNum>
  <w:abstractNum w:abstractNumId="6" w15:restartNumberingAfterBreak="0">
    <w:nsid w:val="64F55FA3"/>
    <w:multiLevelType w:val="multilevel"/>
    <w:tmpl w:val="64F55FA3"/>
    <w:lvl w:ilvl="0">
      <w:start w:val="1"/>
      <w:numFmt w:val="lowerLetter"/>
      <w:lvlText w:val="(%1)"/>
      <w:lvlJc w:val="left"/>
      <w:pPr>
        <w:ind w:left="2217" w:hanging="360"/>
      </w:pPr>
      <w:rPr>
        <w:rFonts w:cs="Times New Roman" w:hint="default"/>
      </w:rPr>
    </w:lvl>
    <w:lvl w:ilvl="1">
      <w:start w:val="1"/>
      <w:numFmt w:val="lowerRoman"/>
      <w:lvlText w:val="%2."/>
      <w:lvlJc w:val="right"/>
      <w:pPr>
        <w:ind w:left="2937" w:hanging="360"/>
      </w:pPr>
      <w:rPr>
        <w:rFonts w:cs="Times New Roman"/>
      </w:rPr>
    </w:lvl>
    <w:lvl w:ilvl="2">
      <w:start w:val="1"/>
      <w:numFmt w:val="lowerRoman"/>
      <w:lvlText w:val="%3."/>
      <w:lvlJc w:val="right"/>
      <w:pPr>
        <w:ind w:left="3657" w:hanging="180"/>
      </w:pPr>
      <w:rPr>
        <w:rFonts w:cs="Times New Roman"/>
      </w:rPr>
    </w:lvl>
    <w:lvl w:ilvl="3">
      <w:start w:val="1"/>
      <w:numFmt w:val="decimal"/>
      <w:lvlText w:val="%4."/>
      <w:lvlJc w:val="left"/>
      <w:pPr>
        <w:ind w:left="4377" w:hanging="360"/>
      </w:pPr>
      <w:rPr>
        <w:rFonts w:cs="Times New Roman"/>
      </w:rPr>
    </w:lvl>
    <w:lvl w:ilvl="4">
      <w:start w:val="1"/>
      <w:numFmt w:val="lowerLetter"/>
      <w:lvlText w:val="%5."/>
      <w:lvlJc w:val="left"/>
      <w:pPr>
        <w:ind w:left="5097" w:hanging="360"/>
      </w:pPr>
      <w:rPr>
        <w:rFonts w:cs="Times New Roman"/>
      </w:rPr>
    </w:lvl>
    <w:lvl w:ilvl="5">
      <w:start w:val="1"/>
      <w:numFmt w:val="lowerRoman"/>
      <w:lvlText w:val="%6."/>
      <w:lvlJc w:val="right"/>
      <w:pPr>
        <w:ind w:left="5817" w:hanging="180"/>
      </w:pPr>
      <w:rPr>
        <w:rFonts w:cs="Times New Roman"/>
      </w:rPr>
    </w:lvl>
    <w:lvl w:ilvl="6">
      <w:start w:val="1"/>
      <w:numFmt w:val="decimal"/>
      <w:lvlText w:val="%7."/>
      <w:lvlJc w:val="left"/>
      <w:pPr>
        <w:ind w:left="6537" w:hanging="360"/>
      </w:pPr>
      <w:rPr>
        <w:rFonts w:cs="Times New Roman"/>
      </w:rPr>
    </w:lvl>
    <w:lvl w:ilvl="7">
      <w:start w:val="1"/>
      <w:numFmt w:val="lowerLetter"/>
      <w:lvlText w:val="%8."/>
      <w:lvlJc w:val="left"/>
      <w:pPr>
        <w:ind w:left="7257" w:hanging="360"/>
      </w:pPr>
      <w:rPr>
        <w:rFonts w:cs="Times New Roman"/>
      </w:rPr>
    </w:lvl>
    <w:lvl w:ilvl="8">
      <w:start w:val="1"/>
      <w:numFmt w:val="lowerRoman"/>
      <w:lvlText w:val="%9."/>
      <w:lvlJc w:val="right"/>
      <w:pPr>
        <w:ind w:left="7977" w:hanging="180"/>
      </w:pPr>
      <w:rPr>
        <w:rFonts w:cs="Times New Roman"/>
      </w:rPr>
    </w:lvl>
  </w:abstractNum>
  <w:num w:numId="1">
    <w:abstractNumId w:val="4"/>
    <w:lvlOverride w:ilvl="0">
      <w:lvl w:ilvl="0">
        <w:start w:val="1"/>
        <w:numFmt w:val="decimal"/>
        <w:pStyle w:val="Normalnumber"/>
        <w:lvlText w:val="%1."/>
        <w:lvlJc w:val="left"/>
        <w:pPr>
          <w:tabs>
            <w:tab w:val="left" w:pos="1134"/>
          </w:tabs>
          <w:ind w:left="1247" w:firstLine="0"/>
        </w:pPr>
        <w:rPr>
          <w:rFonts w:hint="default"/>
          <w:sz w:val="24"/>
          <w:szCs w:val="24"/>
        </w:rPr>
      </w:lvl>
    </w:lvlOverride>
    <w:lvlOverride w:ilvl="1">
      <w:lvl w:ilvl="1" w:tentative="1">
        <w:start w:val="1"/>
        <w:numFmt w:val="lowerLetter"/>
        <w:lvlText w:val="(%2)"/>
        <w:lvlJc w:val="left"/>
        <w:pPr>
          <w:tabs>
            <w:tab w:val="left" w:pos="1134"/>
          </w:tabs>
          <w:ind w:left="1247" w:firstLine="567"/>
        </w:pPr>
        <w:rPr>
          <w:rFonts w:hint="default"/>
        </w:rPr>
      </w:lvl>
    </w:lvlOverride>
    <w:lvlOverride w:ilvl="2">
      <w:lvl w:ilvl="2" w:tentative="1">
        <w:start w:val="1"/>
        <w:numFmt w:val="lowerRoman"/>
        <w:lvlText w:val="(%3)"/>
        <w:lvlJc w:val="left"/>
        <w:pPr>
          <w:tabs>
            <w:tab w:val="left" w:pos="1134"/>
          </w:tabs>
          <w:ind w:left="2948" w:hanging="567"/>
        </w:pPr>
        <w:rPr>
          <w:rFonts w:hint="default"/>
        </w:rPr>
      </w:lvl>
    </w:lvlOverride>
    <w:lvlOverride w:ilvl="3">
      <w:lvl w:ilvl="3" w:tentative="1">
        <w:start w:val="1"/>
        <w:numFmt w:val="lowerLetter"/>
        <w:lvlText w:val="%4."/>
        <w:lvlJc w:val="left"/>
        <w:pPr>
          <w:tabs>
            <w:tab w:val="left" w:pos="1134"/>
          </w:tabs>
          <w:ind w:left="3515" w:hanging="567"/>
        </w:pPr>
        <w:rPr>
          <w:rFonts w:hint="default"/>
        </w:rPr>
      </w:lvl>
    </w:lvlOverride>
    <w:lvlOverride w:ilvl="4">
      <w:lvl w:ilvl="4" w:tentative="1">
        <w:start w:val="1"/>
        <w:numFmt w:val="lowerRoman"/>
        <w:lvlText w:val="%5."/>
        <w:lvlJc w:val="left"/>
        <w:pPr>
          <w:tabs>
            <w:tab w:val="left" w:pos="1134"/>
          </w:tabs>
          <w:ind w:left="4082" w:hanging="567"/>
        </w:pPr>
        <w:rPr>
          <w:rFonts w:hint="default"/>
        </w:rPr>
      </w:lvl>
    </w:lvlOverride>
    <w:lvlOverride w:ilvl="5">
      <w:lvl w:ilvl="5" w:tentative="1">
        <w:start w:val="1"/>
        <w:numFmt w:val="lowerRoman"/>
        <w:lvlText w:val="%6."/>
        <w:lvlJc w:val="right"/>
        <w:pPr>
          <w:tabs>
            <w:tab w:val="left" w:pos="7835"/>
          </w:tabs>
          <w:ind w:left="7835" w:hanging="180"/>
        </w:pPr>
        <w:rPr>
          <w:rFonts w:hint="default"/>
        </w:rPr>
      </w:lvl>
    </w:lvlOverride>
    <w:lvlOverride w:ilvl="6">
      <w:lvl w:ilvl="6" w:tentative="1">
        <w:start w:val="1"/>
        <w:numFmt w:val="decimal"/>
        <w:lvlText w:val="%7."/>
        <w:lvlJc w:val="left"/>
        <w:pPr>
          <w:tabs>
            <w:tab w:val="left" w:pos="8555"/>
          </w:tabs>
          <w:ind w:left="8555" w:hanging="360"/>
        </w:pPr>
        <w:rPr>
          <w:rFonts w:hint="default"/>
        </w:rPr>
      </w:lvl>
    </w:lvlOverride>
    <w:lvlOverride w:ilvl="7">
      <w:lvl w:ilvl="7" w:tentative="1">
        <w:start w:val="1"/>
        <w:numFmt w:val="lowerLetter"/>
        <w:lvlText w:val="%8."/>
        <w:lvlJc w:val="left"/>
        <w:pPr>
          <w:tabs>
            <w:tab w:val="left" w:pos="9275"/>
          </w:tabs>
          <w:ind w:left="9275" w:hanging="360"/>
        </w:pPr>
        <w:rPr>
          <w:rFonts w:hint="default"/>
        </w:rPr>
      </w:lvl>
    </w:lvlOverride>
    <w:lvlOverride w:ilvl="8">
      <w:lvl w:ilvl="8" w:tentative="1">
        <w:start w:val="1"/>
        <w:numFmt w:val="lowerRoman"/>
        <w:lvlText w:val="%9."/>
        <w:lvlJc w:val="right"/>
        <w:pPr>
          <w:tabs>
            <w:tab w:val="left" w:pos="9995"/>
          </w:tabs>
          <w:ind w:left="9995" w:hanging="180"/>
        </w:pPr>
        <w:rPr>
          <w:rFonts w:hint="default"/>
        </w:rPr>
      </w:lvl>
    </w:lvlOverride>
  </w:num>
  <w:num w:numId="2">
    <w:abstractNumId w:val="5"/>
    <w:lvlOverride w:ilvl="0">
      <w:lvl w:ilvl="0">
        <w:start w:val="1"/>
        <w:numFmt w:val="decimal"/>
        <w:lvlText w:val="%1."/>
        <w:lvlJc w:val="left"/>
        <w:pPr>
          <w:ind w:left="1362" w:hanging="510"/>
        </w:pPr>
        <w:rPr>
          <w:rFonts w:hint="default"/>
          <w:b w:val="0"/>
          <w:bCs w:val="0"/>
          <w:i w:val="0"/>
          <w:sz w:val="24"/>
          <w:szCs w:val="24"/>
        </w:rPr>
      </w:lvl>
    </w:lvlOverride>
  </w:num>
  <w:num w:numId="3">
    <w:abstractNumId w:val="1"/>
  </w:num>
  <w:num w:numId="4">
    <w:abstractNumId w:val="2"/>
  </w:num>
  <w:num w:numId="5">
    <w:abstractNumId w:val="3"/>
    <w:lvlOverride w:ilvl="1">
      <w:lvl w:ilvl="1">
        <w:start w:val="1"/>
        <w:numFmt w:val="lowerLetter"/>
        <w:lvlText w:val="(%2)"/>
        <w:lvlJc w:val="left"/>
        <w:pPr>
          <w:ind w:left="3446" w:hanging="360"/>
        </w:pPr>
        <w:rPr>
          <w:rFonts w:hint="default"/>
          <w:i w:val="0"/>
          <w:iCs w:val="0"/>
        </w:rPr>
      </w:lvl>
    </w:lvlOverride>
  </w:num>
  <w:num w:numId="6">
    <w:abstractNumId w:val="0"/>
    <w:lvlOverride w:ilvl="0">
      <w:lvl w:ilvl="0">
        <w:start w:val="1"/>
        <w:numFmt w:val="lowerLetter"/>
        <w:lvlText w:val="(%1)"/>
        <w:lvlJc w:val="left"/>
        <w:pPr>
          <w:ind w:left="3446" w:hanging="360"/>
        </w:pPr>
        <w:rPr>
          <w:rFonts w:hint="default"/>
          <w:i w:val="0"/>
          <w:iCs w:val="0"/>
        </w:rPr>
      </w:lvl>
    </w:lvlOverride>
  </w:num>
  <w:num w:numId="7">
    <w:abstractNumId w:val="6"/>
    <w:lvlOverride w:ilvl="0">
      <w:lvl w:ilvl="0">
        <w:start w:val="1"/>
        <w:numFmt w:val="lowerLetter"/>
        <w:lvlText w:val="(%1)"/>
        <w:lvlJc w:val="left"/>
        <w:pPr>
          <w:ind w:left="2217" w:hanging="360"/>
        </w:pPr>
        <w:rPr>
          <w:rFonts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8A1"/>
    <w:rsid w:val="00374E3C"/>
    <w:rsid w:val="00C408A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58135"/>
  <w15:chartTrackingRefBased/>
  <w15:docId w15:val="{0BCF1F3C-C12F-4F1C-A022-92A1C25E9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08A1"/>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pool"/>
    <w:link w:val="NormalnumberChar"/>
    <w:qFormat/>
    <w:rsid w:val="00C408A1"/>
    <w:pPr>
      <w:numPr>
        <w:numId w:val="1"/>
      </w:numPr>
      <w:tabs>
        <w:tab w:val="clear" w:pos="1134"/>
        <w:tab w:val="num" w:pos="360"/>
        <w:tab w:val="left" w:pos="624"/>
      </w:tabs>
      <w:spacing w:after="120"/>
      <w:ind w:left="0"/>
    </w:pPr>
    <w:rPr>
      <w:lang w:val="en-GB"/>
    </w:rPr>
  </w:style>
  <w:style w:type="paragraph" w:customStyle="1" w:styleId="Normalpool">
    <w:name w:val="Normal_pool"/>
    <w:link w:val="NormalpoolChar"/>
    <w:rsid w:val="00C408A1"/>
    <w:pPr>
      <w:tabs>
        <w:tab w:val="left" w:pos="1247"/>
        <w:tab w:val="left" w:pos="1814"/>
        <w:tab w:val="left" w:pos="2381"/>
        <w:tab w:val="left" w:pos="2948"/>
        <w:tab w:val="left" w:pos="3515"/>
        <w:tab w:val="left" w:pos="4082"/>
      </w:tabs>
    </w:pPr>
    <w:rPr>
      <w:rFonts w:ascii="Times New Roman" w:eastAsia="SimSun" w:hAnsi="Times New Roman" w:cs="Times New Roman"/>
      <w:sz w:val="20"/>
      <w:szCs w:val="20"/>
      <w:lang w:val="fr-FR" w:eastAsia="en-US"/>
    </w:rPr>
  </w:style>
  <w:style w:type="paragraph" w:styleId="FootnoteText">
    <w:name w:val="footnote text"/>
    <w:basedOn w:val="Normalpool"/>
    <w:link w:val="FootnoteTextChar"/>
    <w:qFormat/>
    <w:rsid w:val="00C408A1"/>
    <w:pPr>
      <w:tabs>
        <w:tab w:val="clear" w:pos="4082"/>
      </w:tabs>
      <w:spacing w:before="20" w:after="0" w:line="210" w:lineRule="exact"/>
      <w:ind w:left="475" w:hanging="475"/>
    </w:pPr>
    <w:rPr>
      <w:spacing w:val="5"/>
      <w:w w:val="104"/>
      <w:kern w:val="14"/>
      <w:sz w:val="18"/>
    </w:rPr>
  </w:style>
  <w:style w:type="character" w:customStyle="1" w:styleId="FootnoteTextChar">
    <w:name w:val="Footnote Text Char"/>
    <w:basedOn w:val="DefaultParagraphFont"/>
    <w:link w:val="FootnoteText"/>
    <w:rsid w:val="00C408A1"/>
    <w:rPr>
      <w:rFonts w:ascii="Times New Roman" w:eastAsia="SimSun" w:hAnsi="Times New Roman" w:cs="Times New Roman"/>
      <w:spacing w:val="5"/>
      <w:w w:val="104"/>
      <w:kern w:val="14"/>
      <w:sz w:val="18"/>
      <w:szCs w:val="20"/>
      <w:lang w:val="fr-FR" w:eastAsia="en-US"/>
    </w:rPr>
  </w:style>
  <w:style w:type="character" w:styleId="FootnoteReference">
    <w:name w:val="footnote reference"/>
    <w:basedOn w:val="DefaultParagraphFont"/>
    <w:link w:val="BVIfnrCharCharCharChar"/>
    <w:qFormat/>
    <w:rsid w:val="00C408A1"/>
    <w:rPr>
      <w:rFonts w:ascii="Times New Roman" w:eastAsia="SimSun" w:hAnsi="Times New Roman"/>
      <w:color w:val="000000"/>
      <w:spacing w:val="-5"/>
      <w:w w:val="130"/>
      <w:position w:val="-4"/>
      <w:sz w:val="20"/>
      <w:szCs w:val="18"/>
      <w:vertAlign w:val="superscript"/>
    </w:rPr>
  </w:style>
  <w:style w:type="paragraph" w:customStyle="1" w:styleId="BVIfnrCharCharCharChar">
    <w:name w:val="BVI fnr Char Char Char Char"/>
    <w:basedOn w:val="Normal"/>
    <w:link w:val="FootnoteReference"/>
    <w:rsid w:val="00C408A1"/>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customStyle="1" w:styleId="CH1">
    <w:name w:val="CH1"/>
    <w:basedOn w:val="Normalpool"/>
    <w:next w:val="Normal"/>
    <w:qFormat/>
    <w:rsid w:val="00C408A1"/>
    <w:pPr>
      <w:keepNext/>
      <w:keepLines/>
      <w:tabs>
        <w:tab w:val="right" w:pos="851"/>
      </w:tabs>
      <w:suppressAutoHyphens/>
      <w:spacing w:before="240" w:after="120"/>
      <w:ind w:left="1247" w:right="284" w:hanging="1247"/>
    </w:pPr>
    <w:rPr>
      <w:b/>
      <w:sz w:val="28"/>
      <w:szCs w:val="28"/>
      <w:lang w:val="en-GB"/>
    </w:rPr>
  </w:style>
  <w:style w:type="paragraph" w:customStyle="1" w:styleId="CH3">
    <w:name w:val="CH3"/>
    <w:basedOn w:val="Normalpool"/>
    <w:next w:val="Normalnumber"/>
    <w:link w:val="CH3Char"/>
    <w:rsid w:val="00C408A1"/>
    <w:pPr>
      <w:keepNext/>
      <w:keepLines/>
      <w:tabs>
        <w:tab w:val="right" w:pos="851"/>
      </w:tabs>
      <w:suppressAutoHyphens/>
      <w:spacing w:after="120"/>
      <w:ind w:left="1247" w:right="284" w:hanging="1247"/>
    </w:pPr>
    <w:rPr>
      <w:b/>
      <w:lang w:val="en-GB"/>
    </w:rPr>
  </w:style>
  <w:style w:type="paragraph" w:customStyle="1" w:styleId="Normal-pool">
    <w:name w:val="Normal-pool"/>
    <w:link w:val="Normal-poolChar"/>
    <w:qFormat/>
    <w:rsid w:val="00C408A1"/>
    <w:pPr>
      <w:tabs>
        <w:tab w:val="left" w:pos="1247"/>
        <w:tab w:val="left" w:pos="1814"/>
        <w:tab w:val="left" w:pos="2381"/>
        <w:tab w:val="left" w:pos="2948"/>
        <w:tab w:val="left" w:pos="3515"/>
        <w:tab w:val="left" w:pos="4082"/>
      </w:tabs>
    </w:pPr>
    <w:rPr>
      <w:rFonts w:ascii="Times New Roman" w:eastAsia="SimSun" w:hAnsi="Times New Roman" w:cs="Times New Roman"/>
      <w:sz w:val="20"/>
      <w:szCs w:val="20"/>
      <w:lang w:val="en-GB" w:eastAsia="en-US"/>
    </w:rPr>
  </w:style>
  <w:style w:type="character" w:customStyle="1" w:styleId="NormalnumberChar">
    <w:name w:val="Normal_number Char"/>
    <w:link w:val="Normalnumber"/>
    <w:rsid w:val="00C408A1"/>
    <w:rPr>
      <w:rFonts w:ascii="Times New Roman" w:eastAsia="SimSun" w:hAnsi="Times New Roman" w:cs="Times New Roman"/>
      <w:sz w:val="20"/>
      <w:szCs w:val="20"/>
      <w:lang w:val="en-GB" w:eastAsia="en-US"/>
    </w:rPr>
  </w:style>
  <w:style w:type="character" w:customStyle="1" w:styleId="Normal-poolChar">
    <w:name w:val="Normal-pool Char"/>
    <w:link w:val="Normal-pool"/>
    <w:rsid w:val="00C408A1"/>
    <w:rPr>
      <w:rFonts w:ascii="Times New Roman" w:eastAsia="SimSun" w:hAnsi="Times New Roman" w:cs="Times New Roman"/>
      <w:sz w:val="20"/>
      <w:szCs w:val="20"/>
      <w:lang w:val="en-GB" w:eastAsia="en-US"/>
    </w:rPr>
  </w:style>
  <w:style w:type="paragraph" w:styleId="ListParagraph">
    <w:name w:val="List Paragraph"/>
    <w:basedOn w:val="Normal"/>
    <w:uiPriority w:val="34"/>
    <w:qFormat/>
    <w:rsid w:val="00C408A1"/>
    <w:pPr>
      <w:tabs>
        <w:tab w:val="clear" w:pos="1247"/>
        <w:tab w:val="clear" w:pos="1814"/>
        <w:tab w:val="clear" w:pos="2381"/>
        <w:tab w:val="clear" w:pos="2948"/>
        <w:tab w:val="clear" w:pos="3515"/>
      </w:tabs>
      <w:ind w:left="720"/>
      <w:contextualSpacing/>
    </w:pPr>
    <w:rPr>
      <w:sz w:val="24"/>
      <w:szCs w:val="24"/>
    </w:rPr>
  </w:style>
  <w:style w:type="character" w:customStyle="1" w:styleId="NormalpoolChar">
    <w:name w:val="Normal_pool Char"/>
    <w:link w:val="Normalpool"/>
    <w:qFormat/>
    <w:rsid w:val="00C408A1"/>
    <w:rPr>
      <w:rFonts w:ascii="Times New Roman" w:eastAsia="SimSun" w:hAnsi="Times New Roman" w:cs="Times New Roman"/>
      <w:sz w:val="20"/>
      <w:szCs w:val="20"/>
      <w:lang w:val="fr-FR" w:eastAsia="en-US"/>
    </w:rPr>
  </w:style>
  <w:style w:type="character" w:customStyle="1" w:styleId="CH3Char">
    <w:name w:val="CH3 Char"/>
    <w:link w:val="CH3"/>
    <w:rsid w:val="00C408A1"/>
    <w:rPr>
      <w:rFonts w:ascii="Times New Roman" w:eastAsia="SimSun" w:hAnsi="Times New Roman" w:cs="Times New Roman"/>
      <w:b/>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443</Words>
  <Characters>2527</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2020-01-30T16:37:00Z</dcterms:created>
  <dcterms:modified xsi:type="dcterms:W3CDTF">2020-01-30T16:37:00Z</dcterms:modified>
</cp:coreProperties>
</file>