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71B77" w14:textId="77777777" w:rsidR="00190D20" w:rsidRPr="000B293F" w:rsidRDefault="00190D20" w:rsidP="00190D20">
      <w:pPr>
        <w:ind w:left="1247" w:right="567"/>
        <w:rPr>
          <w:b/>
          <w:bCs/>
          <w:sz w:val="28"/>
          <w:szCs w:val="28"/>
        </w:rPr>
      </w:pPr>
      <w:r w:rsidRPr="000B293F">
        <w:rPr>
          <w:b/>
          <w:bCs/>
          <w:sz w:val="28"/>
          <w:szCs w:val="28"/>
        </w:rPr>
        <w:t xml:space="preserve">БК-14/19: </w:t>
      </w:r>
      <w:bookmarkStart w:id="0" w:name="_Hlk23755587"/>
      <w:r w:rsidRPr="000B293F">
        <w:rPr>
          <w:b/>
          <w:bCs/>
          <w:sz w:val="28"/>
          <w:szCs w:val="28"/>
        </w:rPr>
        <w:t>Программа Базельской конвенции по развитию партнерств</w:t>
      </w:r>
      <w:bookmarkEnd w:id="0"/>
    </w:p>
    <w:p w14:paraId="4D557B12" w14:textId="77777777" w:rsidR="00190D20" w:rsidRPr="00A053E1" w:rsidRDefault="00190D20" w:rsidP="00190D20">
      <w:pPr>
        <w:ind w:left="1247" w:firstLine="624"/>
      </w:pPr>
      <w:r w:rsidRPr="000B293F">
        <w:rPr>
          <w:i/>
          <w:iCs/>
        </w:rPr>
        <w:t>Конференция Сторон</w:t>
      </w:r>
      <w:r w:rsidRPr="00A053E1">
        <w:t>,</w:t>
      </w:r>
    </w:p>
    <w:p w14:paraId="635F4F62" w14:textId="77777777" w:rsidR="00190D20" w:rsidRPr="000B293F" w:rsidRDefault="00190D20" w:rsidP="00190D20">
      <w:pPr>
        <w:ind w:left="1247"/>
        <w:jc w:val="center"/>
        <w:rPr>
          <w:b/>
          <w:bCs/>
        </w:rPr>
      </w:pPr>
      <w:r w:rsidRPr="000B293F">
        <w:rPr>
          <w:b/>
          <w:bCs/>
        </w:rPr>
        <w:t>I</w:t>
      </w:r>
    </w:p>
    <w:p w14:paraId="5A754761" w14:textId="77777777" w:rsidR="00190D20" w:rsidRPr="000B293F" w:rsidRDefault="00190D20" w:rsidP="00190D20">
      <w:pPr>
        <w:ind w:left="1247"/>
        <w:jc w:val="center"/>
        <w:rPr>
          <w:b/>
          <w:bCs/>
        </w:rPr>
      </w:pPr>
      <w:r w:rsidRPr="000B293F">
        <w:rPr>
          <w:b/>
          <w:bCs/>
        </w:rPr>
        <w:t>Партнерство в развитие Партнерства по принятию мер в отношении компьютерного оборудования</w:t>
      </w:r>
    </w:p>
    <w:p w14:paraId="604039D7" w14:textId="77777777" w:rsidR="00190D20" w:rsidRPr="00A053E1" w:rsidRDefault="00190D20" w:rsidP="00190D20">
      <w:pPr>
        <w:ind w:left="1247" w:firstLine="624"/>
      </w:pPr>
      <w:r w:rsidRPr="000B293F">
        <w:rPr>
          <w:i/>
          <w:iCs/>
        </w:rPr>
        <w:t>ссылаясь</w:t>
      </w:r>
      <w:r w:rsidRPr="00A053E1">
        <w:t xml:space="preserve"> на свои решения VI/32</w:t>
      </w:r>
      <w:r w:rsidRPr="000461B4">
        <w:t xml:space="preserve"> </w:t>
      </w:r>
      <w:r>
        <w:t>о партнерстве с природоохранными неправительственными организациями и с промышленным и деловым секторами</w:t>
      </w:r>
      <w:r w:rsidRPr="00A053E1">
        <w:t>, VII/3</w:t>
      </w:r>
      <w:r>
        <w:t xml:space="preserve"> о программе партнерств Базельской конвенции</w:t>
      </w:r>
      <w:r w:rsidRPr="00A053E1">
        <w:t>, VIII/2</w:t>
      </w:r>
      <w:r>
        <w:t xml:space="preserve"> об инновационных решениях в рамках Базельской конвенции для экологически обоснованного регулирования электротехнических и электронных отходов</w:t>
      </w:r>
      <w:r w:rsidRPr="00A053E1">
        <w:t xml:space="preserve">, VIII/5 </w:t>
      </w:r>
      <w:r>
        <w:t>о программе партнерств Базельской конвенции</w:t>
      </w:r>
      <w:r w:rsidRPr="00A053E1">
        <w:t xml:space="preserve"> и </w:t>
      </w:r>
      <w:r>
        <w:t>13</w:t>
      </w:r>
      <w:r w:rsidRPr="00A053E1">
        <w:t>/12</w:t>
      </w:r>
      <w:r>
        <w:t xml:space="preserve"> о Партнерстве по принятию мер в отношении компьютерного оборудования</w:t>
      </w:r>
      <w:r w:rsidRPr="00A053E1">
        <w:t>,</w:t>
      </w:r>
    </w:p>
    <w:p w14:paraId="1AF7D2A3" w14:textId="77777777" w:rsidR="00190D20" w:rsidRPr="00A053E1" w:rsidRDefault="00190D20" w:rsidP="00190D20">
      <w:pPr>
        <w:ind w:left="1247" w:firstLine="624"/>
      </w:pPr>
      <w:r w:rsidRPr="000B293F">
        <w:rPr>
          <w:i/>
          <w:iCs/>
        </w:rPr>
        <w:t>учитывая</w:t>
      </w:r>
      <w:r w:rsidRPr="00A053E1">
        <w:t xml:space="preserve"> Базельскую декларацию об экологически обоснованном регулировании</w:t>
      </w:r>
      <w:r w:rsidRPr="00D22A61">
        <w:rPr>
          <w:vertAlign w:val="superscript"/>
        </w:rPr>
        <w:footnoteReference w:id="1"/>
      </w:r>
      <w:r w:rsidRPr="00A053E1">
        <w:t xml:space="preserve"> и Найробийскую декларацию об экологически обоснованном регулировании электротехнических и электронных отходов</w:t>
      </w:r>
      <w:r w:rsidRPr="00D22A61">
        <w:rPr>
          <w:vertAlign w:val="superscript"/>
        </w:rPr>
        <w:footnoteReference w:id="2"/>
      </w:r>
      <w:r w:rsidRPr="00A053E1">
        <w:t>,</w:t>
      </w:r>
    </w:p>
    <w:p w14:paraId="30586F6A" w14:textId="77777777" w:rsidR="00190D20" w:rsidRPr="00A053E1" w:rsidRDefault="00190D20" w:rsidP="00190D20">
      <w:pPr>
        <w:ind w:left="1247" w:firstLine="624"/>
      </w:pPr>
      <w:r w:rsidRPr="00D22A61">
        <w:rPr>
          <w:i/>
          <w:iCs/>
        </w:rPr>
        <w:t>отмечая</w:t>
      </w:r>
      <w:r w:rsidRPr="00A053E1">
        <w:t xml:space="preserve"> стремительный рост объема электротехнического и электронного оборудования, используемого и приобретаемого в глобальном масштабе, и обусловленное этим увеличение объема бывшего в употреблении и исчерпавшего ресурс электротехнического и электронного оборудования, включая компьютерное оборудование, которое во многих случаях не регулируется экологически обоснованным образом,</w:t>
      </w:r>
    </w:p>
    <w:p w14:paraId="4BB6F1D3" w14:textId="77777777" w:rsidR="00190D20" w:rsidRPr="00A053E1" w:rsidRDefault="00190D20" w:rsidP="00190D20">
      <w:pPr>
        <w:ind w:left="1247" w:firstLine="624"/>
      </w:pPr>
      <w:r w:rsidRPr="00D22A61">
        <w:rPr>
          <w:i/>
          <w:iCs/>
        </w:rPr>
        <w:t>отмечая также</w:t>
      </w:r>
      <w:r w:rsidRPr="00A053E1">
        <w:t xml:space="preserve"> связанные со сроком эксплуатации потенциальные преимущества утилизации и рециркуляции использованного и отработанного электротехнического оборудования и электронных приборов экологически обоснованным образом, например, сокращение выбросов парниковых газов, экономия природных ресурсов и создание условий для устойчивого экономического и социального развития в развивающихся странах и странах с переходной экономикой,</w:t>
      </w:r>
    </w:p>
    <w:p w14:paraId="44680DF5" w14:textId="77777777" w:rsidR="00190D20" w:rsidRPr="00A053E1" w:rsidRDefault="00190D20" w:rsidP="00190D20">
      <w:pPr>
        <w:ind w:left="1247" w:firstLine="624"/>
      </w:pPr>
      <w:r w:rsidRPr="00D22A61">
        <w:rPr>
          <w:i/>
          <w:iCs/>
        </w:rPr>
        <w:t>отмечая далее</w:t>
      </w:r>
      <w:r w:rsidRPr="00A053E1">
        <w:t xml:space="preserve"> важность контроля за трансграничной перевозкой в соответствии с Базельской конвенцией о контроле за трансграничной перевозкой опасных отходов и их удалением для нужд обеспечения охраны окружающей среды, </w:t>
      </w:r>
    </w:p>
    <w:p w14:paraId="66EC55D4" w14:textId="77777777" w:rsidR="00190D20" w:rsidRPr="00A053E1" w:rsidRDefault="00190D20" w:rsidP="00190D20">
      <w:pPr>
        <w:ind w:left="1247" w:firstLine="624"/>
      </w:pPr>
      <w:r w:rsidRPr="00D22A61">
        <w:rPr>
          <w:i/>
          <w:iCs/>
        </w:rPr>
        <w:t>признавая</w:t>
      </w:r>
      <w:r w:rsidRPr="00A053E1">
        <w:t>, что распространение инструктивных документов, разработанных Партнерством по принятию мер в отношении компьютерного оборудования и Инициативой партнерства в области регулирования мобильных телефонов, и других соответствующих технических руководящих принципов и руководств может способствовать более эффективному внедрению экологически обоснованного регулирования исчерпавшего ресурс компьютерного оборудования и, возможно, другого исчерпавшего ресурс электрического и электронного оборудования, особенно в развивающихся странах и странах с переходной экономикой,</w:t>
      </w:r>
    </w:p>
    <w:p w14:paraId="13A5A074" w14:textId="77777777" w:rsidR="00190D20" w:rsidRPr="00A053E1" w:rsidRDefault="00190D20" w:rsidP="00190D20">
      <w:pPr>
        <w:ind w:left="1247" w:firstLine="624"/>
      </w:pPr>
      <w:r w:rsidRPr="00D22A61">
        <w:rPr>
          <w:i/>
          <w:iCs/>
        </w:rPr>
        <w:t>приветствуя</w:t>
      </w:r>
      <w:r w:rsidRPr="00A053E1">
        <w:t xml:space="preserve"> предложение временной группы по последующему партнерству в рамках Партнерства по принятию мер в отношении компьютерного оборудования (далее именуемого «Партнерство»),</w:t>
      </w:r>
    </w:p>
    <w:p w14:paraId="54092DF9" w14:textId="77777777" w:rsidR="00190D20" w:rsidRPr="00A053E1" w:rsidRDefault="00190D20" w:rsidP="00190D20">
      <w:pPr>
        <w:ind w:left="1247" w:firstLine="624"/>
      </w:pPr>
      <w:r w:rsidRPr="00D22A61">
        <w:t>1.</w:t>
      </w:r>
      <w:r>
        <w:tab/>
      </w:r>
      <w:r w:rsidRPr="00D22A61">
        <w:rPr>
          <w:i/>
          <w:iCs/>
        </w:rPr>
        <w:t>принимает к сведению</w:t>
      </w:r>
      <w:r w:rsidRPr="00A053E1">
        <w:t xml:space="preserve"> концептуальную записку, подготовленную временной группой и содержащуюся в приложении I к документу UNEP/CHW.14/INF/30, и в принципе соглашается с техническим заданием и программой работы Партнерства, которые были разработаны временной группой и изложены в приложениях II и III к этому документу;</w:t>
      </w:r>
    </w:p>
    <w:p w14:paraId="7F358D42" w14:textId="77777777" w:rsidR="00190D20" w:rsidRPr="00A053E1" w:rsidRDefault="00190D20" w:rsidP="00190D20">
      <w:pPr>
        <w:ind w:left="1247" w:firstLine="624"/>
      </w:pPr>
      <w:r w:rsidRPr="00D22A61">
        <w:lastRenderedPageBreak/>
        <w:t>2.</w:t>
      </w:r>
      <w:r>
        <w:tab/>
      </w:r>
      <w:r w:rsidRPr="00D22A61">
        <w:rPr>
          <w:i/>
          <w:iCs/>
        </w:rPr>
        <w:t>подчеркивает</w:t>
      </w:r>
      <w:r w:rsidRPr="00A053E1">
        <w:t>, что Партнерство не обладает полномочиями по созданию дополнительных или отмене существующих прав или обязанностей Сторон в рамках Базельской конвенции;</w:t>
      </w:r>
    </w:p>
    <w:p w14:paraId="44791B15" w14:textId="77777777" w:rsidR="00190D20" w:rsidRPr="00A053E1" w:rsidRDefault="00190D20" w:rsidP="00190D20">
      <w:pPr>
        <w:ind w:left="1247" w:firstLine="624"/>
      </w:pPr>
      <w:r w:rsidRPr="00D22A61">
        <w:t>3.</w:t>
      </w:r>
      <w:r>
        <w:tab/>
      </w:r>
      <w:r w:rsidRPr="00D22A61">
        <w:rPr>
          <w:i/>
          <w:iCs/>
        </w:rPr>
        <w:t>принимает к сведению</w:t>
      </w:r>
      <w:r w:rsidRPr="00A053E1">
        <w:t xml:space="preserve"> предложения о финансировании Партнерства, изложенные в приложении II к документу UNEP/CHW.14/INF/30; </w:t>
      </w:r>
    </w:p>
    <w:p w14:paraId="7510C313" w14:textId="77777777" w:rsidR="00190D20" w:rsidRPr="00A053E1" w:rsidRDefault="00190D20" w:rsidP="00190D20">
      <w:pPr>
        <w:ind w:left="1247" w:firstLine="624"/>
      </w:pPr>
      <w:r w:rsidRPr="00D22A61">
        <w:t>4.</w:t>
      </w:r>
      <w:r>
        <w:tab/>
      </w:r>
      <w:r w:rsidRPr="00D22A61">
        <w:rPr>
          <w:i/>
          <w:iCs/>
        </w:rPr>
        <w:t>постановляет</w:t>
      </w:r>
      <w:r w:rsidRPr="00A053E1">
        <w:t xml:space="preserve"> учредить рабочую группу Партнерства, которая будет действовать под руководством Рабочей группы открытого состава;</w:t>
      </w:r>
    </w:p>
    <w:p w14:paraId="1F18B6ED" w14:textId="77777777" w:rsidR="00190D20" w:rsidRPr="00A053E1" w:rsidRDefault="00190D20" w:rsidP="00190D20">
      <w:pPr>
        <w:ind w:left="1247" w:firstLine="624"/>
      </w:pPr>
      <w:r w:rsidRPr="00D22A61">
        <w:t>5.</w:t>
      </w:r>
      <w:r>
        <w:tab/>
      </w:r>
      <w:r w:rsidRPr="00D22A61">
        <w:rPr>
          <w:i/>
          <w:iCs/>
        </w:rPr>
        <w:t>предлагает</w:t>
      </w:r>
      <w:r w:rsidRPr="00A053E1">
        <w:t xml:space="preserve"> Сторонам, сигнатариям и всем иным заинтересованным субъектам, включая производителей, предприятия, занимающиеся рециркуляцией и модернизацией оборудования, научные круги, соответствующие платформы по электронным отходам, неправительственные и межправительственные организации и бывших партнеров Партнерства по принятию мер в отношении компьютерного оборудования, не позднее 30 сентября 2019 года сообщить секретариату о своей заинтересованности в участии в деятельности рабочей группы Партнерства с учетом конкретных знаний и опыта, необходимых для участия в деятельности этой рабочей группы; </w:t>
      </w:r>
    </w:p>
    <w:p w14:paraId="122E61DD" w14:textId="77777777" w:rsidR="00190D20" w:rsidRPr="00A053E1" w:rsidRDefault="00190D20" w:rsidP="00190D20">
      <w:pPr>
        <w:ind w:left="1247" w:firstLine="624"/>
        <w:rPr>
          <w:rFonts w:eastAsia="Calibri"/>
        </w:rPr>
      </w:pPr>
      <w:r w:rsidRPr="00A72771">
        <w:t>6.</w:t>
      </w:r>
      <w:r>
        <w:tab/>
      </w:r>
      <w:r w:rsidRPr="00A72771">
        <w:rPr>
          <w:i/>
          <w:iCs/>
        </w:rPr>
        <w:t>предлагает</w:t>
      </w:r>
      <w:r w:rsidRPr="00A053E1">
        <w:t xml:space="preserve"> Сторонам и другим субъектам до 30 сентября 2019 года представить через секретариат рабочей группе Партнерства замечания относительно технического задания и программы работы, о которых говорится в пункте 1 настоящего решения; </w:t>
      </w:r>
    </w:p>
    <w:p w14:paraId="186D24DE" w14:textId="77777777" w:rsidR="00190D20" w:rsidRPr="00A053E1" w:rsidRDefault="00190D20" w:rsidP="00190D20">
      <w:pPr>
        <w:ind w:left="1247" w:firstLine="624"/>
      </w:pPr>
      <w:r w:rsidRPr="00A72771">
        <w:t>7.</w:t>
      </w:r>
      <w:r>
        <w:tab/>
      </w:r>
      <w:r w:rsidRPr="00A72771">
        <w:rPr>
          <w:i/>
          <w:iCs/>
        </w:rPr>
        <w:t>просит</w:t>
      </w:r>
      <w:r w:rsidRPr="00A053E1">
        <w:t xml:space="preserve"> рабочую группу Партнерства подготовить пересмотренные редакции технического задания и программы работы, включая приоритизацию задач в программе работы и определение структуры руководства Партнерством, и с учетом замечаний Сторон и других субъектов представить их на рассмотрение Рабочей группы открытого состава на ее двенадцатом совещании;</w:t>
      </w:r>
    </w:p>
    <w:p w14:paraId="2E2C1A5D" w14:textId="77777777" w:rsidR="00190D20" w:rsidRPr="00A053E1" w:rsidRDefault="00190D20" w:rsidP="00190D20">
      <w:pPr>
        <w:ind w:left="1247" w:firstLine="624"/>
      </w:pPr>
      <w:r w:rsidRPr="00A72771">
        <w:t>8.</w:t>
      </w:r>
      <w:r>
        <w:tab/>
      </w:r>
      <w:r w:rsidRPr="00A72771">
        <w:rPr>
          <w:i/>
          <w:iCs/>
        </w:rPr>
        <w:t>поручает</w:t>
      </w:r>
      <w:r w:rsidRPr="00A053E1">
        <w:t xml:space="preserve"> Рабочей группе открытого состава утвердить на ее двенадцатом совещании техническое задание и программу работы от имени Конференции Сторон; </w:t>
      </w:r>
    </w:p>
    <w:p w14:paraId="6CFC20B9" w14:textId="77777777" w:rsidR="00190D20" w:rsidRPr="00A053E1" w:rsidRDefault="00190D20" w:rsidP="00190D20">
      <w:pPr>
        <w:ind w:left="1247" w:firstLine="624"/>
      </w:pPr>
      <w:r w:rsidRPr="00A72771">
        <w:t>9.</w:t>
      </w:r>
      <w:r>
        <w:tab/>
      </w:r>
      <w:r w:rsidRPr="00A72771">
        <w:rPr>
          <w:i/>
          <w:iCs/>
        </w:rPr>
        <w:t>просит</w:t>
      </w:r>
      <w:r w:rsidRPr="00A053E1">
        <w:t xml:space="preserve"> рабочую группу Партнерства осуществлять мероприятия, предусмотренные в программе работы, начиная со следующих приоритетных мероприятий, изложенных в приложении III к документу UNEP/CHW.14/INF/30:</w:t>
      </w:r>
    </w:p>
    <w:p w14:paraId="1F80493A" w14:textId="77777777" w:rsidR="00190D20" w:rsidRPr="00A053E1" w:rsidRDefault="00190D20" w:rsidP="00190D20">
      <w:pPr>
        <w:ind w:left="1247" w:firstLine="624"/>
      </w:pPr>
      <w:r>
        <w:rPr>
          <w:lang w:val="en-GB"/>
        </w:rPr>
        <w:t>a</w:t>
      </w:r>
      <w:r w:rsidRPr="002267C4">
        <w:t>)</w:t>
      </w:r>
      <w:r>
        <w:tab/>
      </w:r>
      <w:r w:rsidRPr="00A053E1">
        <w:t>письменный перевод имеющихся инструктивных документов на другие языки;</w:t>
      </w:r>
    </w:p>
    <w:p w14:paraId="1785FED4" w14:textId="77777777" w:rsidR="00190D20" w:rsidRPr="00A053E1" w:rsidRDefault="00190D20" w:rsidP="00190D20">
      <w:pPr>
        <w:ind w:left="1247" w:firstLine="624"/>
      </w:pPr>
      <w:r>
        <w:rPr>
          <w:lang w:val="en-GB"/>
        </w:rPr>
        <w:t>b</w:t>
      </w:r>
      <w:r w:rsidRPr="002267C4">
        <w:t>)</w:t>
      </w:r>
      <w:r w:rsidRPr="002267C4">
        <w:tab/>
      </w:r>
      <w:r w:rsidRPr="00A053E1">
        <w:t>мероприятия по распространению информации;</w:t>
      </w:r>
    </w:p>
    <w:p w14:paraId="0A8DCCCE" w14:textId="77777777" w:rsidR="00190D20" w:rsidRPr="00A053E1" w:rsidRDefault="00190D20" w:rsidP="00190D20">
      <w:pPr>
        <w:ind w:left="1247" w:firstLine="624"/>
      </w:pPr>
      <w:r w:rsidRPr="00A053E1">
        <w:t>и представить доклад о ходе работы Рабочей группе открытого состава на ее двенадцатом совещании;</w:t>
      </w:r>
    </w:p>
    <w:p w14:paraId="7CF6C0BE" w14:textId="77777777" w:rsidR="00190D20" w:rsidRPr="00A053E1" w:rsidRDefault="00190D20" w:rsidP="00190D20">
      <w:pPr>
        <w:ind w:left="1247" w:firstLine="624"/>
      </w:pPr>
      <w:r w:rsidRPr="002267C4">
        <w:t>10.</w:t>
      </w:r>
      <w:r w:rsidRPr="002267C4">
        <w:tab/>
      </w:r>
      <w:r w:rsidRPr="002267C4">
        <w:rPr>
          <w:i/>
          <w:iCs/>
        </w:rPr>
        <w:t>просит также</w:t>
      </w:r>
      <w:r w:rsidRPr="00A053E1">
        <w:t xml:space="preserve"> рабочую группу Партнерства, соответственно, координировать и согласовывать деятельность, связанную с другими организациями и инициативами, для обеспечения синергии и предотвращения дублирования работы; </w:t>
      </w:r>
    </w:p>
    <w:p w14:paraId="214D24EC" w14:textId="77777777" w:rsidR="00190D20" w:rsidRPr="00A053E1" w:rsidRDefault="00190D20" w:rsidP="00190D20">
      <w:pPr>
        <w:ind w:left="1247" w:firstLine="624"/>
      </w:pPr>
      <w:r w:rsidRPr="002267C4">
        <w:t>11.</w:t>
      </w:r>
      <w:r w:rsidRPr="002267C4">
        <w:tab/>
      </w:r>
      <w:r w:rsidRPr="002267C4">
        <w:rPr>
          <w:i/>
          <w:iCs/>
        </w:rPr>
        <w:t>поручает</w:t>
      </w:r>
      <w:r w:rsidRPr="00A053E1">
        <w:t xml:space="preserve"> секретариату, при условии наличия ресурсов, содействовать работе Партнерства и предоставлять ему экспертные услуги, в том числе осуществлять сбор и распространение информации о мерах, принимаемых Сторонами в целях совершенствования экологически обоснованного регулирования электронных и электротехнических отходов на национальном уровне;</w:t>
      </w:r>
    </w:p>
    <w:p w14:paraId="278E3ACB" w14:textId="77777777" w:rsidR="00190D20" w:rsidRPr="00A053E1" w:rsidRDefault="00190D20" w:rsidP="00190D20">
      <w:pPr>
        <w:ind w:left="1247" w:firstLine="624"/>
      </w:pPr>
      <w:r w:rsidRPr="002267C4">
        <w:t>12.</w:t>
      </w:r>
      <w:r w:rsidRPr="002267C4">
        <w:tab/>
      </w:r>
      <w:r w:rsidRPr="002267C4">
        <w:rPr>
          <w:i/>
          <w:iCs/>
        </w:rPr>
        <w:t>призывает</w:t>
      </w:r>
      <w:r w:rsidRPr="00A053E1">
        <w:t xml:space="preserve"> Стороны, сигнатариев Конвенции и членов промышленных и международных правительственных и неправительственных организаций принять активное участие в деятельности Партнерства и предоставить финансовые взносы или взносы в натуральной форме либо и те и другие, также с учетом финансовых процедур, указанных в техническом задании, в целях:</w:t>
      </w:r>
    </w:p>
    <w:p w14:paraId="1672350C" w14:textId="77777777" w:rsidR="00190D20" w:rsidRPr="00A053E1" w:rsidRDefault="00190D20" w:rsidP="00190D20">
      <w:pPr>
        <w:ind w:left="1247" w:firstLine="624"/>
      </w:pPr>
      <w:r>
        <w:rPr>
          <w:lang w:val="en-GB"/>
        </w:rPr>
        <w:t>a</w:t>
      </w:r>
      <w:r w:rsidRPr="002267C4">
        <w:t>)</w:t>
      </w:r>
      <w:r>
        <w:tab/>
      </w:r>
      <w:r w:rsidRPr="00A053E1">
        <w:t>содействия участию развивающихся стран и стран с переходной экономикой, а также региональных и координационных центров Базельской конвенции и региональных и субрегиональных центров Стокгольмской конвенции в деятельности Партнерства;</w:t>
      </w:r>
    </w:p>
    <w:p w14:paraId="3669C2C9" w14:textId="77777777" w:rsidR="00190D20" w:rsidRPr="00A053E1" w:rsidRDefault="00190D20" w:rsidP="00190D20">
      <w:pPr>
        <w:ind w:left="1247" w:firstLine="624"/>
      </w:pPr>
      <w:r>
        <w:rPr>
          <w:lang w:val="en-GB"/>
        </w:rPr>
        <w:lastRenderedPageBreak/>
        <w:t>b</w:t>
      </w:r>
      <w:r w:rsidRPr="002267C4">
        <w:t>)</w:t>
      </w:r>
      <w:r w:rsidRPr="002267C4">
        <w:tab/>
      </w:r>
      <w:r w:rsidRPr="00A053E1">
        <w:t>содействия разработке документов и осуществлению мероприятий;</w:t>
      </w:r>
    </w:p>
    <w:p w14:paraId="1262600E" w14:textId="77777777" w:rsidR="00190D20" w:rsidRPr="00A053E1" w:rsidRDefault="00190D20" w:rsidP="00190D20">
      <w:pPr>
        <w:ind w:left="1247" w:firstLine="624"/>
      </w:pPr>
      <w:r w:rsidRPr="002267C4">
        <w:t>13.</w:t>
      </w:r>
      <w:r w:rsidRPr="002267C4">
        <w:tab/>
      </w:r>
      <w:r w:rsidRPr="002267C4">
        <w:rPr>
          <w:i/>
          <w:iCs/>
        </w:rPr>
        <w:t>поручает</w:t>
      </w:r>
      <w:r w:rsidRPr="00A053E1">
        <w:t xml:space="preserve"> Рабочей группе открытого состава представить Конференции Сторон на ее пятнадцатом совещании доклад о ее решении, упомянутом в пункте 8 настоящего решения</w:t>
      </w:r>
      <w:r>
        <w:t>;</w:t>
      </w:r>
    </w:p>
    <w:p w14:paraId="630BB40D" w14:textId="77777777" w:rsidR="00190D20" w:rsidRPr="002267C4" w:rsidRDefault="00190D20" w:rsidP="00190D20">
      <w:pPr>
        <w:ind w:left="1247" w:right="567"/>
        <w:jc w:val="center"/>
        <w:rPr>
          <w:b/>
          <w:bCs/>
        </w:rPr>
      </w:pPr>
      <w:r w:rsidRPr="002267C4">
        <w:rPr>
          <w:b/>
          <w:bCs/>
        </w:rPr>
        <w:t>II</w:t>
      </w:r>
    </w:p>
    <w:p w14:paraId="5307550D" w14:textId="77777777" w:rsidR="00190D20" w:rsidRPr="002267C4" w:rsidRDefault="00190D20" w:rsidP="00190D20">
      <w:pPr>
        <w:ind w:left="1247" w:right="567"/>
        <w:jc w:val="center"/>
        <w:rPr>
          <w:b/>
          <w:bCs/>
        </w:rPr>
      </w:pPr>
      <w:r w:rsidRPr="002267C4">
        <w:rPr>
          <w:b/>
          <w:bCs/>
        </w:rPr>
        <w:t>Природоохранная сеть по оптимизации соблюдения нормативных положений о незаконном обороте</w:t>
      </w:r>
    </w:p>
    <w:p w14:paraId="5B56B700" w14:textId="77777777" w:rsidR="00190D20" w:rsidRPr="00A053E1" w:rsidRDefault="00190D20" w:rsidP="00190D20">
      <w:pPr>
        <w:ind w:left="1247" w:firstLine="624"/>
      </w:pPr>
      <w:r w:rsidRPr="00AC4FF4">
        <w:t>14.</w:t>
      </w:r>
      <w:r w:rsidRPr="00AC4FF4">
        <w:tab/>
      </w:r>
      <w:r w:rsidRPr="00AC4FF4">
        <w:rPr>
          <w:i/>
          <w:iCs/>
        </w:rPr>
        <w:t>принимает к сведению</w:t>
      </w:r>
      <w:r w:rsidRPr="00A053E1">
        <w:t xml:space="preserve"> доклад о ходе работы Природоохранной сети по оптимизации соблюдения нормативных положений о незаконном обороте</w:t>
      </w:r>
      <w:r w:rsidRPr="000C32B7">
        <w:rPr>
          <w:vertAlign w:val="superscript"/>
        </w:rPr>
        <w:footnoteReference w:id="3"/>
      </w:r>
      <w:r>
        <w:t xml:space="preserve"> </w:t>
      </w:r>
      <w:r w:rsidRPr="00A053E1">
        <w:t>и отмечает достигнутые Сетью после тринадцатого совещания Конференции Сторон успехи;</w:t>
      </w:r>
    </w:p>
    <w:p w14:paraId="28B76EB1" w14:textId="77777777" w:rsidR="00190D20" w:rsidRPr="00A053E1" w:rsidRDefault="00190D20" w:rsidP="00190D20">
      <w:pPr>
        <w:ind w:left="1247" w:firstLine="624"/>
      </w:pPr>
      <w:r w:rsidRPr="00AC4FF4">
        <w:t>15.</w:t>
      </w:r>
      <w:r w:rsidRPr="00AC4FF4">
        <w:tab/>
      </w:r>
      <w:r w:rsidRPr="00AC4FF4">
        <w:rPr>
          <w:i/>
          <w:iCs/>
        </w:rPr>
        <w:t>призывает</w:t>
      </w:r>
      <w:r w:rsidRPr="00A053E1">
        <w:t xml:space="preserve"> членов Сети продолжать сотрудничество посредством обмена опытом, предоставления соответствующей информации и ведения деятельности по созданию потенциала в целях предотвращения и пресечения незаконного оборота;</w:t>
      </w:r>
    </w:p>
    <w:p w14:paraId="201E412A" w14:textId="77777777" w:rsidR="00190D20" w:rsidRPr="00A053E1" w:rsidRDefault="00190D20" w:rsidP="00190D20">
      <w:pPr>
        <w:ind w:left="1247" w:firstLine="624"/>
      </w:pPr>
      <w:r w:rsidRPr="00F506CC">
        <w:t>16.</w:t>
      </w:r>
      <w:r w:rsidRPr="00F506CC">
        <w:tab/>
      </w:r>
      <w:r w:rsidRPr="00F506CC">
        <w:rPr>
          <w:i/>
          <w:iCs/>
        </w:rPr>
        <w:t>предлагает</w:t>
      </w:r>
      <w:r w:rsidRPr="00A053E1">
        <w:t xml:space="preserve"> Международной организации уголовной полиции, Всемирной таможенной организации и Управлению Организации Объединенных Наций по наркотикам и преступности рассмотреть возможность присоединения к Сети в качестве членов и предлагает другим структурам, имеющим конкретный мандат на ведение деятельности по наращиванию потенциала в области осуществления и обеспечения соблюдения, которые могут оказывать поддержку Сторонам Базельской конвенции в деле предотвращения и пресечения незаконного оборота опасных отходов и других отходов, рассмотреть вопрос о направлении Председателю Сети должным образом мотивированной просьбы относительно их приема в качестве членов Сети;</w:t>
      </w:r>
    </w:p>
    <w:p w14:paraId="43B698F6" w14:textId="77777777" w:rsidR="00190D20" w:rsidRPr="00A053E1" w:rsidRDefault="00190D20" w:rsidP="00190D20">
      <w:pPr>
        <w:ind w:left="1247" w:firstLine="624"/>
      </w:pPr>
      <w:r w:rsidRPr="00BD3FF7">
        <w:t>17.</w:t>
      </w:r>
      <w:r w:rsidRPr="00BD3FF7">
        <w:tab/>
      </w:r>
      <w:r w:rsidRPr="00BD3FF7">
        <w:rPr>
          <w:i/>
          <w:iCs/>
        </w:rPr>
        <w:t>избирает</w:t>
      </w:r>
      <w:r w:rsidRPr="00A053E1">
        <w:t xml:space="preserve"> следующих представителей пяти Сторон Базельской конвенции членами Сети на период до пятнадцатого совещания Конференции Сторон:</w:t>
      </w:r>
    </w:p>
    <w:p w14:paraId="4F16F1C1" w14:textId="77777777" w:rsidR="00190D20" w:rsidRPr="00A053E1" w:rsidRDefault="00190D20" w:rsidP="00190D20">
      <w:pPr>
        <w:ind w:left="1247" w:firstLine="624"/>
      </w:pPr>
      <w:r w:rsidRPr="00BD3FF7">
        <w:rPr>
          <w:b/>
          <w:bCs/>
        </w:rPr>
        <w:t>Государства Африки:</w:t>
      </w:r>
      <w:r w:rsidRPr="00A053E1">
        <w:t xml:space="preserve"> г-</w:t>
      </w:r>
      <w:r>
        <w:t>жа Марианн</w:t>
      </w:r>
      <w:r w:rsidRPr="00A053E1">
        <w:t xml:space="preserve"> Пульшери </w:t>
      </w:r>
      <w:r>
        <w:t xml:space="preserve">Сессито Дономассу </w:t>
      </w:r>
      <w:r w:rsidRPr="00A053E1">
        <w:t>Симеон (Бенин)</w:t>
      </w:r>
      <w:r w:rsidRPr="00BC677D">
        <w:t xml:space="preserve"> </w:t>
      </w:r>
    </w:p>
    <w:p w14:paraId="3E455187" w14:textId="77777777" w:rsidR="00190D20" w:rsidRPr="00A053E1" w:rsidRDefault="00190D20" w:rsidP="00190D20">
      <w:pPr>
        <w:ind w:left="1247" w:firstLine="624"/>
      </w:pPr>
      <w:r w:rsidRPr="00BD3FF7">
        <w:rPr>
          <w:b/>
          <w:bCs/>
        </w:rPr>
        <w:t>Государства Азии и Тихого океана:</w:t>
      </w:r>
      <w:r w:rsidRPr="00A053E1">
        <w:t xml:space="preserve"> г-н Мазхар Хайят (Пакистан)</w:t>
      </w:r>
    </w:p>
    <w:p w14:paraId="04558EC6" w14:textId="77777777" w:rsidR="00190D20" w:rsidRPr="00A053E1" w:rsidRDefault="00190D20" w:rsidP="00190D20">
      <w:pPr>
        <w:ind w:left="1247" w:firstLine="624"/>
      </w:pPr>
      <w:r w:rsidRPr="00BD3FF7">
        <w:rPr>
          <w:b/>
          <w:bCs/>
        </w:rPr>
        <w:t>Государства Центральной и Восточной Европы:</w:t>
      </w:r>
      <w:r w:rsidRPr="00A053E1">
        <w:t xml:space="preserve"> г-н Флорин-Константин Гомореан (Румыния)</w:t>
      </w:r>
    </w:p>
    <w:p w14:paraId="6152F687" w14:textId="77777777" w:rsidR="00190D20" w:rsidRPr="00A053E1" w:rsidRDefault="00190D20" w:rsidP="00190D20">
      <w:pPr>
        <w:ind w:left="1247" w:firstLine="624"/>
      </w:pPr>
      <w:r w:rsidRPr="00BD3FF7">
        <w:rPr>
          <w:b/>
          <w:bCs/>
        </w:rPr>
        <w:t>Государства Латинской Америки и Карибского бассейна:</w:t>
      </w:r>
      <w:r w:rsidRPr="00A053E1">
        <w:t xml:space="preserve"> г-жа Лейла Девиа (Аргентина)</w:t>
      </w:r>
    </w:p>
    <w:p w14:paraId="46C88683" w14:textId="77777777" w:rsidR="00190D20" w:rsidRPr="00A053E1" w:rsidRDefault="00190D20" w:rsidP="00190D20">
      <w:pPr>
        <w:ind w:left="1247" w:firstLine="624"/>
      </w:pPr>
      <w:r w:rsidRPr="00BD3FF7">
        <w:rPr>
          <w:b/>
          <w:bCs/>
        </w:rPr>
        <w:t>Государства Западной Европы и другие государства:</w:t>
      </w:r>
      <w:r w:rsidRPr="00A053E1">
        <w:t xml:space="preserve"> г-жа Кейти Олли (Соединенное Королевство Великобритании и Северной Ирландии)</w:t>
      </w:r>
      <w:r>
        <w:t>;</w:t>
      </w:r>
    </w:p>
    <w:p w14:paraId="15DD37E5" w14:textId="77777777" w:rsidR="00190D20" w:rsidRPr="00A053E1" w:rsidRDefault="00190D20" w:rsidP="00190D20">
      <w:pPr>
        <w:ind w:left="1247" w:firstLine="624"/>
      </w:pPr>
      <w:r w:rsidRPr="00BD3FF7">
        <w:t>18.</w:t>
      </w:r>
      <w:r w:rsidRPr="00BD3FF7">
        <w:tab/>
      </w:r>
      <w:r w:rsidRPr="00BD3FF7">
        <w:rPr>
          <w:i/>
          <w:iCs/>
        </w:rPr>
        <w:t>назначает</w:t>
      </w:r>
      <w:r w:rsidRPr="00A053E1">
        <w:t xml:space="preserve"> следующих четырех представителей региональных и координационных центров Базельской конвенции членами Сети на период до пятнадцатого совещания Конференции Сторон:</w:t>
      </w:r>
    </w:p>
    <w:p w14:paraId="62B5F9AC" w14:textId="77777777" w:rsidR="00190D20" w:rsidRPr="00A053E1" w:rsidRDefault="00190D20" w:rsidP="00190D20">
      <w:pPr>
        <w:ind w:left="1247" w:firstLine="624"/>
      </w:pPr>
      <w:r w:rsidRPr="00BD3FF7">
        <w:rPr>
          <w:b/>
          <w:bCs/>
        </w:rPr>
        <w:t>Африканский регион:</w:t>
      </w:r>
      <w:r w:rsidRPr="00A053E1">
        <w:t xml:space="preserve"> Региональный центр Базельской конвенции для англоговорящих стран Африки, Южная Африка</w:t>
      </w:r>
    </w:p>
    <w:p w14:paraId="7A381F23" w14:textId="77777777" w:rsidR="00190D20" w:rsidRPr="00A053E1" w:rsidRDefault="00190D20" w:rsidP="00190D20">
      <w:pPr>
        <w:ind w:left="1247" w:firstLine="624"/>
      </w:pPr>
      <w:r w:rsidRPr="00BD3FF7">
        <w:rPr>
          <w:b/>
          <w:bCs/>
        </w:rPr>
        <w:t>Азиатско-Тихоокеанский регион:</w:t>
      </w:r>
      <w:r w:rsidRPr="00A053E1">
        <w:t xml:space="preserve"> Региональный центр Базельской конвенции для Юго-Восточной Азии, Индонезия</w:t>
      </w:r>
    </w:p>
    <w:p w14:paraId="560F71E2" w14:textId="77777777" w:rsidR="00190D20" w:rsidRPr="00A053E1" w:rsidRDefault="00190D20" w:rsidP="00190D20">
      <w:pPr>
        <w:ind w:left="1247" w:firstLine="624"/>
      </w:pPr>
      <w:r w:rsidRPr="00BD3FF7">
        <w:rPr>
          <w:b/>
          <w:bCs/>
        </w:rPr>
        <w:t>Регион Центральной и Восточной Европы:</w:t>
      </w:r>
      <w:r w:rsidRPr="00A053E1">
        <w:t xml:space="preserve"> Региональный центр Базельской конвенции для Центральной Европы, Словакия</w:t>
      </w:r>
    </w:p>
    <w:p w14:paraId="2990C1CC" w14:textId="77777777" w:rsidR="00190D20" w:rsidRPr="00A053E1" w:rsidRDefault="00190D20" w:rsidP="00190D20">
      <w:pPr>
        <w:ind w:left="1247" w:firstLine="624"/>
      </w:pPr>
      <w:r w:rsidRPr="00BD3FF7">
        <w:rPr>
          <w:b/>
          <w:bCs/>
        </w:rPr>
        <w:t>Регион Латинской Америки и Карибского бассейна:</w:t>
      </w:r>
      <w:r w:rsidRPr="00A053E1">
        <w:t xml:space="preserve"> Региональный центр Базельской конвенции для Карибского бассейна, Тринидад и Тобаго</w:t>
      </w:r>
      <w:r>
        <w:t>;</w:t>
      </w:r>
    </w:p>
    <w:p w14:paraId="316768A8" w14:textId="77777777" w:rsidR="00190D20" w:rsidRPr="00A053E1" w:rsidRDefault="00190D20" w:rsidP="00190D20">
      <w:pPr>
        <w:ind w:left="1247" w:firstLine="624"/>
      </w:pPr>
      <w:r w:rsidRPr="002E42F6">
        <w:t>19.</w:t>
      </w:r>
      <w:r w:rsidRPr="002E42F6">
        <w:tab/>
      </w:r>
      <w:r w:rsidRPr="002E42F6">
        <w:rPr>
          <w:i/>
          <w:iCs/>
        </w:rPr>
        <w:t>поручает</w:t>
      </w:r>
      <w:r w:rsidRPr="00A053E1">
        <w:t xml:space="preserve"> секретариату при условии наличия ресурсов продолжать содействовать работе Сети и предоставлять ей экспертную поддержку, а также организовывать ежегодные </w:t>
      </w:r>
      <w:r w:rsidRPr="00A053E1">
        <w:lastRenderedPageBreak/>
        <w:t>совещания Сети и представить Конференции Сторон на ее пятнадцатом совещании доклад о деятельности Сети;</w:t>
      </w:r>
    </w:p>
    <w:p w14:paraId="6726BBB0" w14:textId="77777777" w:rsidR="00190D20" w:rsidRPr="002E42F6" w:rsidRDefault="00190D20" w:rsidP="00190D20">
      <w:pPr>
        <w:ind w:left="1247"/>
        <w:jc w:val="center"/>
        <w:rPr>
          <w:b/>
          <w:bCs/>
        </w:rPr>
      </w:pPr>
      <w:r w:rsidRPr="002E42F6">
        <w:rPr>
          <w:b/>
          <w:bCs/>
        </w:rPr>
        <w:t>III</w:t>
      </w:r>
    </w:p>
    <w:p w14:paraId="53FB33CA" w14:textId="77777777" w:rsidR="00190D20" w:rsidRPr="002E42F6" w:rsidRDefault="00190D20" w:rsidP="00190D20">
      <w:pPr>
        <w:ind w:left="1247"/>
        <w:jc w:val="center"/>
        <w:rPr>
          <w:b/>
          <w:bCs/>
        </w:rPr>
      </w:pPr>
      <w:r w:rsidRPr="002E42F6">
        <w:rPr>
          <w:b/>
          <w:bCs/>
        </w:rPr>
        <w:t>Партнерство по бытовым отходам</w:t>
      </w:r>
    </w:p>
    <w:p w14:paraId="66FEB8F4" w14:textId="77777777" w:rsidR="00190D20" w:rsidRPr="00A053E1" w:rsidRDefault="00190D20" w:rsidP="00190D20">
      <w:pPr>
        <w:ind w:left="1247" w:firstLine="624"/>
      </w:pPr>
      <w:r w:rsidRPr="002E42F6">
        <w:t>20.</w:t>
      </w:r>
      <w:r w:rsidRPr="002E42F6">
        <w:tab/>
      </w:r>
      <w:r w:rsidRPr="000737BB">
        <w:rPr>
          <w:i/>
          <w:iCs/>
        </w:rPr>
        <w:t>принимает к сведению</w:t>
      </w:r>
      <w:r w:rsidRPr="00A053E1">
        <w:t xml:space="preserve"> проект общего инструктивного документа по экологически обоснованному регулированию бытовых отходов, разработанный рабочей группой Партнерства по бытовым отходам</w:t>
      </w:r>
      <w:r w:rsidRPr="000737BB">
        <w:rPr>
          <w:vertAlign w:val="superscript"/>
        </w:rPr>
        <w:footnoteReference w:id="4"/>
      </w:r>
      <w:r w:rsidRPr="00A053E1">
        <w:t>;</w:t>
      </w:r>
    </w:p>
    <w:p w14:paraId="550A4A0C" w14:textId="77777777" w:rsidR="00190D20" w:rsidRPr="00A053E1" w:rsidRDefault="00190D20" w:rsidP="00190D20">
      <w:pPr>
        <w:ind w:left="1247" w:firstLine="624"/>
      </w:pPr>
      <w:r w:rsidRPr="000737BB">
        <w:t>21.</w:t>
      </w:r>
      <w:r w:rsidRPr="000737BB">
        <w:tab/>
      </w:r>
      <w:r w:rsidRPr="000737BB">
        <w:rPr>
          <w:i/>
          <w:iCs/>
        </w:rPr>
        <w:t>просит</w:t>
      </w:r>
      <w:r w:rsidRPr="00A053E1">
        <w:t xml:space="preserve"> рабочую группу подготовить до 31 октября 2019 года полный проект общего инструктивного документа с учетом обсуждений, состоявшихся на четырнадцатом совещании Конференции Сторон, и полученных по настоящее время замечаний, а также с учетом имеющихся в рамках Базельской конвенции инструктивных документов, в частности по экологически обоснованному регулированию;</w:t>
      </w:r>
    </w:p>
    <w:p w14:paraId="06C78D4C" w14:textId="77777777" w:rsidR="00190D20" w:rsidRPr="00A053E1" w:rsidRDefault="00190D20" w:rsidP="00190D20">
      <w:pPr>
        <w:ind w:left="1247" w:firstLine="624"/>
      </w:pPr>
      <w:r w:rsidRPr="000737BB">
        <w:t>22.</w:t>
      </w:r>
      <w:r w:rsidRPr="000737BB">
        <w:tab/>
      </w:r>
      <w:r w:rsidRPr="000737BB">
        <w:rPr>
          <w:i/>
          <w:iCs/>
        </w:rPr>
        <w:t>предлагает</w:t>
      </w:r>
      <w:r w:rsidRPr="00A053E1">
        <w:t xml:space="preserve"> Сторонам и другим субъектам представить замечания по этому документу в секретариат до 31 декабря 2019 года;</w:t>
      </w:r>
    </w:p>
    <w:p w14:paraId="30845568" w14:textId="77777777" w:rsidR="00190D20" w:rsidRPr="00A053E1" w:rsidRDefault="00190D20" w:rsidP="00190D20">
      <w:pPr>
        <w:ind w:left="1247" w:firstLine="624"/>
      </w:pPr>
      <w:r w:rsidRPr="000737BB">
        <w:t>23.</w:t>
      </w:r>
      <w:r w:rsidRPr="000737BB">
        <w:tab/>
      </w:r>
      <w:r w:rsidRPr="000737BB">
        <w:rPr>
          <w:i/>
          <w:iCs/>
        </w:rPr>
        <w:t>просит</w:t>
      </w:r>
      <w:r w:rsidRPr="00A053E1">
        <w:t xml:space="preserve"> рабочую группу подготовить пересмотренный проект общего инструктивного документа с учетом замечаний, полученных в соответствии с пунктом 22 настоящего решения, для рассмотрения на двенадцатом совещании Рабочей группы открытого состава в качестве информационного документа;</w:t>
      </w:r>
    </w:p>
    <w:p w14:paraId="5FCD447B" w14:textId="77777777" w:rsidR="00190D20" w:rsidRPr="00A053E1" w:rsidRDefault="00190D20" w:rsidP="00190D20">
      <w:pPr>
        <w:ind w:left="1247" w:firstLine="624"/>
      </w:pPr>
      <w:r w:rsidRPr="000737BB">
        <w:t>24.</w:t>
      </w:r>
      <w:r w:rsidRPr="000737BB">
        <w:tab/>
      </w:r>
      <w:r w:rsidRPr="000737BB">
        <w:rPr>
          <w:i/>
          <w:iCs/>
        </w:rPr>
        <w:t>также просит</w:t>
      </w:r>
      <w:r w:rsidRPr="00A053E1">
        <w:t xml:space="preserve"> рабочую группу: </w:t>
      </w:r>
    </w:p>
    <w:p w14:paraId="60C90A62" w14:textId="77777777" w:rsidR="00190D20" w:rsidRPr="00A053E1" w:rsidRDefault="00190D20" w:rsidP="00190D20">
      <w:pPr>
        <w:ind w:left="1247" w:firstLine="624"/>
      </w:pPr>
      <w:r>
        <w:rPr>
          <w:lang w:val="en-GB"/>
        </w:rPr>
        <w:t>a</w:t>
      </w:r>
      <w:r w:rsidRPr="000737BB">
        <w:t>)</w:t>
      </w:r>
      <w:r>
        <w:tab/>
      </w:r>
      <w:r w:rsidRPr="00A053E1">
        <w:t>выполнить план работы, изложенный в приложении к настоящему решению;</w:t>
      </w:r>
    </w:p>
    <w:p w14:paraId="1BA03A6E" w14:textId="77777777" w:rsidR="00190D20" w:rsidRPr="00A053E1" w:rsidRDefault="00190D20" w:rsidP="00190D20">
      <w:pPr>
        <w:ind w:left="1247" w:firstLine="624"/>
      </w:pPr>
      <w:r>
        <w:rPr>
          <w:lang w:val="en-GB"/>
        </w:rPr>
        <w:t>b</w:t>
      </w:r>
      <w:r w:rsidRPr="000737BB">
        <w:t>)</w:t>
      </w:r>
      <w:r>
        <w:tab/>
      </w:r>
      <w:r w:rsidRPr="00A053E1">
        <w:t>действовать в тесной координации с новым Партнерством по пластиковым отходам, учрежденным согласно решению БК-14/13, в целях предотвращения дублирования их соответствующих программ работы и для обмена приобретенным опытом;</w:t>
      </w:r>
    </w:p>
    <w:p w14:paraId="6CEE45DB" w14:textId="77777777" w:rsidR="00190D20" w:rsidRPr="00A053E1" w:rsidRDefault="00190D20" w:rsidP="00190D20">
      <w:pPr>
        <w:ind w:left="1247" w:firstLine="624"/>
      </w:pPr>
      <w:r w:rsidRPr="003A403A">
        <w:t>25.</w:t>
      </w:r>
      <w:r>
        <w:tab/>
      </w:r>
      <w:r w:rsidRPr="003A403A">
        <w:rPr>
          <w:i/>
          <w:iCs/>
        </w:rPr>
        <w:t>постановляет</w:t>
      </w:r>
      <w:r w:rsidRPr="00A053E1">
        <w:t xml:space="preserve">, что Партнерство по бытовым отходам будет функционировать с помощью электронных средств связи и проводить очные совещания при условии наличия ресурсов; </w:t>
      </w:r>
    </w:p>
    <w:p w14:paraId="0BFACFBC" w14:textId="77777777" w:rsidR="00190D20" w:rsidRPr="00A053E1" w:rsidRDefault="00190D20" w:rsidP="00190D20">
      <w:pPr>
        <w:ind w:left="1247" w:firstLine="624"/>
      </w:pPr>
      <w:r w:rsidRPr="003A403A">
        <w:t>26.</w:t>
      </w:r>
      <w:r w:rsidRPr="003A403A">
        <w:tab/>
      </w:r>
      <w:r w:rsidRPr="003A403A">
        <w:rPr>
          <w:i/>
          <w:iCs/>
        </w:rPr>
        <w:t>поручает</w:t>
      </w:r>
      <w:r w:rsidRPr="00A053E1">
        <w:t xml:space="preserve"> секретариату:</w:t>
      </w:r>
    </w:p>
    <w:p w14:paraId="30000570" w14:textId="77777777" w:rsidR="00190D20" w:rsidRPr="00A053E1" w:rsidRDefault="00190D20" w:rsidP="00190D20">
      <w:pPr>
        <w:ind w:left="1247" w:firstLine="624"/>
      </w:pPr>
      <w:r>
        <w:rPr>
          <w:lang w:val="en-GB"/>
        </w:rPr>
        <w:t>a</w:t>
      </w:r>
      <w:r w:rsidRPr="003A403A">
        <w:t>)</w:t>
      </w:r>
      <w:r>
        <w:tab/>
      </w:r>
      <w:r w:rsidRPr="00A053E1">
        <w:t xml:space="preserve">разместить замечания, полученные в соответствии с пунктом 22 настоящего решения, на веб-сайте Конвенции и представить их рабочей группе; </w:t>
      </w:r>
    </w:p>
    <w:p w14:paraId="0BDD5EA0" w14:textId="77777777" w:rsidR="00190D20" w:rsidRPr="00A053E1" w:rsidRDefault="00190D20" w:rsidP="00190D20">
      <w:pPr>
        <w:ind w:left="1247" w:firstLine="624"/>
      </w:pPr>
      <w:r>
        <w:rPr>
          <w:lang w:val="en-GB"/>
        </w:rPr>
        <w:t>b</w:t>
      </w:r>
      <w:r w:rsidRPr="003A403A">
        <w:t>)</w:t>
      </w:r>
      <w:r>
        <w:tab/>
      </w:r>
      <w:r w:rsidRPr="00A053E1">
        <w:t xml:space="preserve">продолжать оказывать содействие рабочей группе и предоставлять ей экспертную поддержку, а также организовывать совещания рабочей группы при условии наличия ресурсов; </w:t>
      </w:r>
    </w:p>
    <w:p w14:paraId="4683D7CC" w14:textId="77777777" w:rsidR="00190D20" w:rsidRPr="00A053E1" w:rsidRDefault="00190D20" w:rsidP="00190D20">
      <w:pPr>
        <w:spacing w:after="240"/>
        <w:ind w:left="1247" w:firstLine="624"/>
      </w:pPr>
      <w:r>
        <w:rPr>
          <w:lang w:val="en-GB"/>
        </w:rPr>
        <w:t>c</w:t>
      </w:r>
      <w:r w:rsidRPr="003A403A">
        <w:t>)</w:t>
      </w:r>
      <w:r>
        <w:tab/>
      </w:r>
      <w:r w:rsidRPr="00A053E1">
        <w:t>представить доклад о ходе осуществления настоящего решения Рабочей группе открытого состава на ее двенадцатом совещании и Конференции Сторон на ее пятнадцатом совещании.</w:t>
      </w:r>
    </w:p>
    <w:p w14:paraId="4AFA8560" w14:textId="77777777" w:rsidR="00190D20" w:rsidRPr="003A403A" w:rsidRDefault="00190D20" w:rsidP="00190D20">
      <w:pPr>
        <w:ind w:left="1247"/>
        <w:rPr>
          <w:b/>
          <w:bCs/>
          <w:sz w:val="24"/>
          <w:szCs w:val="24"/>
        </w:rPr>
      </w:pPr>
      <w:r w:rsidRPr="003A403A">
        <w:rPr>
          <w:b/>
          <w:bCs/>
          <w:sz w:val="24"/>
          <w:szCs w:val="24"/>
        </w:rPr>
        <w:t>Приложение к решению БК-14/19</w:t>
      </w:r>
    </w:p>
    <w:p w14:paraId="07DB8CAB" w14:textId="77777777" w:rsidR="00190D20" w:rsidRPr="003A403A" w:rsidRDefault="00190D20" w:rsidP="00190D20">
      <w:pPr>
        <w:ind w:left="1247"/>
        <w:rPr>
          <w:b/>
          <w:bCs/>
          <w:sz w:val="24"/>
          <w:szCs w:val="24"/>
        </w:rPr>
      </w:pPr>
      <w:r w:rsidRPr="003A403A">
        <w:rPr>
          <w:b/>
          <w:bCs/>
          <w:sz w:val="24"/>
          <w:szCs w:val="24"/>
        </w:rPr>
        <w:tab/>
        <w:t>План работы Партнерства по бытовым отходам на двухгодичный период 2020-2021 годов</w:t>
      </w:r>
    </w:p>
    <w:p w14:paraId="0CB038F7" w14:textId="77777777" w:rsidR="00190D20" w:rsidRPr="00A053E1" w:rsidRDefault="00190D20" w:rsidP="00190D20">
      <w:pPr>
        <w:ind w:left="1247" w:firstLine="624"/>
      </w:pPr>
      <w:r w:rsidRPr="00A053E1">
        <w:t xml:space="preserve">Рабочей группой Партнерства по бытовым отходам и любыми учрежденными в его рамках проектными группами выполняются следующие задачи: </w:t>
      </w:r>
    </w:p>
    <w:p w14:paraId="5F862216" w14:textId="77777777" w:rsidR="00190D20" w:rsidRPr="00A053E1" w:rsidRDefault="00190D20" w:rsidP="00190D20">
      <w:pPr>
        <w:ind w:left="1247" w:firstLine="624"/>
      </w:pPr>
      <w:r>
        <w:rPr>
          <w:lang w:val="en-GB"/>
        </w:rPr>
        <w:t>a</w:t>
      </w:r>
      <w:r w:rsidRPr="002D7FE6">
        <w:t>)</w:t>
      </w:r>
      <w:r>
        <w:tab/>
      </w:r>
      <w:r w:rsidRPr="00A053E1">
        <w:t>дальнейшая разработка общего инструктивного документа по вопросам экологически обоснованного регулирования бытовых отходов;</w:t>
      </w:r>
    </w:p>
    <w:p w14:paraId="37D69556" w14:textId="77777777" w:rsidR="00190D20" w:rsidRPr="00A053E1" w:rsidRDefault="00190D20" w:rsidP="00190D20">
      <w:pPr>
        <w:ind w:left="1247" w:firstLine="624"/>
      </w:pPr>
      <w:r>
        <w:rPr>
          <w:lang w:val="en-GB"/>
        </w:rPr>
        <w:lastRenderedPageBreak/>
        <w:t>b</w:t>
      </w:r>
      <w:r w:rsidRPr="002D7FE6">
        <w:t>)</w:t>
      </w:r>
      <w:r>
        <w:tab/>
      </w:r>
      <w:r w:rsidRPr="00A053E1">
        <w:t>сбор тематических исследований из различных регионов, имеющих отношение к темам, освещаемым в инструктивном документе;</w:t>
      </w:r>
    </w:p>
    <w:p w14:paraId="3E2BDAEF" w14:textId="77777777" w:rsidR="00190D20" w:rsidRPr="00A053E1" w:rsidRDefault="00190D20" w:rsidP="00190D20">
      <w:pPr>
        <w:ind w:left="1247" w:firstLine="624"/>
      </w:pPr>
      <w:r>
        <w:rPr>
          <w:lang w:val="en-GB"/>
        </w:rPr>
        <w:t>c</w:t>
      </w:r>
      <w:r w:rsidRPr="002D7FE6">
        <w:t>)</w:t>
      </w:r>
      <w:r>
        <w:tab/>
      </w:r>
      <w:r w:rsidRPr="00A053E1">
        <w:t>активизация мероприятий по повышению осведомленности и подготовке кадров в области экологически обоснованного регулирования бытовых отходов и расширение участия населения в деятельности по регулированию бытовых отходов и принятии решений;</w:t>
      </w:r>
    </w:p>
    <w:p w14:paraId="517D64E5" w14:textId="717AB630" w:rsidR="00F935A6" w:rsidRPr="00190D20" w:rsidRDefault="00190D20" w:rsidP="00190D20">
      <w:pPr>
        <w:ind w:left="1247" w:firstLine="624"/>
      </w:pPr>
      <w:r>
        <w:rPr>
          <w:lang w:val="en-GB"/>
        </w:rPr>
        <w:t>d</w:t>
      </w:r>
      <w:r w:rsidRPr="002D7FE6">
        <w:t>)</w:t>
      </w:r>
      <w:r>
        <w:tab/>
      </w:r>
      <w:r w:rsidRPr="00A053E1">
        <w:t>координация информационно-пропагандистской деятельности и сотрудничества с другими организациями, занимающимися вопросами регулирования бытовых отходов, включая Партнерство по пластиковым отходам.</w:t>
      </w:r>
      <w:bookmarkStart w:id="1" w:name="_GoBack"/>
      <w:bookmarkEnd w:id="1"/>
    </w:p>
    <w:sectPr w:rsidR="00F935A6" w:rsidRPr="00190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4CA3CB" w14:textId="77777777" w:rsidR="009056FA" w:rsidRDefault="009056FA" w:rsidP="001E10F9">
      <w:pPr>
        <w:spacing w:after="0"/>
      </w:pPr>
      <w:r>
        <w:separator/>
      </w:r>
    </w:p>
  </w:endnote>
  <w:endnote w:type="continuationSeparator" w:id="0">
    <w:p w14:paraId="5F93E40F" w14:textId="77777777" w:rsidR="009056FA" w:rsidRDefault="009056FA" w:rsidP="001E10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BFBD8" w14:textId="77777777" w:rsidR="009056FA" w:rsidRDefault="009056FA" w:rsidP="001E10F9">
      <w:pPr>
        <w:spacing w:after="0"/>
      </w:pPr>
      <w:r>
        <w:separator/>
      </w:r>
    </w:p>
  </w:footnote>
  <w:footnote w:type="continuationSeparator" w:id="0">
    <w:p w14:paraId="4641492C" w14:textId="77777777" w:rsidR="009056FA" w:rsidRDefault="009056FA" w:rsidP="001E10F9">
      <w:pPr>
        <w:spacing w:after="0"/>
      </w:pPr>
      <w:r>
        <w:continuationSeparator/>
      </w:r>
    </w:p>
  </w:footnote>
  <w:footnote w:id="1">
    <w:p w14:paraId="4F52D17E" w14:textId="77777777" w:rsidR="00190D20" w:rsidRPr="00585AEF" w:rsidRDefault="00190D20" w:rsidP="00190D20">
      <w:pPr>
        <w:pStyle w:val="FootnoteText"/>
        <w:spacing w:before="20" w:after="40"/>
        <w:ind w:left="1247"/>
        <w:rPr>
          <w:sz w:val="18"/>
          <w:szCs w:val="18"/>
        </w:rPr>
      </w:pPr>
      <w:r w:rsidRPr="00585AEF">
        <w:rPr>
          <w:rStyle w:val="FootnoteReference"/>
          <w:sz w:val="18"/>
          <w:szCs w:val="18"/>
        </w:rPr>
        <w:footnoteRef/>
      </w:r>
      <w:r w:rsidRPr="00585AEF">
        <w:rPr>
          <w:sz w:val="18"/>
          <w:szCs w:val="18"/>
        </w:rPr>
        <w:t xml:space="preserve"> </w:t>
      </w:r>
      <w:r w:rsidRPr="00585AEF">
        <w:rPr>
          <w:sz w:val="18"/>
          <w:szCs w:val="18"/>
        </w:rPr>
        <w:tab/>
      </w:r>
      <w:r>
        <w:rPr>
          <w:sz w:val="18"/>
          <w:szCs w:val="18"/>
        </w:rPr>
        <w:t xml:space="preserve">Принята </w:t>
      </w:r>
      <w:r w:rsidRPr="00585AEF">
        <w:rPr>
          <w:sz w:val="18"/>
          <w:szCs w:val="18"/>
        </w:rPr>
        <w:t>решение</w:t>
      </w:r>
      <w:r>
        <w:rPr>
          <w:sz w:val="18"/>
          <w:szCs w:val="18"/>
        </w:rPr>
        <w:t>м</w:t>
      </w:r>
      <w:r w:rsidRPr="00585AEF">
        <w:rPr>
          <w:sz w:val="18"/>
          <w:szCs w:val="18"/>
        </w:rPr>
        <w:t xml:space="preserve"> V/1</w:t>
      </w:r>
      <w:r>
        <w:rPr>
          <w:sz w:val="18"/>
          <w:szCs w:val="18"/>
        </w:rPr>
        <w:t xml:space="preserve"> и</w:t>
      </w:r>
      <w:r w:rsidRPr="00585AEF">
        <w:rPr>
          <w:sz w:val="18"/>
          <w:szCs w:val="18"/>
        </w:rPr>
        <w:t xml:space="preserve"> </w:t>
      </w:r>
      <w:r>
        <w:rPr>
          <w:sz w:val="18"/>
          <w:szCs w:val="18"/>
        </w:rPr>
        <w:t>изложена</w:t>
      </w:r>
      <w:r w:rsidRPr="00585AEF">
        <w:rPr>
          <w:sz w:val="18"/>
          <w:szCs w:val="18"/>
        </w:rPr>
        <w:t xml:space="preserve"> в документе UNEP/CHW.5/29, приложение II.</w:t>
      </w:r>
    </w:p>
  </w:footnote>
  <w:footnote w:id="2">
    <w:p w14:paraId="373BBB58" w14:textId="77777777" w:rsidR="00190D20" w:rsidRPr="00325A98" w:rsidRDefault="00190D20" w:rsidP="00190D20">
      <w:pPr>
        <w:pStyle w:val="FootnoteText"/>
        <w:spacing w:before="20" w:after="40"/>
        <w:ind w:left="1247"/>
        <w:rPr>
          <w:szCs w:val="18"/>
        </w:rPr>
      </w:pPr>
      <w:r w:rsidRPr="00585AEF">
        <w:rPr>
          <w:rStyle w:val="FootnoteReference"/>
          <w:sz w:val="18"/>
          <w:szCs w:val="18"/>
        </w:rPr>
        <w:footnoteRef/>
      </w:r>
      <w:r w:rsidRPr="00585AEF">
        <w:rPr>
          <w:sz w:val="18"/>
          <w:szCs w:val="18"/>
        </w:rPr>
        <w:t xml:space="preserve"> </w:t>
      </w:r>
      <w:r w:rsidRPr="00585AEF">
        <w:rPr>
          <w:sz w:val="18"/>
          <w:szCs w:val="18"/>
        </w:rPr>
        <w:tab/>
      </w:r>
      <w:r>
        <w:rPr>
          <w:sz w:val="18"/>
          <w:szCs w:val="18"/>
        </w:rPr>
        <w:t>Изложена</w:t>
      </w:r>
      <w:r w:rsidRPr="00585AEF">
        <w:rPr>
          <w:sz w:val="18"/>
          <w:szCs w:val="18"/>
        </w:rPr>
        <w:t xml:space="preserve"> </w:t>
      </w:r>
      <w:r w:rsidRPr="00585AEF">
        <w:rPr>
          <w:sz w:val="18"/>
          <w:szCs w:val="18"/>
        </w:rPr>
        <w:t>в документе UNEP/CHW.8/16, приложение IV.</w:t>
      </w:r>
    </w:p>
  </w:footnote>
  <w:footnote w:id="3">
    <w:p w14:paraId="098F0061" w14:textId="77777777" w:rsidR="00190D20" w:rsidRPr="00585AEF" w:rsidRDefault="00190D20" w:rsidP="00190D20">
      <w:pPr>
        <w:pStyle w:val="FootnoteText"/>
        <w:spacing w:before="20" w:after="40"/>
        <w:ind w:left="1247"/>
        <w:rPr>
          <w:sz w:val="18"/>
          <w:szCs w:val="18"/>
        </w:rPr>
      </w:pPr>
      <w:r w:rsidRPr="00585AEF">
        <w:rPr>
          <w:rStyle w:val="FootnoteReference"/>
          <w:sz w:val="18"/>
          <w:szCs w:val="18"/>
        </w:rPr>
        <w:footnoteRef/>
      </w:r>
      <w:r w:rsidRPr="00585AEF">
        <w:rPr>
          <w:sz w:val="18"/>
          <w:szCs w:val="18"/>
        </w:rPr>
        <w:t xml:space="preserve"> </w:t>
      </w:r>
      <w:r w:rsidRPr="00585AEF">
        <w:rPr>
          <w:sz w:val="18"/>
          <w:szCs w:val="18"/>
        </w:rPr>
        <w:tab/>
      </w:r>
      <w:r w:rsidRPr="00585AEF">
        <w:rPr>
          <w:sz w:val="18"/>
          <w:szCs w:val="18"/>
        </w:rPr>
        <w:t xml:space="preserve">UNEP/CHW.14/INF/31, </w:t>
      </w:r>
      <w:r w:rsidRPr="00585AEF">
        <w:rPr>
          <w:sz w:val="18"/>
          <w:szCs w:val="18"/>
        </w:rPr>
        <w:t>приложение.</w:t>
      </w:r>
    </w:p>
  </w:footnote>
  <w:footnote w:id="4">
    <w:p w14:paraId="4E0E41CF" w14:textId="77777777" w:rsidR="00190D20" w:rsidRPr="00585AEF" w:rsidRDefault="00190D20" w:rsidP="00190D20">
      <w:pPr>
        <w:pStyle w:val="FootnoteText"/>
        <w:spacing w:before="20" w:after="40"/>
        <w:ind w:left="1247"/>
        <w:rPr>
          <w:sz w:val="18"/>
          <w:szCs w:val="18"/>
        </w:rPr>
      </w:pPr>
      <w:r w:rsidRPr="00585AEF">
        <w:rPr>
          <w:rStyle w:val="FootnoteReference"/>
          <w:sz w:val="18"/>
          <w:szCs w:val="18"/>
        </w:rPr>
        <w:footnoteRef/>
      </w:r>
      <w:r w:rsidRPr="00585AEF">
        <w:rPr>
          <w:sz w:val="18"/>
          <w:szCs w:val="18"/>
        </w:rPr>
        <w:t xml:space="preserve"> </w:t>
      </w:r>
      <w:r w:rsidRPr="00585AEF">
        <w:rPr>
          <w:sz w:val="18"/>
          <w:szCs w:val="18"/>
        </w:rPr>
        <w:tab/>
      </w:r>
      <w:r w:rsidRPr="00585AEF">
        <w:rPr>
          <w:sz w:val="18"/>
          <w:szCs w:val="18"/>
        </w:rPr>
        <w:t>UNEP/CHW.14/INF/32.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numStyleLink w:val="Normallist"/>
  </w:abstractNum>
  <w:abstractNum w:abstractNumId="1" w15:restartNumberingAfterBreak="0">
    <w:nsid w:val="3D065284"/>
    <w:multiLevelType w:val="hybridMultilevel"/>
    <w:tmpl w:val="D6C035E6"/>
    <w:lvl w:ilvl="0" w:tplc="04090003">
      <w:start w:val="1"/>
      <w:numFmt w:val="bullet"/>
      <w:lvlText w:val="o"/>
      <w:lvlJc w:val="left"/>
      <w:pPr>
        <w:ind w:left="1598" w:hanging="360"/>
      </w:pPr>
      <w:rPr>
        <w:rFonts w:ascii="Courier New" w:hAnsi="Courier New" w:cs="Courier New"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2" w15:restartNumberingAfterBreak="0">
    <w:nsid w:val="44EB2831"/>
    <w:multiLevelType w:val="hybridMultilevel"/>
    <w:tmpl w:val="9F646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991311"/>
    <w:multiLevelType w:val="hybridMultilevel"/>
    <w:tmpl w:val="F452752A"/>
    <w:lvl w:ilvl="0" w:tplc="27544982">
      <w:start w:val="3"/>
      <w:numFmt w:val="bullet"/>
      <w:lvlText w:val="-"/>
      <w:lvlJc w:val="left"/>
      <w:pPr>
        <w:ind w:left="1080" w:hanging="360"/>
      </w:pPr>
      <w:rPr>
        <w:rFonts w:ascii="Times New Roman" w:eastAsia="Calibri" w:hAnsi="Times New Roman" w:cs="Times New Roman"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15:restartNumberingAfterBreak="0">
    <w:nsid w:val="536043EE"/>
    <w:multiLevelType w:val="hybridMultilevel"/>
    <w:tmpl w:val="849A72D0"/>
    <w:lvl w:ilvl="0" w:tplc="04090005">
      <w:start w:val="1"/>
      <w:numFmt w:val="bullet"/>
      <w:lvlText w:val=""/>
      <w:lvlJc w:val="left"/>
      <w:pPr>
        <w:ind w:left="1598" w:hanging="360"/>
      </w:pPr>
      <w:rPr>
        <w:rFonts w:ascii="Wingdings" w:hAnsi="Wingdings"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6" w15:restartNumberingAfterBreak="0">
    <w:nsid w:val="55696906"/>
    <w:multiLevelType w:val="hybridMultilevel"/>
    <w:tmpl w:val="9B268F38"/>
    <w:lvl w:ilvl="0" w:tplc="04090005">
      <w:start w:val="1"/>
      <w:numFmt w:val="bullet"/>
      <w:lvlText w:val=""/>
      <w:lvlJc w:val="left"/>
      <w:pPr>
        <w:ind w:left="1080" w:hanging="360"/>
      </w:pPr>
      <w:rPr>
        <w:rFonts w:ascii="Wingdings" w:hAnsi="Wingdings"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7" w15:restartNumberingAfterBreak="0">
    <w:nsid w:val="7FE833DC"/>
    <w:multiLevelType w:val="hybridMultilevel"/>
    <w:tmpl w:val="9E443296"/>
    <w:lvl w:ilvl="0" w:tplc="04090003">
      <w:start w:val="1"/>
      <w:numFmt w:val="bullet"/>
      <w:lvlText w:val="o"/>
      <w:lvlJc w:val="left"/>
      <w:pPr>
        <w:ind w:left="1080" w:hanging="360"/>
      </w:pPr>
      <w:rPr>
        <w:rFonts w:ascii="Courier New" w:hAnsi="Courier New" w:cs="Courier New"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lvlOverride w:ilvl="0">
      <w:lvl w:ilvl="0" w:tplc="27544982">
        <w:start w:val="3"/>
        <w:numFmt w:val="bullet"/>
        <w:lvlText w:val="-"/>
        <w:lvlJc w:val="left"/>
        <w:pPr>
          <w:ind w:left="1080" w:hanging="360"/>
        </w:pPr>
        <w:rPr>
          <w:rFonts w:ascii="Times New Roman" w:eastAsia="Calibri" w:hAnsi="Times New Roman" w:cs="Times New Roman" w:hint="default"/>
        </w:rPr>
      </w:lvl>
    </w:lvlOverride>
  </w:num>
  <w:num w:numId="4">
    <w:abstractNumId w:val="2"/>
    <w:lvlOverride w:ilvl="3">
      <w:lvl w:ilvl="3" w:tplc="04090001">
        <w:start w:val="1"/>
        <w:numFmt w:val="bullet"/>
        <w:lvlText w:val=""/>
        <w:lvlJc w:val="left"/>
        <w:pPr>
          <w:ind w:left="2880" w:hanging="360"/>
        </w:pPr>
        <w:rPr>
          <w:rFonts w:ascii="Symbol" w:hAnsi="Symbol" w:hint="default"/>
        </w:rPr>
      </w:lvl>
    </w:lvlOverride>
    <w:lvlOverride w:ilvl="4">
      <w:lvl w:ilvl="4" w:tplc="04090003">
        <w:start w:val="1"/>
        <w:numFmt w:val="bullet"/>
        <w:lvlText w:val="o"/>
        <w:lvlJc w:val="left"/>
        <w:pPr>
          <w:ind w:left="3600" w:hanging="360"/>
        </w:pPr>
        <w:rPr>
          <w:rFonts w:ascii="Courier New" w:hAnsi="Courier New" w:cs="Courier New" w:hint="default"/>
        </w:rPr>
      </w:lvl>
    </w:lvlOverride>
  </w:num>
  <w:num w:numId="5">
    <w:abstractNumId w:val="7"/>
    <w:lvlOverride w:ilvl="0">
      <w:lvl w:ilvl="0" w:tplc="04090003">
        <w:start w:val="1"/>
        <w:numFmt w:val="bullet"/>
        <w:lvlText w:val="o"/>
        <w:lvlJc w:val="left"/>
        <w:pPr>
          <w:ind w:left="1080" w:hanging="360"/>
        </w:pPr>
        <w:rPr>
          <w:rFonts w:ascii="Courier New" w:hAnsi="Courier New" w:cs="Courier New" w:hint="default"/>
        </w:rPr>
      </w:lvl>
    </w:lvlOverride>
  </w:num>
  <w:num w:numId="6">
    <w:abstractNumId w:val="1"/>
    <w:lvlOverride w:ilvl="0">
      <w:lvl w:ilvl="0" w:tplc="04090003">
        <w:start w:val="1"/>
        <w:numFmt w:val="bullet"/>
        <w:lvlText w:val="o"/>
        <w:lvlJc w:val="left"/>
        <w:pPr>
          <w:ind w:left="1598" w:hanging="360"/>
        </w:pPr>
        <w:rPr>
          <w:rFonts w:ascii="Courier New" w:hAnsi="Courier New" w:cs="Courier New" w:hint="default"/>
        </w:rPr>
      </w:lvl>
    </w:lvlOverride>
  </w:num>
  <w:num w:numId="7">
    <w:abstractNumId w:val="5"/>
    <w:lvlOverride w:ilvl="0">
      <w:lvl w:ilvl="0" w:tplc="04090005">
        <w:start w:val="1"/>
        <w:numFmt w:val="bullet"/>
        <w:lvlText w:val=""/>
        <w:lvlJc w:val="left"/>
        <w:pPr>
          <w:ind w:left="1598" w:hanging="360"/>
        </w:pPr>
        <w:rPr>
          <w:rFonts w:ascii="Wingdings" w:hAnsi="Wingdings" w:hint="default"/>
        </w:rPr>
      </w:lvl>
    </w:lvlOverride>
  </w:num>
  <w:num w:numId="8">
    <w:abstractNumId w:val="6"/>
    <w:lvlOverride w:ilvl="0">
      <w:lvl w:ilvl="0" w:tplc="04090005">
        <w:start w:val="1"/>
        <w:numFmt w:val="bullet"/>
        <w:lvlText w:val=""/>
        <w:lvlJc w:val="left"/>
        <w:pPr>
          <w:ind w:left="1080"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0F9"/>
    <w:rsid w:val="000C4CE1"/>
    <w:rsid w:val="00190D20"/>
    <w:rsid w:val="00194E1C"/>
    <w:rsid w:val="001E10F9"/>
    <w:rsid w:val="00361A5A"/>
    <w:rsid w:val="00486D78"/>
    <w:rsid w:val="00510115"/>
    <w:rsid w:val="00672B49"/>
    <w:rsid w:val="007F50D0"/>
    <w:rsid w:val="009056FA"/>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482CC"/>
  <w15:chartTrackingRefBased/>
  <w15:docId w15:val="{A17A839B-2495-46F6-BB7A-25544D5E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10F9"/>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1E10F9"/>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1E10F9"/>
    <w:rPr>
      <w:rFonts w:ascii="Times New Roman" w:eastAsia="Times New Roman" w:hAnsi="Times New Roman" w:cs="Times New Roman"/>
      <w:sz w:val="20"/>
      <w:szCs w:val="20"/>
      <w:lang w:val="ru-RU"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Text"/>
    <w:link w:val="BVIfnrCharCharCharChar"/>
    <w:uiPriority w:val="99"/>
    <w:qFormat/>
    <w:rsid w:val="001E10F9"/>
    <w:rPr>
      <w:rFonts w:ascii="Times New Roman" w:hAnsi="Times New Roman"/>
      <w:vertAlign w:val="superscript"/>
      <w:lang w:val="ru-RU"/>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1E10F9"/>
    <w:pPr>
      <w:spacing w:before="120" w:after="160" w:line="240" w:lineRule="exact"/>
    </w:pPr>
    <w:rPr>
      <w:rFonts w:eastAsiaTheme="minorEastAsia" w:cstheme="minorBidi"/>
      <w:sz w:val="22"/>
      <w:szCs w:val="22"/>
      <w:vertAlign w:val="superscript"/>
      <w:lang w:eastAsia="zh-CN"/>
    </w:rPr>
  </w:style>
  <w:style w:type="paragraph" w:styleId="Header">
    <w:name w:val="header"/>
    <w:basedOn w:val="Normal"/>
    <w:link w:val="HeaderChar"/>
    <w:rsid w:val="00510115"/>
    <w:pPr>
      <w:tabs>
        <w:tab w:val="center" w:pos="4153"/>
        <w:tab w:val="right" w:pos="8306"/>
      </w:tabs>
      <w:spacing w:after="0"/>
    </w:pPr>
  </w:style>
  <w:style w:type="character" w:customStyle="1" w:styleId="HeaderChar">
    <w:name w:val="Header Char"/>
    <w:basedOn w:val="DefaultParagraphFont"/>
    <w:link w:val="Header"/>
    <w:rsid w:val="00510115"/>
    <w:rPr>
      <w:rFonts w:ascii="Times New Roman" w:eastAsia="Times New Roman" w:hAnsi="Times New Roman" w:cs="Times New Roman"/>
      <w:sz w:val="20"/>
      <w:szCs w:val="20"/>
      <w:lang w:val="ru-RU" w:eastAsia="en-US"/>
    </w:rPr>
  </w:style>
  <w:style w:type="numbering" w:customStyle="1" w:styleId="Normallist">
    <w:name w:val="Normal_list"/>
    <w:basedOn w:val="NoList"/>
    <w:rsid w:val="00510115"/>
    <w:pPr>
      <w:numPr>
        <w:numId w:val="1"/>
      </w:numPr>
    </w:pPr>
  </w:style>
  <w:style w:type="paragraph" w:customStyle="1" w:styleId="Normalnumber">
    <w:name w:val="Normal_number"/>
    <w:basedOn w:val="Normal"/>
    <w:link w:val="NormalnumberChar"/>
    <w:qFormat/>
    <w:rsid w:val="00510115"/>
    <w:pPr>
      <w:numPr>
        <w:numId w:val="2"/>
      </w:numPr>
      <w:tabs>
        <w:tab w:val="left" w:pos="1247"/>
        <w:tab w:val="left" w:pos="1814"/>
        <w:tab w:val="left" w:pos="2381"/>
        <w:tab w:val="left" w:pos="2948"/>
        <w:tab w:val="left" w:pos="3515"/>
      </w:tabs>
    </w:pPr>
    <w:rPr>
      <w:lang w:val="en-GB"/>
    </w:rPr>
  </w:style>
  <w:style w:type="paragraph" w:styleId="ListParagraph">
    <w:name w:val="List Paragraph"/>
    <w:basedOn w:val="Normal"/>
    <w:uiPriority w:val="34"/>
    <w:qFormat/>
    <w:rsid w:val="00510115"/>
    <w:pPr>
      <w:ind w:left="720"/>
      <w:contextualSpacing/>
    </w:pPr>
  </w:style>
  <w:style w:type="paragraph" w:customStyle="1" w:styleId="Normal-pool">
    <w:name w:val="Normal-pool"/>
    <w:link w:val="Normal-poolChar"/>
    <w:qFormat/>
    <w:rsid w:val="00510115"/>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510115"/>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510115"/>
    <w:rPr>
      <w:rFonts w:ascii="Times New Roman" w:eastAsia="Times New Roman" w:hAnsi="Times New Roman" w:cs="Times New Roman"/>
      <w:sz w:val="20"/>
      <w:szCs w:val="20"/>
      <w:lang w:val="en-GB" w:eastAsia="en-US"/>
    </w:rPr>
  </w:style>
  <w:style w:type="paragraph" w:customStyle="1" w:styleId="BBTitle">
    <w:name w:val="BB_Title"/>
    <w:basedOn w:val="Normal"/>
    <w:link w:val="BBTitleChar"/>
    <w:rsid w:val="00510115"/>
    <w:pPr>
      <w:keepNext/>
      <w:keepLines/>
      <w:tabs>
        <w:tab w:val="left" w:pos="1247"/>
        <w:tab w:val="left" w:pos="1814"/>
        <w:tab w:val="left" w:pos="2381"/>
        <w:tab w:val="left" w:pos="2948"/>
        <w:tab w:val="left" w:pos="3515"/>
        <w:tab w:val="left" w:pos="4082"/>
      </w:tabs>
      <w:suppressAutoHyphens/>
      <w:spacing w:before="320" w:after="240"/>
      <w:ind w:left="1247" w:right="567"/>
    </w:pPr>
    <w:rPr>
      <w:b/>
      <w:sz w:val="28"/>
      <w:szCs w:val="28"/>
      <w:lang w:val="en-GB"/>
    </w:rPr>
  </w:style>
  <w:style w:type="table" w:customStyle="1" w:styleId="TableGrid2">
    <w:name w:val="Table Grid2"/>
    <w:basedOn w:val="TableNormal"/>
    <w:next w:val="TableGrid"/>
    <w:uiPriority w:val="59"/>
    <w:rsid w:val="0051011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10115"/>
    <w:rPr>
      <w:rFonts w:ascii="Times New Roman" w:eastAsia="Times New Roman" w:hAnsi="Times New Roman" w:cs="Times New Roman"/>
      <w:b/>
      <w:sz w:val="28"/>
      <w:szCs w:val="28"/>
      <w:lang w:val="en-GB" w:eastAsia="en-US"/>
    </w:rPr>
  </w:style>
  <w:style w:type="table" w:styleId="TableGrid">
    <w:name w:val="Table Grid"/>
    <w:basedOn w:val="TableNormal"/>
    <w:uiPriority w:val="39"/>
    <w:rsid w:val="00510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
    <w:aliases w:val="reference,16,Point,Superscript,61,68,reference1"/>
    <w:semiHidden/>
    <w:rsid w:val="00194E1C"/>
    <w:rPr>
      <w:rFonts w:ascii="Times New Roman" w:hAnsi="Times New Roman" w:cs="Times New Roman"/>
      <w:color w:val="auto"/>
      <w:sz w:val="18"/>
      <w:szCs w:val="18"/>
      <w:vertAlign w:val="superscript"/>
    </w:rPr>
  </w:style>
  <w:style w:type="paragraph" w:customStyle="1" w:styleId="NormalNonumber">
    <w:name w:val="Normal_No_number"/>
    <w:basedOn w:val="Normal"/>
    <w:link w:val="NormalNonumberChar"/>
    <w:qFormat/>
    <w:rsid w:val="00486D78"/>
    <w:pPr>
      <w:tabs>
        <w:tab w:val="left" w:pos="1247"/>
        <w:tab w:val="left" w:pos="1814"/>
        <w:tab w:val="left" w:pos="2381"/>
        <w:tab w:val="left" w:pos="2948"/>
        <w:tab w:val="left" w:pos="3515"/>
        <w:tab w:val="left" w:pos="4082"/>
      </w:tabs>
      <w:ind w:left="1247"/>
    </w:pPr>
    <w:rPr>
      <w:lang w:val="en-GB"/>
    </w:rPr>
  </w:style>
  <w:style w:type="character" w:customStyle="1" w:styleId="NormalNonumberChar">
    <w:name w:val="Normal_No_number Char"/>
    <w:link w:val="NormalNonumber"/>
    <w:locked/>
    <w:rsid w:val="00486D78"/>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1815</Words>
  <Characters>10348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2020-02-01T16:40:00Z</dcterms:created>
  <dcterms:modified xsi:type="dcterms:W3CDTF">2020-02-01T16:40:00Z</dcterms:modified>
</cp:coreProperties>
</file>