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8ED20A" w14:textId="77777777" w:rsidR="003A354F" w:rsidRPr="002D1700" w:rsidRDefault="003A354F" w:rsidP="003A354F">
      <w:pPr>
        <w:spacing w:after="120" w:line="400" w:lineRule="exact"/>
        <w:ind w:left="1133"/>
        <w:jc w:val="both"/>
        <w:rPr>
          <w:rFonts w:ascii="Traditional Arabic" w:hAnsi="Traditional Arabic" w:cs="Traditional Arabic"/>
          <w:b/>
          <w:bCs/>
          <w:sz w:val="32"/>
          <w:szCs w:val="32"/>
          <w:rtl/>
          <w:lang w:val="en-GB" w:eastAsia="zh-TW"/>
        </w:rPr>
      </w:pPr>
      <w:r w:rsidRPr="002D1700">
        <w:rPr>
          <w:rFonts w:ascii="Traditional Arabic" w:hAnsi="Traditional Arabic" w:cs="Traditional Arabic"/>
          <w:b/>
          <w:bCs/>
          <w:sz w:val="32"/>
          <w:szCs w:val="32"/>
          <w:rtl/>
          <w:lang w:val="en-GB" w:eastAsia="zh-TW"/>
        </w:rPr>
        <w:t>ا ب-</w:t>
      </w:r>
      <w:r>
        <w:rPr>
          <w:rFonts w:ascii="Traditional Arabic" w:hAnsi="Traditional Arabic" w:cs="Traditional Arabic"/>
          <w:b/>
          <w:bCs/>
          <w:sz w:val="32"/>
          <w:szCs w:val="32"/>
          <w:rtl/>
          <w:lang w:val="en-GB" w:eastAsia="zh-TW"/>
        </w:rPr>
        <w:t>14</w:t>
      </w:r>
      <w:r w:rsidRPr="002D1700">
        <w:rPr>
          <w:rFonts w:ascii="Traditional Arabic" w:hAnsi="Traditional Arabic" w:cs="Traditional Arabic"/>
          <w:b/>
          <w:bCs/>
          <w:sz w:val="32"/>
          <w:szCs w:val="32"/>
          <w:rtl/>
          <w:lang w:val="en-GB" w:eastAsia="zh-TW"/>
        </w:rPr>
        <w:t xml:space="preserve">/21: </w:t>
      </w:r>
      <w:r w:rsidRPr="00E50265">
        <w:rPr>
          <w:rFonts w:ascii="Traditional Arabic" w:hAnsi="Traditional Arabic" w:cs="Traditional Arabic"/>
          <w:b/>
          <w:bCs/>
          <w:sz w:val="32"/>
          <w:szCs w:val="32"/>
          <w:rtl/>
          <w:lang w:val="en-GB" w:eastAsia="zh-TW"/>
        </w:rPr>
        <w:t>التعاون والتنسيق على الصعيد الدولي</w:t>
      </w:r>
    </w:p>
    <w:p w14:paraId="411CB228" w14:textId="77777777" w:rsidR="003A354F" w:rsidRDefault="003A354F" w:rsidP="003A354F">
      <w:pPr>
        <w:spacing w:after="120" w:line="400" w:lineRule="exact"/>
        <w:ind w:left="1133" w:firstLine="709"/>
        <w:jc w:val="both"/>
        <w:rPr>
          <w:rFonts w:ascii="Traditional Arabic" w:hAnsi="Traditional Arabic" w:cs="Traditional Arabic"/>
          <w:i/>
          <w:iCs/>
          <w:sz w:val="30"/>
          <w:szCs w:val="30"/>
        </w:rPr>
      </w:pPr>
      <w:r>
        <w:rPr>
          <w:rFonts w:ascii="Traditional Arabic" w:hAnsi="Traditional Arabic" w:cs="Traditional Arabic"/>
          <w:i/>
          <w:iCs/>
          <w:sz w:val="30"/>
          <w:szCs w:val="30"/>
          <w:rtl/>
        </w:rPr>
        <w:t>إن مؤتمر الأطراف،</w:t>
      </w:r>
    </w:p>
    <w:p w14:paraId="04EB9149" w14:textId="77777777" w:rsidR="003A354F" w:rsidRPr="00B933B3" w:rsidRDefault="003A354F" w:rsidP="003A354F">
      <w:pPr>
        <w:pStyle w:val="ListParagraph"/>
        <w:numPr>
          <w:ilvl w:val="0"/>
          <w:numId w:val="1"/>
        </w:numPr>
        <w:tabs>
          <w:tab w:val="left" w:pos="2409"/>
        </w:tabs>
        <w:bidi/>
        <w:spacing w:after="120" w:line="400" w:lineRule="exact"/>
        <w:ind w:left="1133" w:firstLine="709"/>
        <w:jc w:val="both"/>
        <w:rPr>
          <w:rFonts w:ascii="Traditional Arabic" w:hAnsi="Traditional Arabic" w:cs="Traditional Arabic"/>
          <w:sz w:val="20"/>
          <w:szCs w:val="30"/>
          <w:rtl/>
          <w:lang w:val="en-GB" w:eastAsia="zh-TW"/>
        </w:rPr>
      </w:pPr>
      <w:r w:rsidRPr="00B933B3">
        <w:rPr>
          <w:rFonts w:ascii="Traditional Arabic" w:hAnsi="Traditional Arabic" w:cs="Traditional Arabic"/>
          <w:i/>
          <w:iCs/>
          <w:sz w:val="20"/>
          <w:szCs w:val="30"/>
          <w:rtl/>
          <w:lang w:val="en-GB" w:eastAsia="zh-TW"/>
        </w:rPr>
        <w:t>يرحب</w:t>
      </w:r>
      <w:r w:rsidRPr="00B933B3">
        <w:rPr>
          <w:rFonts w:ascii="Traditional Arabic" w:hAnsi="Traditional Arabic" w:cs="Traditional Arabic"/>
          <w:sz w:val="20"/>
          <w:szCs w:val="30"/>
          <w:rtl/>
          <w:lang w:val="en-GB" w:eastAsia="zh-TW"/>
        </w:rPr>
        <w:t xml:space="preserve"> بالإعلانات الوزارية والقرارات التي اعتمدتها جمعية الأمم المتحدة للبيئة في دورتيها الثالثة والرابعة ويشارك في الإعراب عن بالغ القلق من أن كوكبنا يتعرض للتلوث بصورة متزايدة وفي تشجيع الحكومات وسائر الجهات المعنية على الإسهام في التنفيذ الفعال لخطة ’’نحو كوكب خال من التلوث‘‘</w:t>
      </w:r>
      <w:r w:rsidRPr="00B933B3">
        <w:rPr>
          <w:rFonts w:ascii="Traditional Arabic" w:hAnsi="Traditional Arabic" w:cs="Traditional Arabic"/>
          <w:sz w:val="20"/>
          <w:szCs w:val="30"/>
          <w:vertAlign w:val="superscript"/>
          <w:rtl/>
          <w:lang w:val="en-GB" w:eastAsia="zh-TW"/>
        </w:rPr>
        <w:t>(</w:t>
      </w:r>
      <w:r>
        <w:rPr>
          <w:rStyle w:val="FootnoteReference"/>
          <w:rFonts w:ascii="Traditional Arabic" w:hAnsi="Traditional Arabic" w:cs="Traditional Arabic"/>
          <w:sz w:val="20"/>
          <w:szCs w:val="30"/>
          <w:rtl/>
          <w:lang w:val="en-GB" w:eastAsia="zh-TW"/>
        </w:rPr>
        <w:footnoteReference w:id="1"/>
      </w:r>
      <w:r w:rsidRPr="00B933B3">
        <w:rPr>
          <w:rFonts w:ascii="Traditional Arabic" w:hAnsi="Traditional Arabic" w:cs="Traditional Arabic"/>
          <w:sz w:val="20"/>
          <w:szCs w:val="30"/>
          <w:vertAlign w:val="superscript"/>
          <w:rtl/>
          <w:lang w:val="en-GB" w:eastAsia="zh-TW"/>
        </w:rPr>
        <w:t>)</w:t>
      </w:r>
      <w:r w:rsidRPr="00B933B3">
        <w:rPr>
          <w:rFonts w:ascii="Traditional Arabic" w:hAnsi="Traditional Arabic" w:cs="Traditional Arabic"/>
          <w:sz w:val="20"/>
          <w:szCs w:val="30"/>
          <w:rtl/>
          <w:lang w:val="en-GB" w:eastAsia="zh-TW"/>
        </w:rPr>
        <w:t>؛</w:t>
      </w:r>
    </w:p>
    <w:p w14:paraId="5C314E72" w14:textId="77777777" w:rsidR="003A354F" w:rsidRPr="00B933B3" w:rsidRDefault="003A354F" w:rsidP="003A354F">
      <w:pPr>
        <w:pStyle w:val="ListParagraph"/>
        <w:numPr>
          <w:ilvl w:val="0"/>
          <w:numId w:val="1"/>
        </w:numPr>
        <w:tabs>
          <w:tab w:val="left" w:pos="2409"/>
        </w:tabs>
        <w:bidi/>
        <w:spacing w:after="120" w:line="400" w:lineRule="exact"/>
        <w:ind w:left="1133" w:firstLine="709"/>
        <w:jc w:val="both"/>
        <w:rPr>
          <w:rFonts w:ascii="Traditional Arabic" w:hAnsi="Traditional Arabic" w:cs="Traditional Arabic"/>
          <w:sz w:val="20"/>
          <w:szCs w:val="30"/>
          <w:rtl/>
          <w:lang w:val="en-GB" w:eastAsia="zh-TW"/>
        </w:rPr>
      </w:pPr>
      <w:r w:rsidRPr="00B933B3">
        <w:rPr>
          <w:rFonts w:ascii="Traditional Arabic" w:hAnsi="Traditional Arabic" w:cs="Traditional Arabic"/>
          <w:i/>
          <w:iCs/>
          <w:sz w:val="20"/>
          <w:szCs w:val="30"/>
          <w:rtl/>
          <w:lang w:val="en-GB" w:eastAsia="zh-TW"/>
        </w:rPr>
        <w:t>يشارك</w:t>
      </w:r>
      <w:r w:rsidRPr="00B933B3">
        <w:rPr>
          <w:rFonts w:ascii="Traditional Arabic" w:hAnsi="Traditional Arabic" w:cs="Traditional Arabic"/>
          <w:sz w:val="20"/>
          <w:szCs w:val="30"/>
          <w:rtl/>
          <w:lang w:val="en-GB" w:eastAsia="zh-TW"/>
        </w:rPr>
        <w:t xml:space="preserve"> جمعية البيئة في التأكيد على الحاجة إلى اتخاذ إجراءات عاجلة وحاسمة لتنفيذ خطة التنمية المستدامة لعام ٢٠٣٠</w:t>
      </w:r>
      <w:r w:rsidRPr="00B933B3">
        <w:rPr>
          <w:rFonts w:ascii="Traditional Arabic" w:hAnsi="Traditional Arabic" w:cs="Traditional Arabic"/>
          <w:sz w:val="20"/>
          <w:szCs w:val="30"/>
          <w:vertAlign w:val="superscript"/>
          <w:rtl/>
          <w:lang w:val="en-GB" w:eastAsia="zh-TW"/>
        </w:rPr>
        <w:t>(</w:t>
      </w:r>
      <w:r>
        <w:rPr>
          <w:rStyle w:val="FootnoteReference"/>
          <w:rFonts w:ascii="Traditional Arabic" w:hAnsi="Traditional Arabic" w:cs="Traditional Arabic"/>
          <w:sz w:val="20"/>
          <w:szCs w:val="30"/>
          <w:rtl/>
          <w:lang w:val="en-GB" w:eastAsia="zh-TW"/>
        </w:rPr>
        <w:footnoteReference w:id="2"/>
      </w:r>
      <w:r w:rsidRPr="00B933B3">
        <w:rPr>
          <w:rFonts w:ascii="Traditional Arabic" w:hAnsi="Traditional Arabic" w:cs="Traditional Arabic"/>
          <w:sz w:val="20"/>
          <w:szCs w:val="30"/>
          <w:vertAlign w:val="superscript"/>
          <w:rtl/>
          <w:lang w:val="en-GB" w:eastAsia="zh-TW"/>
        </w:rPr>
        <w:t>)</w:t>
      </w:r>
      <w:r w:rsidRPr="00B933B3">
        <w:rPr>
          <w:rFonts w:ascii="Traditional Arabic" w:hAnsi="Traditional Arabic" w:cs="Traditional Arabic"/>
          <w:sz w:val="20"/>
          <w:szCs w:val="30"/>
          <w:rtl/>
          <w:lang w:val="en-GB" w:eastAsia="zh-TW"/>
        </w:rPr>
        <w:t xml:space="preserve"> بشأن المسائل المتصلة بالإدارة السليمة للمواد الكيميائية والنفايات، بما في ذلك من خلال إدخال تحسينات ذات صلة على الإطار الدولي الحالي للإدارة السليمة للمواد الكيميائية والنفايات؛</w:t>
      </w:r>
    </w:p>
    <w:p w14:paraId="6A9B5CB4" w14:textId="77777777" w:rsidR="003A354F" w:rsidRPr="00B933B3" w:rsidRDefault="003A354F" w:rsidP="003A354F">
      <w:pPr>
        <w:pStyle w:val="ListParagraph"/>
        <w:numPr>
          <w:ilvl w:val="0"/>
          <w:numId w:val="1"/>
        </w:numPr>
        <w:tabs>
          <w:tab w:val="left" w:pos="2409"/>
        </w:tabs>
        <w:bidi/>
        <w:spacing w:after="120" w:line="400" w:lineRule="exact"/>
        <w:ind w:left="1133" w:firstLine="709"/>
        <w:jc w:val="both"/>
        <w:rPr>
          <w:rFonts w:ascii="Traditional Arabic" w:hAnsi="Traditional Arabic" w:cs="Traditional Arabic"/>
          <w:sz w:val="20"/>
          <w:szCs w:val="30"/>
          <w:rtl/>
          <w:lang w:val="en-GB" w:eastAsia="zh-TW"/>
        </w:rPr>
      </w:pPr>
      <w:r w:rsidRPr="00B933B3">
        <w:rPr>
          <w:rFonts w:ascii="Traditional Arabic" w:hAnsi="Traditional Arabic" w:cs="Traditional Arabic"/>
          <w:i/>
          <w:iCs/>
          <w:sz w:val="20"/>
          <w:szCs w:val="30"/>
          <w:rtl/>
          <w:lang w:val="en-GB" w:eastAsia="zh-TW"/>
        </w:rPr>
        <w:t>يناشد</w:t>
      </w:r>
      <w:r w:rsidRPr="00B933B3">
        <w:rPr>
          <w:rFonts w:ascii="Traditional Arabic" w:hAnsi="Traditional Arabic" w:cs="Traditional Arabic"/>
          <w:sz w:val="20"/>
          <w:szCs w:val="30"/>
          <w:rtl/>
          <w:lang w:val="en-GB" w:eastAsia="zh-TW"/>
        </w:rPr>
        <w:t xml:space="preserve"> جميع الأطراف والجهات المعنية الأخرى إلى تكثيف وإعطاء الأولوية للجهود المبذولة على صعيد الإدارة السليمة للمواد الكيميائية والنفايات لكي يتحقق بحلول عام 2020 الهدف 12-4 من خطة التنمية المستدامة لعام ٢٠٣٠، تمشياً مع قرار جمعية البيئة ٤/٨، بشأن الإدارة السليمة للمواد الكيميائية والنفايات، بما في ذلك من خلال المساعدة التقنية وبناء القدرات لتمكين الأطراف من الوفاء بالأهداف والغايات ذات الصلة في خطة عام ٢٠٣٠ في أقرب وقت ممكن؛</w:t>
      </w:r>
    </w:p>
    <w:p w14:paraId="654057CE" w14:textId="77777777" w:rsidR="003A354F" w:rsidRPr="00B933B3" w:rsidRDefault="003A354F" w:rsidP="003A354F">
      <w:pPr>
        <w:pStyle w:val="ListParagraph"/>
        <w:numPr>
          <w:ilvl w:val="0"/>
          <w:numId w:val="1"/>
        </w:numPr>
        <w:tabs>
          <w:tab w:val="left" w:pos="2409"/>
        </w:tabs>
        <w:bidi/>
        <w:spacing w:after="120" w:line="400" w:lineRule="exact"/>
        <w:ind w:left="1133" w:firstLine="709"/>
        <w:jc w:val="both"/>
        <w:rPr>
          <w:rFonts w:ascii="Traditional Arabic" w:hAnsi="Traditional Arabic" w:cs="Traditional Arabic"/>
          <w:sz w:val="20"/>
          <w:szCs w:val="30"/>
          <w:rtl/>
          <w:lang w:val="en-GB" w:eastAsia="zh-TW"/>
        </w:rPr>
      </w:pPr>
      <w:r w:rsidRPr="00B933B3">
        <w:rPr>
          <w:rFonts w:ascii="Traditional Arabic" w:hAnsi="Traditional Arabic" w:cs="Traditional Arabic"/>
          <w:i/>
          <w:iCs/>
          <w:sz w:val="20"/>
          <w:szCs w:val="30"/>
          <w:rtl/>
          <w:lang w:val="en-GB" w:eastAsia="zh-TW"/>
        </w:rPr>
        <w:t>يطلب</w:t>
      </w:r>
      <w:r w:rsidRPr="00B933B3">
        <w:rPr>
          <w:rFonts w:ascii="Traditional Arabic" w:hAnsi="Traditional Arabic" w:cs="Traditional Arabic"/>
          <w:sz w:val="20"/>
          <w:szCs w:val="30"/>
          <w:rtl/>
          <w:lang w:val="en-GB" w:eastAsia="zh-TW"/>
        </w:rPr>
        <w:t xml:space="preserve"> إلى الأمين التنفيذي التعاون مع المديرة التنفيذية لبرنامج الأمم المتحدة للبيئة في تعزيز تنفيذ قرارات جمعية البيئة المتعلقة بالإدارة السليمة للمواد الكيميائية والنفايات وتنفيذ خطة ’’نحو كوكب خال من التلوث‘‘ في المجالات ذات الصلة باتفاقية بازل بشأن التحكم في نقل النفايات الخطرة والتخلص منها عبر الحدود، واتفاقية روتردام المتعلقة بتطبيق إجراء الموافقة المسبقة عن علم على مواد كيميائية ومبيدات آفات معينة خطرة متداولة في التجارة الدولية، واتفاقية استكهولم بشأن الملوثات العضوية الثابتة؛</w:t>
      </w:r>
    </w:p>
    <w:p w14:paraId="707561AF" w14:textId="77777777" w:rsidR="003A354F" w:rsidRDefault="003A354F" w:rsidP="003A354F">
      <w:pPr>
        <w:pStyle w:val="ListParagraph"/>
        <w:numPr>
          <w:ilvl w:val="0"/>
          <w:numId w:val="1"/>
        </w:numPr>
        <w:tabs>
          <w:tab w:val="left" w:pos="2409"/>
        </w:tabs>
        <w:bidi/>
        <w:spacing w:after="120" w:line="400" w:lineRule="exact"/>
        <w:ind w:left="1133" w:firstLine="709"/>
        <w:jc w:val="both"/>
        <w:rPr>
          <w:rFonts w:ascii="Traditional Arabic" w:hAnsi="Traditional Arabic" w:cs="Traditional Arabic"/>
          <w:sz w:val="20"/>
          <w:szCs w:val="30"/>
          <w:lang w:val="en-GB" w:eastAsia="zh-TW"/>
        </w:rPr>
      </w:pPr>
      <w:r w:rsidRPr="00B933B3">
        <w:rPr>
          <w:rFonts w:ascii="Traditional Arabic" w:hAnsi="Traditional Arabic" w:cs="Traditional Arabic"/>
          <w:i/>
          <w:iCs/>
          <w:sz w:val="20"/>
          <w:szCs w:val="30"/>
          <w:rtl/>
          <w:lang w:val="en-GB" w:eastAsia="zh-TW"/>
        </w:rPr>
        <w:t>يحيط علماً</w:t>
      </w:r>
      <w:r w:rsidRPr="00B933B3">
        <w:rPr>
          <w:rFonts w:ascii="Traditional Arabic" w:hAnsi="Traditional Arabic" w:cs="Traditional Arabic"/>
          <w:sz w:val="20"/>
          <w:szCs w:val="30"/>
          <w:rtl/>
          <w:lang w:val="en-GB" w:eastAsia="zh-TW"/>
        </w:rPr>
        <w:t xml:space="preserve"> بتقرير الأمانة عن التعاون والتنسيق الدوليين خلال الفترة من ١ كانون الثاني/يناير ٢٠١٧ إلى ٣١ كانون الأول/ديسمبر ٢٠١٨</w:t>
      </w:r>
      <w:r w:rsidRPr="00B933B3">
        <w:rPr>
          <w:rFonts w:ascii="Traditional Arabic" w:hAnsi="Traditional Arabic" w:cs="Traditional Arabic"/>
          <w:sz w:val="26"/>
          <w:szCs w:val="26"/>
          <w:vertAlign w:val="superscript"/>
          <w:rtl/>
          <w:lang w:val="en-GB" w:eastAsia="zh-TW"/>
        </w:rPr>
        <w:t>(</w:t>
      </w:r>
      <w:r w:rsidRPr="00CD3750">
        <w:rPr>
          <w:sz w:val="26"/>
          <w:szCs w:val="26"/>
          <w:vertAlign w:val="superscript"/>
          <w:rtl/>
          <w:lang w:val="en-GB" w:eastAsia="zh-TW"/>
        </w:rPr>
        <w:footnoteReference w:id="3"/>
      </w:r>
      <w:r w:rsidRPr="00B933B3">
        <w:rPr>
          <w:rFonts w:ascii="Traditional Arabic" w:hAnsi="Traditional Arabic" w:cs="Traditional Arabic"/>
          <w:sz w:val="26"/>
          <w:szCs w:val="26"/>
          <w:vertAlign w:val="superscript"/>
          <w:rtl/>
          <w:lang w:val="en-GB" w:eastAsia="zh-TW"/>
        </w:rPr>
        <w:t>)</w:t>
      </w:r>
      <w:r w:rsidRPr="00B933B3">
        <w:rPr>
          <w:rFonts w:ascii="Traditional Arabic" w:hAnsi="Traditional Arabic" w:cs="Traditional Arabic"/>
          <w:sz w:val="20"/>
          <w:szCs w:val="30"/>
          <w:rtl/>
          <w:lang w:val="en-GB" w:eastAsia="zh-TW"/>
        </w:rPr>
        <w:t>، والمعلومات التي قدمتها أمانة النهج الاستراتيجي للإدارة الدولية للمواد الكيميائية بشأن النهج الاستراتيجي والإدارة السليمة للمواد الكيميائية والنفايات بعد عام ٢٠٢٠</w:t>
      </w:r>
      <w:r w:rsidRPr="00B933B3">
        <w:rPr>
          <w:rFonts w:ascii="Traditional Arabic" w:hAnsi="Traditional Arabic" w:cs="Traditional Arabic"/>
          <w:sz w:val="26"/>
          <w:szCs w:val="26"/>
          <w:vertAlign w:val="superscript"/>
          <w:rtl/>
          <w:lang w:val="en-GB" w:eastAsia="zh-TW"/>
        </w:rPr>
        <w:t>(</w:t>
      </w:r>
      <w:r w:rsidRPr="00666711">
        <w:rPr>
          <w:sz w:val="26"/>
          <w:szCs w:val="26"/>
          <w:vertAlign w:val="superscript"/>
          <w:rtl/>
          <w:lang w:val="en-GB" w:eastAsia="zh-TW"/>
        </w:rPr>
        <w:footnoteReference w:id="4"/>
      </w:r>
      <w:r w:rsidRPr="00B933B3">
        <w:rPr>
          <w:rFonts w:ascii="Traditional Arabic" w:hAnsi="Traditional Arabic" w:cs="Traditional Arabic"/>
          <w:sz w:val="26"/>
          <w:szCs w:val="26"/>
          <w:vertAlign w:val="superscript"/>
          <w:rtl/>
          <w:lang w:val="en-GB" w:eastAsia="zh-TW"/>
        </w:rPr>
        <w:t>)</w:t>
      </w:r>
      <w:r w:rsidRPr="00B933B3">
        <w:rPr>
          <w:rFonts w:ascii="Traditional Arabic" w:hAnsi="Traditional Arabic" w:cs="Traditional Arabic"/>
          <w:sz w:val="20"/>
          <w:szCs w:val="30"/>
          <w:rtl/>
          <w:lang w:val="en-GB" w:eastAsia="zh-TW"/>
        </w:rPr>
        <w:t>، والمعلومات عن الأنشطة التي اضطلع بها برنامج الأمم المتحدة للبيئة بشأن المسائل البرنامجية المتعلقة باتفاقيات بازل وروتردام واستكهولم</w:t>
      </w:r>
      <w:r w:rsidRPr="00B933B3">
        <w:rPr>
          <w:rFonts w:ascii="Traditional Arabic" w:hAnsi="Traditional Arabic" w:cs="Traditional Arabic"/>
          <w:sz w:val="26"/>
          <w:szCs w:val="26"/>
          <w:vertAlign w:val="superscript"/>
          <w:rtl/>
          <w:lang w:val="en-GB" w:eastAsia="zh-TW"/>
        </w:rPr>
        <w:t>(</w:t>
      </w:r>
      <w:r w:rsidRPr="00666711">
        <w:rPr>
          <w:sz w:val="26"/>
          <w:szCs w:val="26"/>
          <w:vertAlign w:val="superscript"/>
          <w:rtl/>
          <w:lang w:val="en-GB" w:eastAsia="zh-TW"/>
        </w:rPr>
        <w:footnoteReference w:id="5"/>
      </w:r>
      <w:r w:rsidRPr="00B933B3">
        <w:rPr>
          <w:rFonts w:ascii="Traditional Arabic" w:hAnsi="Traditional Arabic" w:cs="Traditional Arabic"/>
          <w:sz w:val="26"/>
          <w:szCs w:val="26"/>
          <w:vertAlign w:val="superscript"/>
          <w:rtl/>
          <w:lang w:val="en-GB" w:eastAsia="zh-TW"/>
        </w:rPr>
        <w:t>)</w:t>
      </w:r>
      <w:r w:rsidRPr="00B933B3">
        <w:rPr>
          <w:rFonts w:ascii="Traditional Arabic" w:hAnsi="Traditional Arabic" w:cs="Traditional Arabic"/>
          <w:sz w:val="20"/>
          <w:szCs w:val="30"/>
          <w:rtl/>
          <w:lang w:val="en-GB" w:eastAsia="zh-TW"/>
        </w:rPr>
        <w:t>؛</w:t>
      </w:r>
    </w:p>
    <w:p w14:paraId="62316D55" w14:textId="77777777" w:rsidR="003A354F" w:rsidRPr="00D412F2" w:rsidRDefault="003A354F" w:rsidP="003A354F">
      <w:pPr>
        <w:pStyle w:val="ListParagraph"/>
        <w:numPr>
          <w:ilvl w:val="0"/>
          <w:numId w:val="1"/>
        </w:numPr>
        <w:tabs>
          <w:tab w:val="left" w:pos="2409"/>
        </w:tabs>
        <w:bidi/>
        <w:spacing w:after="120" w:line="400" w:lineRule="exact"/>
        <w:ind w:left="1133" w:firstLine="709"/>
        <w:jc w:val="both"/>
        <w:rPr>
          <w:rFonts w:ascii="Traditional Arabic" w:hAnsi="Traditional Arabic" w:cs="Traditional Arabic"/>
          <w:sz w:val="20"/>
          <w:szCs w:val="30"/>
          <w:rtl/>
          <w:lang w:val="en-GB" w:eastAsia="zh-TW"/>
        </w:rPr>
      </w:pPr>
      <w:r w:rsidRPr="00D412F2">
        <w:rPr>
          <w:rFonts w:cs="Traditional Arabic"/>
          <w:i/>
          <w:iCs/>
          <w:sz w:val="20"/>
          <w:szCs w:val="30"/>
          <w:rtl/>
          <w:lang w:val="en-GB" w:eastAsia="zh-TW"/>
        </w:rPr>
        <w:t>يطلب</w:t>
      </w:r>
      <w:r w:rsidRPr="00D412F2">
        <w:rPr>
          <w:rFonts w:cs="Traditional Arabic"/>
          <w:sz w:val="20"/>
          <w:szCs w:val="30"/>
          <w:rtl/>
          <w:lang w:val="en-GB" w:eastAsia="zh-TW"/>
        </w:rPr>
        <w:t xml:space="preserve"> إلى الأمانة ما يلي:</w:t>
      </w:r>
    </w:p>
    <w:p w14:paraId="1D3C5256" w14:textId="77777777" w:rsidR="003A354F" w:rsidRPr="0026496A" w:rsidRDefault="003A354F" w:rsidP="003A354F">
      <w:pPr>
        <w:tabs>
          <w:tab w:val="left" w:pos="2976"/>
        </w:tabs>
        <w:spacing w:after="120" w:line="400" w:lineRule="exact"/>
        <w:ind w:left="1133" w:firstLine="1276"/>
        <w:jc w:val="both"/>
        <w:rPr>
          <w:rFonts w:cs="Traditional Arabic"/>
          <w:sz w:val="20"/>
          <w:szCs w:val="30"/>
          <w:rtl/>
          <w:lang w:val="en-GB" w:eastAsia="zh-TW"/>
        </w:rPr>
      </w:pPr>
      <w:r w:rsidRPr="0026496A">
        <w:rPr>
          <w:rFonts w:cs="Traditional Arabic"/>
          <w:sz w:val="20"/>
          <w:szCs w:val="30"/>
          <w:rtl/>
          <w:lang w:val="en-GB" w:eastAsia="zh-TW"/>
        </w:rPr>
        <w:t>(أ)</w:t>
      </w:r>
      <w:r w:rsidRPr="0026496A">
        <w:rPr>
          <w:rFonts w:cs="Traditional Arabic"/>
          <w:sz w:val="20"/>
          <w:szCs w:val="30"/>
          <w:rtl/>
          <w:lang w:val="en-GB" w:eastAsia="zh-TW"/>
        </w:rPr>
        <w:tab/>
        <w:t>أن تستمر في إتاحتها لبرنامج الأمم المتحدة للبيئة ما تقدمه إليها الأطراف من معلومات ذات صلة بمتابعة واستعراض خطة التنمية المستدامة لعام 2030؛</w:t>
      </w:r>
    </w:p>
    <w:p w14:paraId="2E2F7BC5" w14:textId="77777777" w:rsidR="003A354F" w:rsidRPr="00E237B5" w:rsidRDefault="003A354F" w:rsidP="003A354F">
      <w:pPr>
        <w:tabs>
          <w:tab w:val="left" w:pos="2976"/>
        </w:tabs>
        <w:spacing w:after="120" w:line="400" w:lineRule="exact"/>
        <w:ind w:left="1133" w:firstLine="1276"/>
        <w:jc w:val="both"/>
        <w:rPr>
          <w:rFonts w:cs="Traditional Arabic"/>
          <w:i/>
          <w:sz w:val="20"/>
          <w:szCs w:val="30"/>
          <w:rtl/>
          <w:lang w:val="en-GB" w:eastAsia="zh-TW"/>
        </w:rPr>
      </w:pPr>
      <w:r w:rsidRPr="0026496A">
        <w:rPr>
          <w:rFonts w:cs="Traditional Arabic"/>
          <w:sz w:val="20"/>
          <w:szCs w:val="30"/>
          <w:rtl/>
          <w:lang w:val="en-GB" w:eastAsia="zh-TW"/>
        </w:rPr>
        <w:lastRenderedPageBreak/>
        <w:t>(ب)</w:t>
      </w:r>
      <w:r w:rsidRPr="0026496A">
        <w:rPr>
          <w:rFonts w:cs="Traditional Arabic"/>
          <w:sz w:val="20"/>
          <w:szCs w:val="30"/>
          <w:rtl/>
          <w:lang w:val="en-GB" w:eastAsia="zh-TW"/>
        </w:rPr>
        <w:tab/>
        <w:t>أن تواصل التعاون مع برنامج الأمم المتحدة للبيئة، وشعبة الإحصاءات التابعة لإدارة الشؤون الاقتصادية والاجتماعية للأمانة العامة للأمم المتحدة والمنظمات الأخرى ذات الصلة في وضع المنهجيات للمؤشرات ذات الصلة باتفاقيات بازل وروتردام واستكهولم؛</w:t>
      </w:r>
    </w:p>
    <w:p w14:paraId="6EABF5D4" w14:textId="77777777" w:rsidR="003A354F" w:rsidRPr="0026496A" w:rsidRDefault="003A354F" w:rsidP="003A354F">
      <w:pPr>
        <w:tabs>
          <w:tab w:val="left" w:pos="2976"/>
        </w:tabs>
        <w:spacing w:after="120" w:line="400" w:lineRule="exact"/>
        <w:ind w:left="1133" w:firstLine="1276"/>
        <w:jc w:val="both"/>
        <w:rPr>
          <w:rFonts w:cs="Traditional Arabic"/>
          <w:sz w:val="20"/>
          <w:szCs w:val="30"/>
          <w:rtl/>
          <w:lang w:val="en-GB" w:eastAsia="zh-TW"/>
        </w:rPr>
      </w:pPr>
      <w:r w:rsidRPr="0026496A">
        <w:rPr>
          <w:rFonts w:cs="Traditional Arabic"/>
          <w:sz w:val="20"/>
          <w:szCs w:val="30"/>
          <w:rtl/>
          <w:lang w:val="en-GB" w:eastAsia="zh-TW"/>
        </w:rPr>
        <w:t>(ج)</w:t>
      </w:r>
      <w:r w:rsidRPr="0026496A">
        <w:rPr>
          <w:rFonts w:cs="Traditional Arabic"/>
          <w:sz w:val="20"/>
          <w:szCs w:val="30"/>
          <w:rtl/>
          <w:lang w:val="en-GB" w:eastAsia="zh-TW"/>
        </w:rPr>
        <w:tab/>
        <w:t>أن تواصل، رهناً بتوافر الموارد، تقديم المساعدة للأطراف عند طلبها في جهودها الرامية إلى دمج العناصر ذات الصلة من الاتفاقيات في خططها واستراتيجياتها الوطنية للتنمية المستدامة، وفي تشريعاتها عندما يكون ذلك مناسباً؛</w:t>
      </w:r>
    </w:p>
    <w:p w14:paraId="5602A7DF" w14:textId="77777777" w:rsidR="003A354F" w:rsidRDefault="003A354F" w:rsidP="003A354F">
      <w:pPr>
        <w:tabs>
          <w:tab w:val="left" w:pos="2976"/>
        </w:tabs>
        <w:spacing w:after="120" w:line="400" w:lineRule="exact"/>
        <w:ind w:left="1133" w:firstLine="1276"/>
        <w:jc w:val="both"/>
        <w:rPr>
          <w:rFonts w:cs="Traditional Arabic"/>
          <w:sz w:val="20"/>
          <w:szCs w:val="30"/>
          <w:rtl/>
          <w:lang w:val="en-GB" w:eastAsia="zh-TW"/>
        </w:rPr>
      </w:pPr>
      <w:r w:rsidRPr="0026496A">
        <w:rPr>
          <w:rFonts w:cs="Traditional Arabic"/>
          <w:sz w:val="20"/>
          <w:szCs w:val="30"/>
          <w:rtl/>
          <w:lang w:val="en-GB" w:eastAsia="zh-TW"/>
        </w:rPr>
        <w:t>(د)</w:t>
      </w:r>
      <w:r w:rsidRPr="0026496A">
        <w:rPr>
          <w:rFonts w:cs="Traditional Arabic"/>
          <w:sz w:val="20"/>
          <w:szCs w:val="30"/>
          <w:rtl/>
          <w:lang w:val="en-GB" w:eastAsia="zh-TW"/>
        </w:rPr>
        <w:tab/>
        <w:t>أن تواصل العمل الوثيق مع المنظمات الدولية الأخرى، كل في نطاق ولايته، بشأن الأنشطة ذات الصلة بالقمامة البلاستيكية البحرية والجسيمات البلاستيكية البحرية الدقيقة؛</w:t>
      </w:r>
    </w:p>
    <w:p w14:paraId="3EEEF88B" w14:textId="77777777" w:rsidR="003A354F" w:rsidRPr="006C7D44" w:rsidRDefault="003A354F" w:rsidP="003A354F">
      <w:pPr>
        <w:tabs>
          <w:tab w:val="left" w:pos="2976"/>
        </w:tabs>
        <w:spacing w:after="120" w:line="400" w:lineRule="exact"/>
        <w:ind w:left="1133" w:firstLine="1276"/>
        <w:jc w:val="both"/>
        <w:rPr>
          <w:rFonts w:cs="Traditional Arabic"/>
          <w:sz w:val="20"/>
          <w:szCs w:val="30"/>
          <w:rtl/>
          <w:lang w:val="en-GB" w:eastAsia="zh-TW"/>
        </w:rPr>
      </w:pPr>
      <w:r>
        <w:rPr>
          <w:rFonts w:cs="Traditional Arabic"/>
          <w:sz w:val="20"/>
          <w:szCs w:val="30"/>
          <w:rtl/>
          <w:lang w:val="en-GB" w:eastAsia="zh-TW"/>
        </w:rPr>
        <w:t>(ه)</w:t>
      </w:r>
      <w:r>
        <w:rPr>
          <w:rFonts w:cs="Traditional Arabic"/>
          <w:sz w:val="20"/>
          <w:szCs w:val="30"/>
          <w:rtl/>
          <w:lang w:val="en-GB" w:eastAsia="zh-TW"/>
        </w:rPr>
        <w:tab/>
      </w:r>
      <w:r w:rsidRPr="006C7D44">
        <w:rPr>
          <w:rFonts w:cs="Traditional Arabic"/>
          <w:sz w:val="20"/>
          <w:szCs w:val="30"/>
          <w:rtl/>
          <w:lang w:val="en-GB" w:eastAsia="zh-TW"/>
        </w:rPr>
        <w:t>أن تواصل المشاركة بصفة مراقب، بناء على دعوة، في الاجتماعات ذات الصلة للبرنامج المشترك بين المنظمات للإدارة السليمة للمواد الكيميائية، في انتظار نتيجة الإجراءات المذكورة في الفقرة ٨ من هذا المقرر؛</w:t>
      </w:r>
    </w:p>
    <w:p w14:paraId="70C1C0DD" w14:textId="77777777" w:rsidR="003A354F" w:rsidRPr="00772576" w:rsidRDefault="003A354F" w:rsidP="003A354F">
      <w:pPr>
        <w:pStyle w:val="ListParagraph"/>
        <w:numPr>
          <w:ilvl w:val="0"/>
          <w:numId w:val="1"/>
        </w:numPr>
        <w:tabs>
          <w:tab w:val="left" w:pos="2409"/>
        </w:tabs>
        <w:bidi/>
        <w:spacing w:after="120" w:line="400" w:lineRule="exact"/>
        <w:ind w:left="1133" w:firstLine="709"/>
        <w:contextualSpacing w:val="0"/>
        <w:jc w:val="both"/>
        <w:rPr>
          <w:rFonts w:cs="Traditional Arabic"/>
          <w:sz w:val="20"/>
          <w:szCs w:val="30"/>
          <w:rtl/>
          <w:lang w:val="en-GB" w:eastAsia="zh-TW"/>
        </w:rPr>
      </w:pPr>
      <w:r w:rsidRPr="00772576">
        <w:rPr>
          <w:rFonts w:cs="Traditional Arabic"/>
          <w:i/>
          <w:iCs/>
          <w:sz w:val="20"/>
          <w:szCs w:val="30"/>
          <w:rtl/>
          <w:lang w:val="en-GB" w:eastAsia="zh-TW"/>
        </w:rPr>
        <w:t>يحيط علماً</w:t>
      </w:r>
      <w:r w:rsidRPr="00772576">
        <w:rPr>
          <w:rFonts w:cs="Traditional Arabic"/>
          <w:sz w:val="20"/>
          <w:szCs w:val="30"/>
          <w:rtl/>
          <w:lang w:val="en-GB" w:eastAsia="zh-TW"/>
        </w:rPr>
        <w:t xml:space="preserve"> بالعزم على إنشاء تحالف معني بالنفايات الكهربائية والإلكترونية يتكون من منظمة العمل الدولية، والاتحاد الدولي للاتصالات، ومركز التجارة الدولية، وبرنامج الأمم المتحدة للبيئة، ومنظمة الأمم المتحدة للتنمية الصناعية، ومعهد الأمم المتحدة للتدريب والبحث، وجامعة الأمم المتحدة، وبرنامج الأمم المتحدة للمستوطنات البشرية، ومنظمة الصحة العالمية، والأمانة</w:t>
      </w:r>
      <w:r>
        <w:rPr>
          <w:rFonts w:cs="Traditional Arabic"/>
          <w:sz w:val="20"/>
          <w:szCs w:val="30"/>
          <w:rtl/>
          <w:lang w:val="en-GB" w:eastAsia="zh-TW"/>
        </w:rPr>
        <w:t>،</w:t>
      </w:r>
      <w:r w:rsidRPr="00772576">
        <w:rPr>
          <w:rFonts w:cs="Traditional Arabic"/>
          <w:sz w:val="20"/>
          <w:szCs w:val="30"/>
          <w:rtl/>
          <w:lang w:val="en-GB" w:eastAsia="zh-TW"/>
        </w:rPr>
        <w:t xml:space="preserve"> </w:t>
      </w:r>
      <w:r>
        <w:rPr>
          <w:rFonts w:cs="Traditional Arabic"/>
          <w:sz w:val="20"/>
          <w:szCs w:val="30"/>
          <w:rtl/>
          <w:lang w:val="en-GB" w:eastAsia="zh-TW"/>
        </w:rPr>
        <w:t>و</w:t>
      </w:r>
      <w:r w:rsidRPr="00772576">
        <w:rPr>
          <w:rFonts w:cs="Traditional Arabic"/>
          <w:sz w:val="20"/>
          <w:szCs w:val="30"/>
          <w:rtl/>
          <w:lang w:val="en-GB" w:eastAsia="zh-TW"/>
        </w:rPr>
        <w:t>من شأنه أن يوفر إطاراً للتنسيق والتعاون بشأن تقديم الدعم على نطاق المنظومة لإدارة النفايات الكهربائية والإلكترونية، ويطلب إلى الأمانة، في حالة إنشاء التحالف، أن تتعاون، حسب الاقتضاء ورهناً بتوفر الموارد، مع أعضاء التحالف المنتمين إلى منظومة الأمم المتحدة؛</w:t>
      </w:r>
    </w:p>
    <w:p w14:paraId="5410CC5B" w14:textId="77777777" w:rsidR="003A354F" w:rsidRPr="0026496A" w:rsidRDefault="003A354F" w:rsidP="003A354F">
      <w:pPr>
        <w:pStyle w:val="ListParagraph"/>
        <w:numPr>
          <w:ilvl w:val="0"/>
          <w:numId w:val="1"/>
        </w:numPr>
        <w:tabs>
          <w:tab w:val="left" w:pos="1700"/>
          <w:tab w:val="left" w:pos="2409"/>
          <w:tab w:val="left" w:pos="2976"/>
          <w:tab w:val="left" w:pos="3118"/>
        </w:tabs>
        <w:bidi/>
        <w:spacing w:after="120" w:line="400" w:lineRule="exact"/>
        <w:ind w:left="1133" w:firstLine="709"/>
        <w:contextualSpacing w:val="0"/>
        <w:jc w:val="both"/>
        <w:rPr>
          <w:rFonts w:cs="Traditional Arabic"/>
          <w:sz w:val="20"/>
          <w:szCs w:val="30"/>
          <w:rtl/>
          <w:lang w:val="en-GB" w:eastAsia="zh-TW"/>
        </w:rPr>
      </w:pPr>
      <w:r w:rsidRPr="00E237B5">
        <w:rPr>
          <w:rFonts w:cs="Traditional Arabic"/>
          <w:i/>
          <w:iCs/>
          <w:sz w:val="20"/>
          <w:szCs w:val="30"/>
          <w:rtl/>
          <w:lang w:val="en-GB" w:eastAsia="zh-TW"/>
        </w:rPr>
        <w:t>يدعو</w:t>
      </w:r>
      <w:r w:rsidRPr="007D2559">
        <w:rPr>
          <w:rFonts w:cs="Traditional Arabic"/>
          <w:sz w:val="20"/>
          <w:szCs w:val="30"/>
          <w:rtl/>
          <w:lang w:val="en-GB" w:eastAsia="zh-TW"/>
        </w:rPr>
        <w:t xml:space="preserve"> المنظمات المشاركة في البرنامج المشترك بين المنظمات للإدارة السليمة للمواد الكيميائية إلى النظر في دعوة اتفاقيات بازل وروتردام واستكهولم إلى أن تصبح </w:t>
      </w:r>
      <w:r>
        <w:rPr>
          <w:rFonts w:cs="Traditional Arabic"/>
          <w:sz w:val="20"/>
          <w:szCs w:val="30"/>
          <w:rtl/>
          <w:lang w:val="en-GB" w:eastAsia="zh-TW"/>
        </w:rPr>
        <w:t>أعضاءً في البرنامج، ويطلب إلى الأمين التنفيذي أن يتخذ الخطوات اللازمة للعضوية والمشاركة في البرنامج</w:t>
      </w:r>
      <w:r w:rsidRPr="007D2559">
        <w:rPr>
          <w:rFonts w:cs="Traditional Arabic"/>
          <w:sz w:val="20"/>
          <w:szCs w:val="30"/>
          <w:rtl/>
          <w:lang w:val="en-GB" w:eastAsia="zh-TW"/>
        </w:rPr>
        <w:t>؛</w:t>
      </w:r>
    </w:p>
    <w:p w14:paraId="237C9275" w14:textId="77777777" w:rsidR="003A354F" w:rsidRPr="007D2559" w:rsidRDefault="003A354F" w:rsidP="003A354F">
      <w:pPr>
        <w:pStyle w:val="ListParagraph"/>
        <w:numPr>
          <w:ilvl w:val="0"/>
          <w:numId w:val="1"/>
        </w:numPr>
        <w:tabs>
          <w:tab w:val="left" w:pos="1700"/>
          <w:tab w:val="left" w:pos="2409"/>
          <w:tab w:val="left" w:pos="2976"/>
          <w:tab w:val="left" w:pos="3118"/>
        </w:tabs>
        <w:bidi/>
        <w:spacing w:after="120" w:line="400" w:lineRule="exact"/>
        <w:ind w:left="1133" w:firstLine="709"/>
        <w:contextualSpacing w:val="0"/>
        <w:jc w:val="both"/>
        <w:rPr>
          <w:rFonts w:cs="Traditional Arabic"/>
          <w:sz w:val="20"/>
          <w:szCs w:val="30"/>
          <w:rtl/>
          <w:lang w:val="en-GB" w:eastAsia="zh-TW"/>
        </w:rPr>
      </w:pPr>
      <w:r w:rsidRPr="00E237B5">
        <w:rPr>
          <w:rFonts w:cs="Traditional Arabic"/>
          <w:i/>
          <w:iCs/>
          <w:sz w:val="20"/>
          <w:szCs w:val="30"/>
          <w:rtl/>
          <w:lang w:val="en-GB" w:eastAsia="zh-TW"/>
        </w:rPr>
        <w:t>يطلب</w:t>
      </w:r>
      <w:r w:rsidRPr="007D2559">
        <w:rPr>
          <w:rFonts w:cs="Traditional Arabic"/>
          <w:sz w:val="20"/>
          <w:szCs w:val="30"/>
          <w:rtl/>
          <w:lang w:val="en-GB" w:eastAsia="zh-TW"/>
        </w:rPr>
        <w:t xml:space="preserve"> إلى الأمانة أن تواصل تعزيز التعاون والتنسيق مع أمانة اتفاقية ميناماتا بشأن الزئبق في المجالات البرنامجية مثل نفايات الزئبق وإدارتها السليمة بيئيا</w:t>
      </w:r>
      <w:r>
        <w:rPr>
          <w:rFonts w:cs="Traditional Arabic"/>
          <w:sz w:val="20"/>
          <w:szCs w:val="30"/>
          <w:rtl/>
          <w:lang w:val="en-GB" w:eastAsia="zh-TW"/>
        </w:rPr>
        <w:t>ً</w:t>
      </w:r>
      <w:r w:rsidRPr="007D2559">
        <w:rPr>
          <w:rFonts w:cs="Traditional Arabic"/>
          <w:sz w:val="20"/>
          <w:szCs w:val="30"/>
          <w:rtl/>
          <w:lang w:val="en-GB" w:eastAsia="zh-TW"/>
        </w:rPr>
        <w:t>، وبناء القدرات وتقديم المساعدة التقنية، بما في ذلك من خلال المراكز الإقليمية، وفي المجالات الأخرى</w:t>
      </w:r>
      <w:r>
        <w:rPr>
          <w:rFonts w:cs="Traditional Arabic"/>
          <w:sz w:val="20"/>
          <w:szCs w:val="30"/>
          <w:rtl/>
          <w:lang w:val="en-GB" w:eastAsia="zh-TW"/>
        </w:rPr>
        <w:t xml:space="preserve"> ذات الصلة و</w:t>
      </w:r>
      <w:r w:rsidRPr="007D2559">
        <w:rPr>
          <w:rFonts w:cs="Traditional Arabic"/>
          <w:sz w:val="20"/>
          <w:szCs w:val="30"/>
          <w:rtl/>
          <w:lang w:val="en-GB" w:eastAsia="zh-TW"/>
        </w:rPr>
        <w:t xml:space="preserve">ذات الاهتمام المشترك </w:t>
      </w:r>
      <w:r>
        <w:rPr>
          <w:rFonts w:cs="Traditional Arabic"/>
          <w:sz w:val="20"/>
          <w:szCs w:val="30"/>
          <w:rtl/>
          <w:lang w:val="en-GB" w:eastAsia="zh-TW"/>
        </w:rPr>
        <w:t>لاتفاقيات بازل وروتردام واستكهولم</w:t>
      </w:r>
      <w:r w:rsidRPr="007D2559">
        <w:rPr>
          <w:rFonts w:cs="Traditional Arabic"/>
          <w:sz w:val="20"/>
          <w:szCs w:val="30"/>
          <w:rtl/>
          <w:lang w:val="en-GB" w:eastAsia="zh-TW"/>
        </w:rPr>
        <w:t>؛</w:t>
      </w:r>
    </w:p>
    <w:p w14:paraId="7D0B4C58" w14:textId="77777777" w:rsidR="003A354F" w:rsidRPr="007D2559" w:rsidRDefault="003A354F" w:rsidP="003A354F">
      <w:pPr>
        <w:pStyle w:val="ListParagraph"/>
        <w:numPr>
          <w:ilvl w:val="0"/>
          <w:numId w:val="1"/>
        </w:numPr>
        <w:tabs>
          <w:tab w:val="left" w:pos="1700"/>
          <w:tab w:val="left" w:pos="2409"/>
          <w:tab w:val="left" w:pos="2976"/>
          <w:tab w:val="left" w:pos="3118"/>
        </w:tabs>
        <w:bidi/>
        <w:spacing w:after="120" w:line="400" w:lineRule="exact"/>
        <w:ind w:left="1133" w:firstLine="709"/>
        <w:contextualSpacing w:val="0"/>
        <w:jc w:val="both"/>
        <w:rPr>
          <w:rFonts w:cs="Traditional Arabic"/>
          <w:sz w:val="20"/>
          <w:szCs w:val="30"/>
          <w:rtl/>
          <w:lang w:val="en-GB" w:eastAsia="zh-TW"/>
        </w:rPr>
      </w:pPr>
      <w:r w:rsidRPr="00E237B5">
        <w:rPr>
          <w:rFonts w:cs="Traditional Arabic"/>
          <w:i/>
          <w:iCs/>
          <w:sz w:val="20"/>
          <w:szCs w:val="30"/>
          <w:rtl/>
          <w:lang w:val="en-GB" w:eastAsia="zh-TW"/>
        </w:rPr>
        <w:t>يطلب أيضاً</w:t>
      </w:r>
      <w:r w:rsidRPr="007D2559">
        <w:rPr>
          <w:rFonts w:cs="Traditional Arabic"/>
          <w:sz w:val="20"/>
          <w:szCs w:val="30"/>
          <w:rtl/>
          <w:lang w:val="en-GB" w:eastAsia="zh-TW"/>
        </w:rPr>
        <w:t xml:space="preserve"> إلى الأمانة أن تواصل تعزيز التعاون والتنسيق مع أمانة النهج الاستراتيجي، </w:t>
      </w:r>
      <w:bookmarkStart w:id="0" w:name="_GoBack"/>
      <w:bookmarkEnd w:id="0"/>
      <w:r>
        <w:rPr>
          <w:rFonts w:cs="Traditional Arabic"/>
          <w:sz w:val="20"/>
          <w:szCs w:val="30"/>
          <w:rtl/>
          <w:lang w:val="en-GB" w:eastAsia="zh-TW"/>
        </w:rPr>
        <w:t>والمنظمات</w:t>
      </w:r>
      <w:r w:rsidRPr="007D2559">
        <w:rPr>
          <w:rFonts w:cs="Traditional Arabic"/>
          <w:sz w:val="20"/>
          <w:szCs w:val="30"/>
          <w:rtl/>
          <w:lang w:val="en-GB" w:eastAsia="zh-TW"/>
        </w:rPr>
        <w:t xml:space="preserve"> الدولية الأخرى في المجالات ذات الصلة باتفاقيات بازل وروتردام واستكهولم، بما في ذلك مع المنظمات</w:t>
      </w:r>
      <w:r>
        <w:rPr>
          <w:rFonts w:cs="Traditional Arabic"/>
          <w:sz w:val="20"/>
          <w:szCs w:val="30"/>
          <w:rtl/>
          <w:lang w:val="en-GB" w:eastAsia="zh-TW"/>
        </w:rPr>
        <w:t xml:space="preserve"> والأنشطة</w:t>
      </w:r>
      <w:r w:rsidRPr="007D2559">
        <w:rPr>
          <w:rFonts w:cs="Traditional Arabic"/>
          <w:sz w:val="20"/>
          <w:szCs w:val="30"/>
          <w:rtl/>
          <w:lang w:val="en-GB" w:eastAsia="zh-TW"/>
        </w:rPr>
        <w:t xml:space="preserve"> المدرجة في تقرير الأمانة عن التعاون والتنسيق على الصعيد الدولي للفترة من 1 كانون الثاني/يناير 2017 إلى 31 كانون الأول/ديسمبر 2018؛</w:t>
      </w:r>
    </w:p>
    <w:p w14:paraId="5BCB0CBA" w14:textId="021A4DC6" w:rsidR="00F935A6" w:rsidRDefault="003A354F" w:rsidP="003A354F">
      <w:pPr>
        <w:pStyle w:val="ListParagraph"/>
        <w:numPr>
          <w:ilvl w:val="0"/>
          <w:numId w:val="1"/>
        </w:numPr>
        <w:tabs>
          <w:tab w:val="left" w:pos="1700"/>
          <w:tab w:val="left" w:pos="2409"/>
          <w:tab w:val="left" w:pos="2976"/>
          <w:tab w:val="left" w:pos="3118"/>
        </w:tabs>
        <w:bidi/>
        <w:spacing w:after="120" w:line="400" w:lineRule="exact"/>
        <w:ind w:left="1133" w:firstLine="709"/>
        <w:contextualSpacing w:val="0"/>
        <w:jc w:val="both"/>
      </w:pPr>
      <w:r w:rsidRPr="003A354F">
        <w:rPr>
          <w:rFonts w:cs="Traditional Arabic"/>
          <w:i/>
          <w:iCs/>
          <w:w w:val="98"/>
          <w:sz w:val="20"/>
          <w:szCs w:val="30"/>
          <w:rtl/>
          <w:lang w:val="en-GB" w:eastAsia="zh-TW"/>
        </w:rPr>
        <w:t>يطلب كذلك</w:t>
      </w:r>
      <w:r w:rsidRPr="003A354F">
        <w:rPr>
          <w:rFonts w:cs="Traditional Arabic"/>
          <w:w w:val="98"/>
          <w:sz w:val="20"/>
          <w:szCs w:val="30"/>
          <w:rtl/>
          <w:lang w:val="en-GB" w:eastAsia="zh-TW"/>
        </w:rPr>
        <w:t xml:space="preserve"> إلى الأمانة أن تقدم تقريراً عن تنفيذ هذا المقرر إلى مؤتمر الأطراف في اجتماعه المقبل.</w:t>
      </w:r>
    </w:p>
    <w:sectPr w:rsidR="00F935A6" w:rsidSect="003A354F">
      <w:pgSz w:w="12240" w:h="15840"/>
      <w:pgMar w:top="1350" w:right="1440" w:bottom="13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70C159" w14:textId="77777777" w:rsidR="00DF1259" w:rsidRDefault="00DF1259" w:rsidP="003A354F">
      <w:r>
        <w:separator/>
      </w:r>
    </w:p>
  </w:endnote>
  <w:endnote w:type="continuationSeparator" w:id="0">
    <w:p w14:paraId="411147C2" w14:textId="77777777" w:rsidR="00DF1259" w:rsidRDefault="00DF1259" w:rsidP="003A3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Traditional Arabic">
    <w:charset w:val="B2"/>
    <w:family w:val="roman"/>
    <w:pitch w:val="variable"/>
    <w:sig w:usb0="00002003" w:usb1="80000000" w:usb2="00000008" w:usb3="00000000" w:csb0="0000004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F18399" w14:textId="77777777" w:rsidR="00DF1259" w:rsidRDefault="00DF1259" w:rsidP="003A354F">
      <w:r>
        <w:separator/>
      </w:r>
    </w:p>
  </w:footnote>
  <w:footnote w:type="continuationSeparator" w:id="0">
    <w:p w14:paraId="4EA7EFD8" w14:textId="77777777" w:rsidR="00DF1259" w:rsidRDefault="00DF1259" w:rsidP="003A354F">
      <w:r>
        <w:continuationSeparator/>
      </w:r>
    </w:p>
  </w:footnote>
  <w:footnote w:id="1">
    <w:p w14:paraId="10FEF6BC" w14:textId="77777777" w:rsidR="003A354F" w:rsidRPr="00E50265" w:rsidRDefault="003A354F" w:rsidP="003A354F">
      <w:pPr>
        <w:pStyle w:val="FootnoteText"/>
        <w:tabs>
          <w:tab w:val="left" w:pos="4049"/>
        </w:tabs>
        <w:spacing w:after="40" w:line="300" w:lineRule="exact"/>
        <w:ind w:left="1134"/>
        <w:rPr>
          <w:rFonts w:cs="Traditional Arabic"/>
          <w:sz w:val="18"/>
          <w:szCs w:val="26"/>
          <w:rtl/>
        </w:rPr>
      </w:pPr>
      <w:r>
        <w:rPr>
          <w:rFonts w:cs="Traditional Arabic" w:hint="cs"/>
          <w:sz w:val="18"/>
          <w:szCs w:val="26"/>
          <w:rtl/>
        </w:rPr>
        <w:t>(</w:t>
      </w:r>
      <w:r w:rsidRPr="00E50265">
        <w:rPr>
          <w:rFonts w:cs="Traditional Arabic"/>
          <w:sz w:val="18"/>
          <w:szCs w:val="26"/>
          <w:rtl/>
        </w:rPr>
        <w:footnoteRef/>
      </w:r>
      <w:r>
        <w:rPr>
          <w:rFonts w:cs="Traditional Arabic" w:hint="cs"/>
          <w:sz w:val="18"/>
          <w:szCs w:val="26"/>
          <w:rtl/>
        </w:rPr>
        <w:t xml:space="preserve">) </w:t>
      </w:r>
      <w:r w:rsidRPr="00E50265">
        <w:rPr>
          <w:rFonts w:cs="Traditional Arabic"/>
          <w:sz w:val="18"/>
          <w:szCs w:val="26"/>
          <w:rtl/>
        </w:rPr>
        <w:t xml:space="preserve"> </w:t>
      </w:r>
      <w:r w:rsidRPr="00E50265">
        <w:rPr>
          <w:rFonts w:asciiTheme="majorBidi" w:hAnsiTheme="majorBidi" w:cstheme="majorBidi"/>
          <w:sz w:val="18"/>
          <w:szCs w:val="18"/>
        </w:rPr>
        <w:t>UNEP/EA.3/HLS.1</w:t>
      </w:r>
      <w:r w:rsidRPr="0026496A">
        <w:rPr>
          <w:rFonts w:cs="Traditional Arabic"/>
          <w:sz w:val="18"/>
          <w:szCs w:val="26"/>
          <w:rtl/>
        </w:rPr>
        <w:t>.</w:t>
      </w:r>
    </w:p>
  </w:footnote>
  <w:footnote w:id="2">
    <w:p w14:paraId="204C329C" w14:textId="77777777" w:rsidR="003A354F" w:rsidRPr="00153E10" w:rsidRDefault="003A354F" w:rsidP="003A354F">
      <w:pPr>
        <w:pStyle w:val="FootnoteText"/>
        <w:tabs>
          <w:tab w:val="left" w:pos="4049"/>
        </w:tabs>
        <w:spacing w:after="40" w:line="300" w:lineRule="exact"/>
        <w:ind w:left="1134"/>
        <w:rPr>
          <w:rFonts w:cs="Traditional Arabic"/>
          <w:sz w:val="18"/>
          <w:szCs w:val="26"/>
          <w:rtl/>
        </w:rPr>
      </w:pPr>
      <w:r>
        <w:rPr>
          <w:rFonts w:cs="Traditional Arabic" w:hint="cs"/>
          <w:sz w:val="18"/>
          <w:szCs w:val="26"/>
          <w:rtl/>
        </w:rPr>
        <w:t>(</w:t>
      </w:r>
      <w:r w:rsidRPr="00153E10">
        <w:rPr>
          <w:rFonts w:cs="Traditional Arabic"/>
          <w:sz w:val="18"/>
          <w:szCs w:val="26"/>
          <w:rtl/>
        </w:rPr>
        <w:footnoteRef/>
      </w:r>
      <w:r>
        <w:rPr>
          <w:rFonts w:cs="Traditional Arabic" w:hint="cs"/>
          <w:sz w:val="18"/>
          <w:szCs w:val="26"/>
          <w:rtl/>
        </w:rPr>
        <w:t xml:space="preserve">) </w:t>
      </w:r>
      <w:r w:rsidRPr="00153E10">
        <w:rPr>
          <w:rFonts w:cs="Traditional Arabic"/>
          <w:sz w:val="18"/>
          <w:szCs w:val="26"/>
          <w:rtl/>
        </w:rPr>
        <w:t xml:space="preserve"> </w:t>
      </w:r>
      <w:r>
        <w:rPr>
          <w:rFonts w:cs="Traditional Arabic" w:hint="cs"/>
          <w:sz w:val="18"/>
          <w:szCs w:val="26"/>
          <w:rtl/>
        </w:rPr>
        <w:t>قرار الجمعية العامة 70/1.</w:t>
      </w:r>
    </w:p>
  </w:footnote>
  <w:footnote w:id="3">
    <w:p w14:paraId="263E59DF" w14:textId="77777777" w:rsidR="003A354F" w:rsidRPr="0026496A" w:rsidRDefault="003A354F" w:rsidP="003A354F">
      <w:pPr>
        <w:pStyle w:val="FootnoteText"/>
        <w:tabs>
          <w:tab w:val="left" w:pos="4049"/>
        </w:tabs>
        <w:spacing w:after="40" w:line="300" w:lineRule="exact"/>
        <w:ind w:left="1134"/>
        <w:textDirection w:val="tbRlV"/>
        <w:rPr>
          <w:rFonts w:cs="Traditional Arabic"/>
          <w:sz w:val="18"/>
          <w:szCs w:val="26"/>
          <w:rtl/>
        </w:rPr>
      </w:pPr>
      <w:r>
        <w:rPr>
          <w:rFonts w:cs="Traditional Arabic" w:hint="cs"/>
          <w:sz w:val="18"/>
          <w:szCs w:val="26"/>
          <w:rtl/>
        </w:rPr>
        <w:t>(</w:t>
      </w:r>
      <w:r w:rsidRPr="0026496A">
        <w:rPr>
          <w:rFonts w:cs="Traditional Arabic"/>
          <w:szCs w:val="26"/>
          <w:rtl/>
        </w:rPr>
        <w:footnoteRef/>
      </w:r>
      <w:r>
        <w:rPr>
          <w:rFonts w:cs="Traditional Arabic" w:hint="cs"/>
          <w:sz w:val="18"/>
          <w:szCs w:val="26"/>
          <w:rtl/>
        </w:rPr>
        <w:t xml:space="preserve">) </w:t>
      </w:r>
      <w:r w:rsidRPr="0026496A">
        <w:rPr>
          <w:rFonts w:cs="Traditional Arabic"/>
          <w:sz w:val="18"/>
          <w:szCs w:val="26"/>
          <w:rtl/>
        </w:rPr>
        <w:t xml:space="preserve"> </w:t>
      </w:r>
      <w:r w:rsidRPr="0026496A">
        <w:rPr>
          <w:rFonts w:cs="Traditional Arabic"/>
          <w:sz w:val="18"/>
          <w:szCs w:val="26"/>
        </w:rPr>
        <w:t>UNEP/CHW.14/INF/36–UNEP/FAO/RC/COP.9/INF/29–UNEP/POPS/COP.9/INF/38</w:t>
      </w:r>
      <w:r w:rsidRPr="0026496A">
        <w:rPr>
          <w:rFonts w:cs="Traditional Arabic"/>
          <w:sz w:val="18"/>
          <w:szCs w:val="26"/>
          <w:rtl/>
        </w:rPr>
        <w:t>.</w:t>
      </w:r>
    </w:p>
  </w:footnote>
  <w:footnote w:id="4">
    <w:p w14:paraId="410A99A0" w14:textId="77777777" w:rsidR="003A354F" w:rsidRPr="0026496A" w:rsidRDefault="003A354F" w:rsidP="003A354F">
      <w:pPr>
        <w:pStyle w:val="FootnoteText"/>
        <w:tabs>
          <w:tab w:val="left" w:pos="4049"/>
        </w:tabs>
        <w:spacing w:after="40" w:line="300" w:lineRule="exact"/>
        <w:ind w:left="1134"/>
        <w:textDirection w:val="tbRlV"/>
        <w:rPr>
          <w:rFonts w:cs="Traditional Arabic"/>
          <w:sz w:val="18"/>
          <w:szCs w:val="26"/>
          <w:rtl/>
        </w:rPr>
      </w:pPr>
      <w:r>
        <w:rPr>
          <w:rFonts w:cs="Traditional Arabic" w:hint="cs"/>
          <w:sz w:val="18"/>
          <w:szCs w:val="26"/>
          <w:rtl/>
        </w:rPr>
        <w:t>(</w:t>
      </w:r>
      <w:r w:rsidRPr="0026496A">
        <w:rPr>
          <w:rFonts w:cs="Traditional Arabic"/>
          <w:szCs w:val="26"/>
          <w:rtl/>
        </w:rPr>
        <w:footnoteRef/>
      </w:r>
      <w:r>
        <w:rPr>
          <w:rFonts w:cs="Traditional Arabic" w:hint="cs"/>
          <w:sz w:val="18"/>
          <w:szCs w:val="26"/>
          <w:rtl/>
        </w:rPr>
        <w:t xml:space="preserve">) </w:t>
      </w:r>
      <w:r w:rsidRPr="0026496A">
        <w:rPr>
          <w:rFonts w:cs="Traditional Arabic"/>
          <w:sz w:val="18"/>
          <w:szCs w:val="26"/>
          <w:rtl/>
        </w:rPr>
        <w:t xml:space="preserve"> </w:t>
      </w:r>
      <w:r w:rsidRPr="0026496A">
        <w:rPr>
          <w:rFonts w:cs="Traditional Arabic"/>
          <w:sz w:val="18"/>
          <w:szCs w:val="26"/>
        </w:rPr>
        <w:t>UNEP/CHW.14/INF/54–UNEP/FAO/RC/COP.9/INF/44–UNEP/POPS/COP.9/INF/57</w:t>
      </w:r>
      <w:r w:rsidRPr="0026496A">
        <w:rPr>
          <w:rFonts w:cs="Traditional Arabic"/>
          <w:sz w:val="18"/>
          <w:szCs w:val="26"/>
          <w:rtl/>
        </w:rPr>
        <w:t>.</w:t>
      </w:r>
    </w:p>
  </w:footnote>
  <w:footnote w:id="5">
    <w:p w14:paraId="4EB47241" w14:textId="77777777" w:rsidR="003A354F" w:rsidRPr="0026496A" w:rsidRDefault="003A354F" w:rsidP="003A354F">
      <w:pPr>
        <w:pStyle w:val="FootnoteText"/>
        <w:tabs>
          <w:tab w:val="left" w:pos="4049"/>
        </w:tabs>
        <w:spacing w:after="40" w:line="300" w:lineRule="exact"/>
        <w:ind w:left="1134"/>
        <w:textDirection w:val="tbRlV"/>
        <w:rPr>
          <w:rFonts w:cs="Traditional Arabic"/>
          <w:sz w:val="18"/>
          <w:szCs w:val="26"/>
          <w:rtl/>
        </w:rPr>
      </w:pPr>
      <w:r>
        <w:rPr>
          <w:rFonts w:cs="Traditional Arabic" w:hint="cs"/>
          <w:sz w:val="18"/>
          <w:szCs w:val="26"/>
          <w:rtl/>
        </w:rPr>
        <w:t>(</w:t>
      </w:r>
      <w:r w:rsidRPr="0026496A">
        <w:rPr>
          <w:rFonts w:cs="Traditional Arabic"/>
          <w:szCs w:val="26"/>
          <w:rtl/>
        </w:rPr>
        <w:footnoteRef/>
      </w:r>
      <w:r>
        <w:rPr>
          <w:rFonts w:cs="Traditional Arabic" w:hint="cs"/>
          <w:sz w:val="18"/>
          <w:szCs w:val="26"/>
          <w:rtl/>
        </w:rPr>
        <w:t xml:space="preserve">) </w:t>
      </w:r>
      <w:r w:rsidRPr="0026496A">
        <w:rPr>
          <w:rFonts w:cs="Traditional Arabic"/>
          <w:sz w:val="18"/>
          <w:szCs w:val="26"/>
          <w:rtl/>
        </w:rPr>
        <w:t xml:space="preserve"> </w:t>
      </w:r>
      <w:r w:rsidRPr="0026496A">
        <w:rPr>
          <w:rFonts w:cs="Traditional Arabic"/>
          <w:sz w:val="18"/>
          <w:szCs w:val="26"/>
        </w:rPr>
        <w:t>UNEP/CHW.14/INF/37–UNEP/FAO/RC/COP.9/INF/30–UNEP/POPS/COP.9/INF/39</w:t>
      </w:r>
      <w:r w:rsidRPr="0026496A">
        <w:rPr>
          <w:rFonts w:cs="Traditional Arabic"/>
          <w:sz w:val="18"/>
          <w:szCs w:val="26"/>
          <w:rt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BB0E5D"/>
    <w:multiLevelType w:val="hybridMultilevel"/>
    <w:tmpl w:val="FAE263C2"/>
    <w:lvl w:ilvl="0" w:tplc="83B2B22C">
      <w:start w:val="1"/>
      <w:numFmt w:val="decimal"/>
      <w:lvlText w:val="%1-"/>
      <w:lvlJc w:val="left"/>
      <w:pPr>
        <w:ind w:left="2610" w:hanging="360"/>
      </w:pPr>
      <w:rPr>
        <w:rFonts w:hint="default"/>
        <w:i w:val="0"/>
        <w:iCs w:val="0"/>
        <w:sz w:val="30"/>
        <w:szCs w:val="30"/>
      </w:rPr>
    </w:lvl>
    <w:lvl w:ilvl="1" w:tplc="20000019" w:tentative="1">
      <w:start w:val="1"/>
      <w:numFmt w:val="lowerLetter"/>
      <w:lvlText w:val="%2."/>
      <w:lvlJc w:val="left"/>
      <w:pPr>
        <w:ind w:left="3282" w:hanging="360"/>
      </w:pPr>
    </w:lvl>
    <w:lvl w:ilvl="2" w:tplc="2000001B" w:tentative="1">
      <w:start w:val="1"/>
      <w:numFmt w:val="lowerRoman"/>
      <w:lvlText w:val="%3."/>
      <w:lvlJc w:val="right"/>
      <w:pPr>
        <w:ind w:left="4002" w:hanging="180"/>
      </w:pPr>
    </w:lvl>
    <w:lvl w:ilvl="3" w:tplc="2000000F" w:tentative="1">
      <w:start w:val="1"/>
      <w:numFmt w:val="decimal"/>
      <w:lvlText w:val="%4."/>
      <w:lvlJc w:val="left"/>
      <w:pPr>
        <w:ind w:left="4722" w:hanging="360"/>
      </w:pPr>
    </w:lvl>
    <w:lvl w:ilvl="4" w:tplc="20000019" w:tentative="1">
      <w:start w:val="1"/>
      <w:numFmt w:val="lowerLetter"/>
      <w:lvlText w:val="%5."/>
      <w:lvlJc w:val="left"/>
      <w:pPr>
        <w:ind w:left="5442" w:hanging="360"/>
      </w:pPr>
    </w:lvl>
    <w:lvl w:ilvl="5" w:tplc="2000001B" w:tentative="1">
      <w:start w:val="1"/>
      <w:numFmt w:val="lowerRoman"/>
      <w:lvlText w:val="%6."/>
      <w:lvlJc w:val="right"/>
      <w:pPr>
        <w:ind w:left="6162" w:hanging="180"/>
      </w:pPr>
    </w:lvl>
    <w:lvl w:ilvl="6" w:tplc="2000000F" w:tentative="1">
      <w:start w:val="1"/>
      <w:numFmt w:val="decimal"/>
      <w:lvlText w:val="%7."/>
      <w:lvlJc w:val="left"/>
      <w:pPr>
        <w:ind w:left="6882" w:hanging="360"/>
      </w:pPr>
    </w:lvl>
    <w:lvl w:ilvl="7" w:tplc="20000019" w:tentative="1">
      <w:start w:val="1"/>
      <w:numFmt w:val="lowerLetter"/>
      <w:lvlText w:val="%8."/>
      <w:lvlJc w:val="left"/>
      <w:pPr>
        <w:ind w:left="7602" w:hanging="360"/>
      </w:pPr>
    </w:lvl>
    <w:lvl w:ilvl="8" w:tplc="2000001B" w:tentative="1">
      <w:start w:val="1"/>
      <w:numFmt w:val="lowerRoman"/>
      <w:lvlText w:val="%9."/>
      <w:lvlJc w:val="right"/>
      <w:pPr>
        <w:ind w:left="832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54F"/>
    <w:rsid w:val="003A354F"/>
    <w:rsid w:val="00DF1259"/>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4DF09"/>
  <w15:chartTrackingRefBased/>
  <w15:docId w15:val="{51FF42AE-B920-453C-83B4-549D97885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A354F"/>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3A354F"/>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rsid w:val="003A354F"/>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E Fußnotenzeichen,fr"/>
    <w:link w:val="BVIfnrCharCharCharChar"/>
    <w:uiPriority w:val="99"/>
    <w:qFormat/>
    <w:rsid w:val="003A354F"/>
    <w:rPr>
      <w:vertAlign w:val="superscript"/>
    </w:rPr>
  </w:style>
  <w:style w:type="paragraph" w:styleId="ListParagraph">
    <w:name w:val="List Paragraph"/>
    <w:basedOn w:val="Normal"/>
    <w:uiPriority w:val="34"/>
    <w:qFormat/>
    <w:rsid w:val="003A354F"/>
    <w:pPr>
      <w:bidi w:val="0"/>
      <w:spacing w:after="200" w:line="276" w:lineRule="auto"/>
      <w:ind w:left="720"/>
      <w:contextualSpacing/>
    </w:pPr>
    <w:rPr>
      <w:rFonts w:ascii="Calibri" w:eastAsia="Calibri" w:hAnsi="Calibri" w:cs="Arial"/>
      <w:sz w:val="22"/>
      <w:szCs w:val="22"/>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rsid w:val="003A354F"/>
    <w:pPr>
      <w:bidi w:val="0"/>
      <w:spacing w:before="120" w:after="160" w:line="240" w:lineRule="exact"/>
    </w:pPr>
    <w:rPr>
      <w:rFonts w:asciiTheme="minorHAnsi" w:eastAsiaTheme="minorEastAsia" w:hAnsiTheme="minorHAnsi" w:cstheme="minorBidi"/>
      <w:sz w:val="22"/>
      <w:szCs w:val="22"/>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684</Words>
  <Characters>3901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2020-01-30T09:40:00Z</dcterms:created>
  <dcterms:modified xsi:type="dcterms:W3CDTF">2020-01-30T09:42:00Z</dcterms:modified>
</cp:coreProperties>
</file>