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E1E5FB" w14:textId="77777777" w:rsidR="00CC154E" w:rsidRPr="002026B0" w:rsidRDefault="00CC154E" w:rsidP="00CC154E">
      <w:pPr>
        <w:tabs>
          <w:tab w:val="left" w:pos="2409"/>
        </w:tabs>
        <w:spacing w:after="120" w:line="400" w:lineRule="exact"/>
        <w:ind w:left="1128"/>
        <w:jc w:val="both"/>
        <w:rPr>
          <w:rFonts w:ascii="Traditional Arabic" w:hAnsi="Traditional Arabic" w:cs="Traditional Arabic"/>
          <w:b/>
          <w:bCs/>
          <w:w w:val="94"/>
          <w:sz w:val="32"/>
          <w:szCs w:val="32"/>
          <w:lang w:val="en-GB" w:eastAsia="zh-TW"/>
        </w:rPr>
      </w:pPr>
      <w:r w:rsidRPr="002026B0">
        <w:rPr>
          <w:rFonts w:ascii="Traditional Arabic" w:hAnsi="Traditional Arabic" w:cs="Traditional Arabic"/>
          <w:b/>
          <w:bCs/>
          <w:w w:val="94"/>
          <w:sz w:val="32"/>
          <w:szCs w:val="32"/>
          <w:rtl/>
          <w:lang w:val="en-GB" w:eastAsia="zh-TW"/>
        </w:rPr>
        <w:t>ا ب-14/24: تحقيق التآزر في مكافحة التجارة والاتجار غير القانونيين في المواد الكيميائية والنفايات الخطرة</w:t>
      </w:r>
    </w:p>
    <w:p w14:paraId="2640B882" w14:textId="77777777" w:rsidR="00CC154E" w:rsidRPr="00CE28A5" w:rsidRDefault="00CC154E" w:rsidP="00CC154E">
      <w:pPr>
        <w:spacing w:after="120" w:line="400" w:lineRule="exact"/>
        <w:ind w:left="1133" w:firstLine="709"/>
        <w:jc w:val="both"/>
        <w:textDirection w:val="tbRlV"/>
        <w:rPr>
          <w:rFonts w:cs="Traditional Arabic"/>
          <w:sz w:val="20"/>
          <w:szCs w:val="30"/>
          <w:rtl/>
          <w:lang w:val="en-GB" w:eastAsia="zh-TW"/>
        </w:rPr>
      </w:pPr>
      <w:r w:rsidRPr="00C0330B">
        <w:rPr>
          <w:rFonts w:cs="Traditional Arabic"/>
          <w:i/>
          <w:iCs/>
          <w:sz w:val="20"/>
          <w:szCs w:val="30"/>
          <w:rtl/>
          <w:lang w:val="en-GB" w:eastAsia="zh-TW"/>
        </w:rPr>
        <w:t>إن مؤتمر الأطراف،</w:t>
      </w:r>
    </w:p>
    <w:p w14:paraId="1BF32367" w14:textId="77777777" w:rsidR="00CC154E" w:rsidRPr="00C0330B" w:rsidRDefault="00CC154E" w:rsidP="00CC154E">
      <w:pPr>
        <w:tabs>
          <w:tab w:val="left" w:pos="2976"/>
        </w:tabs>
        <w:spacing w:after="120" w:line="400" w:lineRule="exact"/>
        <w:ind w:left="1133" w:firstLine="709"/>
        <w:jc w:val="both"/>
        <w:textDirection w:val="tbRlV"/>
        <w:rPr>
          <w:rFonts w:cs="Traditional Arabic"/>
          <w:sz w:val="20"/>
          <w:szCs w:val="30"/>
          <w:rtl/>
          <w:lang w:val="en-GB" w:eastAsia="zh-TW"/>
        </w:rPr>
      </w:pPr>
      <w:r w:rsidRPr="00C6424A">
        <w:rPr>
          <w:rFonts w:cs="Traditional Arabic"/>
          <w:i/>
          <w:iCs/>
          <w:sz w:val="20"/>
          <w:szCs w:val="30"/>
          <w:rtl/>
          <w:lang w:val="en-GB" w:eastAsia="zh-TW"/>
        </w:rPr>
        <w:t>إذ يشير</w:t>
      </w:r>
      <w:r w:rsidRPr="00C0330B">
        <w:rPr>
          <w:rFonts w:cs="Traditional Arabic"/>
          <w:sz w:val="20"/>
          <w:szCs w:val="30"/>
          <w:rtl/>
          <w:lang w:val="en-GB" w:eastAsia="zh-TW"/>
        </w:rPr>
        <w:t xml:space="preserve"> إلى المقررات ا ب-13/21 وا ر-8/14 وا س-8/24 بشأن تحقيق التآزر في مكافحة التجارة والاتجار غير القانونيين في المواد الكيميائية والنفايات الخطرة،</w:t>
      </w:r>
    </w:p>
    <w:p w14:paraId="59A1E788" w14:textId="77777777" w:rsidR="00CC154E" w:rsidRPr="00C0330B" w:rsidRDefault="00CC154E" w:rsidP="00CC154E">
      <w:pPr>
        <w:numPr>
          <w:ilvl w:val="0"/>
          <w:numId w:val="1"/>
        </w:numPr>
        <w:tabs>
          <w:tab w:val="clear" w:pos="3215"/>
          <w:tab w:val="left" w:pos="2409"/>
        </w:tabs>
        <w:spacing w:after="120" w:line="400" w:lineRule="exact"/>
        <w:ind w:left="1133" w:firstLine="709"/>
        <w:jc w:val="both"/>
        <w:textDirection w:val="tbRlV"/>
        <w:rPr>
          <w:rFonts w:cs="Traditional Arabic"/>
          <w:sz w:val="20"/>
          <w:szCs w:val="30"/>
          <w:rtl/>
          <w:lang w:val="en-GB" w:eastAsia="zh-TW"/>
        </w:rPr>
      </w:pPr>
      <w:r w:rsidRPr="00C6424A">
        <w:rPr>
          <w:rFonts w:cs="Traditional Arabic"/>
          <w:i/>
          <w:iCs/>
          <w:sz w:val="20"/>
          <w:szCs w:val="30"/>
          <w:rtl/>
          <w:lang w:val="en-GB" w:eastAsia="zh-TW"/>
        </w:rPr>
        <w:t>يحيط علماً</w:t>
      </w:r>
      <w:r w:rsidRPr="00C0330B">
        <w:rPr>
          <w:rFonts w:cs="Traditional Arabic"/>
          <w:sz w:val="20"/>
          <w:szCs w:val="30"/>
          <w:rtl/>
          <w:lang w:val="en-GB" w:eastAsia="zh-TW"/>
        </w:rPr>
        <w:t xml:space="preserve"> بالمعلومات التي قدمتها الأطراف عن تجربتها في إنشاء آليات للتنسيق والدروس المستفادة من </w:t>
      </w:r>
      <w:r>
        <w:rPr>
          <w:rFonts w:cs="Traditional Arabic"/>
          <w:sz w:val="20"/>
          <w:szCs w:val="30"/>
          <w:rtl/>
          <w:lang w:val="en-GB" w:eastAsia="zh-TW"/>
        </w:rPr>
        <w:t>تلك التجارب</w:t>
      </w:r>
      <w:r w:rsidRPr="00C0330B">
        <w:rPr>
          <w:rFonts w:cs="Traditional Arabic"/>
          <w:sz w:val="20"/>
          <w:szCs w:val="30"/>
          <w:rtl/>
          <w:lang w:val="en-GB" w:eastAsia="zh-TW"/>
        </w:rPr>
        <w:t>، وعن حالات التجارة  غير القانونية بالمواد الكيميائية والنفايات الخطرة</w:t>
      </w:r>
      <w:r>
        <w:rPr>
          <w:rFonts w:cs="Traditional Arabic"/>
          <w:sz w:val="20"/>
          <w:szCs w:val="30"/>
          <w:vertAlign w:val="superscript"/>
          <w:rtl/>
          <w:lang w:val="en-GB" w:eastAsia="zh-TW"/>
        </w:rPr>
        <w:t>(</w:t>
      </w:r>
      <w:r w:rsidRPr="00C0330B">
        <w:rPr>
          <w:rFonts w:cs="Traditional Arabic"/>
          <w:sz w:val="20"/>
          <w:szCs w:val="30"/>
          <w:vertAlign w:val="superscript"/>
          <w:rtl/>
          <w:lang w:val="en-GB" w:eastAsia="zh-TW"/>
        </w:rPr>
        <w:footnoteReference w:id="1"/>
      </w:r>
      <w:r>
        <w:rPr>
          <w:rFonts w:cs="Traditional Arabic"/>
          <w:sz w:val="20"/>
          <w:szCs w:val="30"/>
          <w:vertAlign w:val="superscript"/>
          <w:rtl/>
          <w:lang w:val="en-GB" w:eastAsia="zh-TW"/>
        </w:rPr>
        <w:t>)</w:t>
      </w:r>
      <w:r w:rsidRPr="00C0330B">
        <w:rPr>
          <w:rFonts w:cs="Traditional Arabic"/>
          <w:sz w:val="20"/>
          <w:szCs w:val="30"/>
          <w:rtl/>
          <w:lang w:val="en-GB" w:eastAsia="zh-TW"/>
        </w:rPr>
        <w:t>؛</w:t>
      </w:r>
    </w:p>
    <w:p w14:paraId="333C2054" w14:textId="77777777" w:rsidR="00CC154E" w:rsidRPr="00C0330B" w:rsidRDefault="00CC154E" w:rsidP="00CC154E">
      <w:pPr>
        <w:numPr>
          <w:ilvl w:val="0"/>
          <w:numId w:val="1"/>
        </w:numPr>
        <w:tabs>
          <w:tab w:val="left" w:pos="2409"/>
          <w:tab w:val="num" w:pos="3401"/>
        </w:tabs>
        <w:spacing w:after="120" w:line="400" w:lineRule="exact"/>
        <w:ind w:left="1133" w:firstLine="709"/>
        <w:jc w:val="both"/>
        <w:textDirection w:val="tbRlV"/>
        <w:rPr>
          <w:rFonts w:cs="Traditional Arabic"/>
          <w:sz w:val="20"/>
          <w:szCs w:val="30"/>
          <w:rtl/>
          <w:lang w:val="en-GB" w:eastAsia="zh-TW"/>
        </w:rPr>
      </w:pPr>
      <w:r w:rsidRPr="00C6424A">
        <w:rPr>
          <w:rFonts w:cs="Traditional Arabic"/>
          <w:i/>
          <w:iCs/>
          <w:sz w:val="20"/>
          <w:szCs w:val="30"/>
          <w:rtl/>
          <w:lang w:val="en-GB" w:eastAsia="zh-TW"/>
        </w:rPr>
        <w:t>يشجع</w:t>
      </w:r>
      <w:r w:rsidRPr="00C0330B">
        <w:rPr>
          <w:rFonts w:cs="Traditional Arabic"/>
          <w:sz w:val="20"/>
          <w:szCs w:val="30"/>
          <w:rtl/>
          <w:lang w:val="en-GB" w:eastAsia="zh-TW"/>
        </w:rPr>
        <w:t xml:space="preserve"> الأطراف التي لم تفعل ذلك بعد على </w:t>
      </w:r>
      <w:r>
        <w:rPr>
          <w:rFonts w:cs="Traditional Arabic"/>
          <w:sz w:val="20"/>
          <w:szCs w:val="30"/>
          <w:rtl/>
          <w:lang w:val="en-GB" w:eastAsia="zh-TW"/>
        </w:rPr>
        <w:t>أن تنشئ على الصعيد الوطني</w:t>
      </w:r>
      <w:r w:rsidRPr="00C0330B">
        <w:rPr>
          <w:rFonts w:cs="Traditional Arabic"/>
          <w:sz w:val="20"/>
          <w:szCs w:val="30"/>
          <w:rtl/>
          <w:lang w:val="en-GB" w:eastAsia="zh-TW"/>
        </w:rPr>
        <w:t xml:space="preserve"> آليات للتنسيق </w:t>
      </w:r>
      <w:r>
        <w:rPr>
          <w:rFonts w:cs="Traditional Arabic"/>
          <w:sz w:val="20"/>
          <w:szCs w:val="30"/>
          <w:rtl/>
          <w:lang w:val="en-GB" w:eastAsia="zh-TW"/>
        </w:rPr>
        <w:t>ب</w:t>
      </w:r>
      <w:r w:rsidRPr="00C0330B">
        <w:rPr>
          <w:rFonts w:cs="Traditional Arabic"/>
          <w:sz w:val="20"/>
          <w:szCs w:val="30"/>
          <w:rtl/>
          <w:lang w:val="en-GB" w:eastAsia="zh-TW"/>
        </w:rPr>
        <w:t>غية تيسير تبادل المعلومات بين السلطات المختصة المسؤولة عن تنفيذ وإعمال أحكام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الرامية إلى مراقبة تصدير واستيراد المواد الكيميائية والنفايات التي تشملها الاتفاقيات، وتشجع الأطراف على أن تقدم إلى الأمانة معلومات عن حالات الاتجار والتجارة غير القانونيين في المواد الكيميائية والنفايات التي تشملها اتفاقيات بازل وروتردام واستكهولم</w:t>
      </w:r>
      <w:r>
        <w:rPr>
          <w:rFonts w:cs="Traditional Arabic"/>
          <w:sz w:val="20"/>
          <w:szCs w:val="30"/>
          <w:rtl/>
          <w:lang w:val="en-GB" w:eastAsia="zh-TW"/>
        </w:rPr>
        <w:t>، عندما يكون تقديم هذه المعلومات مناسباً في إطار إجراءات الإبلاغ القائمة</w:t>
      </w:r>
      <w:r w:rsidRPr="00C0330B">
        <w:rPr>
          <w:rFonts w:cs="Traditional Arabic"/>
          <w:sz w:val="20"/>
          <w:szCs w:val="30"/>
          <w:rtl/>
          <w:lang w:val="en-GB" w:eastAsia="zh-TW"/>
        </w:rPr>
        <w:t>؛</w:t>
      </w:r>
    </w:p>
    <w:p w14:paraId="24B0FAC7" w14:textId="77777777" w:rsidR="00CC154E" w:rsidRPr="00C0330B" w:rsidRDefault="00CC154E" w:rsidP="00CC154E">
      <w:pPr>
        <w:numPr>
          <w:ilvl w:val="0"/>
          <w:numId w:val="1"/>
        </w:numPr>
        <w:tabs>
          <w:tab w:val="left" w:pos="2409"/>
          <w:tab w:val="num" w:pos="3401"/>
        </w:tabs>
        <w:spacing w:after="120" w:line="400" w:lineRule="exact"/>
        <w:ind w:left="1133" w:firstLine="709"/>
        <w:jc w:val="both"/>
        <w:textDirection w:val="tbRlV"/>
        <w:rPr>
          <w:rFonts w:cs="Traditional Arabic"/>
          <w:sz w:val="20"/>
          <w:szCs w:val="30"/>
          <w:rtl/>
          <w:lang w:val="en-GB" w:eastAsia="zh-TW"/>
        </w:rPr>
      </w:pPr>
      <w:r w:rsidRPr="00C6424A">
        <w:rPr>
          <w:rFonts w:cs="Traditional Arabic"/>
          <w:i/>
          <w:iCs/>
          <w:sz w:val="20"/>
          <w:szCs w:val="30"/>
          <w:rtl/>
          <w:lang w:val="en-GB" w:eastAsia="zh-TW"/>
        </w:rPr>
        <w:t>يحيط علماً</w:t>
      </w:r>
      <w:r w:rsidRPr="00C0330B">
        <w:rPr>
          <w:rFonts w:cs="Traditional Arabic"/>
          <w:sz w:val="20"/>
          <w:szCs w:val="30"/>
          <w:rtl/>
          <w:lang w:val="en-GB" w:eastAsia="zh-TW"/>
        </w:rPr>
        <w:t xml:space="preserve"> بالتقرير الذي أعدته الأمانة، بما في ذلك التوصيات بشأن المجالات الإضافية </w:t>
      </w:r>
      <w:r>
        <w:rPr>
          <w:rFonts w:cs="Traditional Arabic"/>
          <w:sz w:val="20"/>
          <w:szCs w:val="30"/>
          <w:rtl/>
          <w:lang w:val="en-GB" w:eastAsia="zh-TW"/>
        </w:rPr>
        <w:t>التي يمكن تحسين</w:t>
      </w:r>
      <w:r w:rsidRPr="00C0330B">
        <w:rPr>
          <w:rFonts w:cs="Traditional Arabic"/>
          <w:sz w:val="20"/>
          <w:szCs w:val="30"/>
          <w:rtl/>
          <w:lang w:val="en-GB" w:eastAsia="zh-TW"/>
        </w:rPr>
        <w:t xml:space="preserve"> الوضوح القانوني</w:t>
      </w:r>
      <w:r>
        <w:rPr>
          <w:rFonts w:cs="Traditional Arabic"/>
          <w:sz w:val="20"/>
          <w:szCs w:val="30"/>
          <w:rtl/>
          <w:lang w:val="en-GB" w:eastAsia="zh-TW"/>
        </w:rPr>
        <w:t xml:space="preserve"> فيها</w:t>
      </w:r>
      <w:r>
        <w:rPr>
          <w:rFonts w:cs="Traditional Arabic"/>
          <w:sz w:val="20"/>
          <w:szCs w:val="30"/>
          <w:vertAlign w:val="superscript"/>
          <w:rtl/>
          <w:lang w:val="en-GB" w:eastAsia="zh-TW"/>
        </w:rPr>
        <w:t>(</w:t>
      </w:r>
      <w:r w:rsidRPr="00C0330B">
        <w:rPr>
          <w:rFonts w:cs="Traditional Arabic"/>
          <w:sz w:val="20"/>
          <w:szCs w:val="30"/>
          <w:vertAlign w:val="superscript"/>
          <w:rtl/>
          <w:lang w:val="en-GB" w:eastAsia="zh-TW"/>
        </w:rPr>
        <w:footnoteReference w:id="2"/>
      </w:r>
      <w:r>
        <w:rPr>
          <w:rFonts w:cs="Traditional Arabic"/>
          <w:sz w:val="20"/>
          <w:szCs w:val="30"/>
          <w:vertAlign w:val="superscript"/>
          <w:rtl/>
          <w:lang w:val="en-GB" w:eastAsia="zh-TW"/>
        </w:rPr>
        <w:t>)</w:t>
      </w:r>
      <w:r w:rsidRPr="00C0330B">
        <w:rPr>
          <w:rFonts w:cs="Traditional Arabic"/>
          <w:sz w:val="20"/>
          <w:szCs w:val="30"/>
          <w:rtl/>
          <w:lang w:val="en-GB" w:eastAsia="zh-TW"/>
        </w:rPr>
        <w:t>؛</w:t>
      </w:r>
    </w:p>
    <w:p w14:paraId="349169FA" w14:textId="77777777" w:rsidR="00CC154E" w:rsidRPr="008E56CB" w:rsidRDefault="00CC154E" w:rsidP="00CC154E">
      <w:pPr>
        <w:numPr>
          <w:ilvl w:val="0"/>
          <w:numId w:val="1"/>
        </w:numPr>
        <w:tabs>
          <w:tab w:val="left" w:pos="2409"/>
          <w:tab w:val="num" w:pos="3401"/>
        </w:tabs>
        <w:spacing w:after="120" w:line="400" w:lineRule="exact"/>
        <w:ind w:left="1133" w:firstLine="709"/>
        <w:jc w:val="both"/>
        <w:textDirection w:val="tbRlV"/>
        <w:rPr>
          <w:rFonts w:cs="Traditional Arabic"/>
          <w:w w:val="99"/>
          <w:sz w:val="20"/>
          <w:szCs w:val="30"/>
          <w:rtl/>
          <w:lang w:val="en-GB" w:eastAsia="zh-TW"/>
        </w:rPr>
      </w:pPr>
      <w:r w:rsidRPr="008E56CB">
        <w:rPr>
          <w:rFonts w:cs="Traditional Arabic"/>
          <w:i/>
          <w:iCs/>
          <w:w w:val="99"/>
          <w:sz w:val="20"/>
          <w:szCs w:val="30"/>
          <w:rtl/>
          <w:lang w:val="en-GB" w:eastAsia="zh-TW"/>
        </w:rPr>
        <w:t>يحيط علماً أيضاً</w:t>
      </w:r>
      <w:r w:rsidRPr="008E56CB">
        <w:rPr>
          <w:rFonts w:cs="Traditional Arabic"/>
          <w:w w:val="99"/>
          <w:sz w:val="20"/>
          <w:szCs w:val="30"/>
          <w:rtl/>
          <w:lang w:val="en-GB" w:eastAsia="zh-TW"/>
        </w:rPr>
        <w:t xml:space="preserve"> بالمعلومات التي قدمتها المنظمات الأعضاء في البرنامج المشترك بين المنظمات للإدارة السليمة للمواد الكيميائية، والمراكز الإقليمية لاتفاقية بازل واتفاقية استكهولم، والمنظمة الدولية للشرطة الجنائية، ومنظمة الجمارك العالمية، وأمانة بروتوكول مونتريال بشأن المواد المستنفدة لطبقة الأوزون، وشبكات الإنفاذ العالمية والإقليمية المعنية، إلى تزويد مؤتمر الأطراف، عن طريق الأمانة، عن أنشطتها الرامية إلى منع ومكافحة الاتجار والتجارة غير القانونيين في المواد الكيميائية والنفايات الخطرة، فضلاً عن الدروس المستفادة من هذه الأنشطة</w:t>
      </w:r>
      <w:r w:rsidRPr="008E56CB">
        <w:rPr>
          <w:rFonts w:cs="Traditional Arabic"/>
          <w:w w:val="99"/>
          <w:sz w:val="20"/>
          <w:szCs w:val="30"/>
          <w:vertAlign w:val="superscript"/>
          <w:rtl/>
          <w:lang w:val="en-GB" w:eastAsia="zh-TW"/>
        </w:rPr>
        <w:t>(</w:t>
      </w:r>
      <w:r w:rsidRPr="008E56CB">
        <w:rPr>
          <w:rFonts w:cs="Traditional Arabic"/>
          <w:w w:val="99"/>
          <w:sz w:val="20"/>
          <w:szCs w:val="30"/>
          <w:vertAlign w:val="superscript"/>
          <w:rtl/>
          <w:lang w:val="en-GB" w:eastAsia="zh-TW"/>
        </w:rPr>
        <w:footnoteReference w:id="3"/>
      </w:r>
      <w:r w:rsidRPr="008E56CB">
        <w:rPr>
          <w:rFonts w:cs="Traditional Arabic"/>
          <w:w w:val="99"/>
          <w:sz w:val="20"/>
          <w:szCs w:val="30"/>
          <w:vertAlign w:val="superscript"/>
          <w:rtl/>
          <w:lang w:val="en-GB" w:eastAsia="zh-TW"/>
        </w:rPr>
        <w:t>)</w:t>
      </w:r>
      <w:r w:rsidRPr="008E56CB">
        <w:rPr>
          <w:rFonts w:cs="Traditional Arabic"/>
          <w:w w:val="99"/>
          <w:sz w:val="20"/>
          <w:szCs w:val="30"/>
          <w:rtl/>
          <w:lang w:val="en-GB" w:eastAsia="zh-TW"/>
        </w:rPr>
        <w:t>؛</w:t>
      </w:r>
    </w:p>
    <w:p w14:paraId="499B72D0" w14:textId="77777777" w:rsidR="00CC154E" w:rsidRPr="00C0330B" w:rsidRDefault="00CC154E" w:rsidP="00CC154E">
      <w:pPr>
        <w:numPr>
          <w:ilvl w:val="0"/>
          <w:numId w:val="1"/>
        </w:numPr>
        <w:tabs>
          <w:tab w:val="left" w:pos="2409"/>
          <w:tab w:val="num" w:pos="3401"/>
        </w:tabs>
        <w:spacing w:after="120" w:line="400" w:lineRule="exact"/>
        <w:ind w:left="1133" w:firstLine="709"/>
        <w:jc w:val="both"/>
        <w:textDirection w:val="tbRlV"/>
        <w:rPr>
          <w:rFonts w:cs="Traditional Arabic"/>
          <w:sz w:val="20"/>
          <w:szCs w:val="30"/>
          <w:rtl/>
          <w:lang w:val="en-GB" w:eastAsia="zh-TW"/>
        </w:rPr>
      </w:pPr>
      <w:r w:rsidRPr="00C0330B">
        <w:rPr>
          <w:rFonts w:cs="Traditional Arabic"/>
          <w:sz w:val="20"/>
          <w:szCs w:val="30"/>
          <w:rtl/>
          <w:lang w:val="en-GB" w:eastAsia="zh-TW"/>
        </w:rPr>
        <w:lastRenderedPageBreak/>
        <w:t xml:space="preserve">يشجع المنظمات المذكورة في الفقرة ٤ </w:t>
      </w:r>
      <w:r>
        <w:rPr>
          <w:rFonts w:cs="Traditional Arabic"/>
          <w:sz w:val="20"/>
          <w:szCs w:val="30"/>
          <w:rtl/>
          <w:lang w:val="en-GB" w:eastAsia="zh-TW"/>
        </w:rPr>
        <w:t>من هذا المقرر</w:t>
      </w:r>
      <w:r w:rsidRPr="00C0330B">
        <w:rPr>
          <w:rFonts w:cs="Traditional Arabic"/>
          <w:sz w:val="20"/>
          <w:szCs w:val="30"/>
          <w:rtl/>
          <w:lang w:val="en-GB" w:eastAsia="zh-TW"/>
        </w:rPr>
        <w:t xml:space="preserve"> على الاضطلاع بأنشطة تهدف إلى مساعدة الأطراف في اتفاقيات بازل وروتردام واستكهولم في منع ومكافحة الاتجار والتجارة غير القانونيين بالمواد الكيميائية والنفايات الخطرة، وإبلاغ الأمانة بها؛</w:t>
      </w:r>
    </w:p>
    <w:p w14:paraId="6B906AFA" w14:textId="77777777" w:rsidR="00CC154E" w:rsidRPr="00C0330B" w:rsidRDefault="00CC154E" w:rsidP="00CC154E">
      <w:pPr>
        <w:numPr>
          <w:ilvl w:val="0"/>
          <w:numId w:val="1"/>
        </w:numPr>
        <w:tabs>
          <w:tab w:val="left" w:pos="2409"/>
          <w:tab w:val="num" w:pos="3401"/>
        </w:tabs>
        <w:spacing w:after="120" w:line="400" w:lineRule="exact"/>
        <w:ind w:left="1133" w:firstLine="709"/>
        <w:jc w:val="both"/>
        <w:textDirection w:val="tbRlV"/>
        <w:rPr>
          <w:rFonts w:cs="Traditional Arabic"/>
          <w:sz w:val="20"/>
          <w:szCs w:val="30"/>
          <w:rtl/>
          <w:lang w:val="en-GB" w:eastAsia="zh-TW"/>
        </w:rPr>
      </w:pPr>
      <w:r w:rsidRPr="00C0330B">
        <w:rPr>
          <w:rFonts w:cs="Traditional Arabic"/>
          <w:sz w:val="20"/>
          <w:szCs w:val="30"/>
          <w:rtl/>
          <w:lang w:val="en-GB" w:eastAsia="zh-TW"/>
        </w:rPr>
        <w:t>يطلب إلى الأمانة ما يلي:</w:t>
      </w:r>
    </w:p>
    <w:p w14:paraId="1E64FBB9" w14:textId="77777777" w:rsidR="00CC154E" w:rsidRPr="00C0330B" w:rsidRDefault="00CC154E" w:rsidP="00CC154E">
      <w:pPr>
        <w:tabs>
          <w:tab w:val="left" w:pos="2976"/>
        </w:tabs>
        <w:spacing w:after="120" w:line="400" w:lineRule="exact"/>
        <w:ind w:left="1133" w:firstLine="1276"/>
        <w:jc w:val="both"/>
        <w:textDirection w:val="tbRlV"/>
        <w:rPr>
          <w:rFonts w:cs="Traditional Arabic"/>
          <w:sz w:val="20"/>
          <w:szCs w:val="30"/>
          <w:rtl/>
          <w:lang w:val="en-GB" w:eastAsia="zh-TW"/>
        </w:rPr>
      </w:pPr>
      <w:r w:rsidRPr="00C0330B">
        <w:rPr>
          <w:rFonts w:cs="Traditional Arabic"/>
          <w:sz w:val="20"/>
          <w:szCs w:val="30"/>
          <w:rtl/>
          <w:lang w:val="en-GB" w:eastAsia="zh-TW"/>
        </w:rPr>
        <w:t>(أ)</w:t>
      </w:r>
      <w:r w:rsidRPr="00C0330B">
        <w:rPr>
          <w:rFonts w:cs="Traditional Arabic"/>
          <w:sz w:val="20"/>
          <w:szCs w:val="30"/>
          <w:rtl/>
          <w:lang w:val="en-GB" w:eastAsia="zh-TW"/>
        </w:rPr>
        <w:tab/>
        <w:t>أن تعد، آخذة في الاعتبار الدروس المستفادة من</w:t>
      </w:r>
      <w:r>
        <w:rPr>
          <w:rFonts w:cs="Traditional Arabic"/>
          <w:sz w:val="20"/>
          <w:szCs w:val="30"/>
          <w:rtl/>
          <w:lang w:val="en-GB" w:eastAsia="zh-TW"/>
        </w:rPr>
        <w:t xml:space="preserve"> التجارب مع</w:t>
      </w:r>
      <w:r w:rsidRPr="00C0330B">
        <w:rPr>
          <w:rFonts w:cs="Traditional Arabic"/>
          <w:sz w:val="20"/>
          <w:szCs w:val="30"/>
          <w:rtl/>
          <w:lang w:val="en-GB" w:eastAsia="zh-TW"/>
        </w:rPr>
        <w:t xml:space="preserve"> اتفاقية بازل، </w:t>
      </w:r>
      <w:r>
        <w:rPr>
          <w:rFonts w:cs="Traditional Arabic"/>
          <w:sz w:val="20"/>
          <w:szCs w:val="30"/>
          <w:rtl/>
          <w:lang w:val="en-GB" w:eastAsia="zh-TW"/>
        </w:rPr>
        <w:t xml:space="preserve">مشروع </w:t>
      </w:r>
      <w:r w:rsidRPr="00C0330B">
        <w:rPr>
          <w:rFonts w:cs="Traditional Arabic"/>
          <w:sz w:val="20"/>
          <w:szCs w:val="30"/>
          <w:rtl/>
          <w:lang w:val="en-GB" w:eastAsia="zh-TW"/>
        </w:rPr>
        <w:t xml:space="preserve">استمارة </w:t>
      </w:r>
      <w:r>
        <w:rPr>
          <w:rFonts w:cs="Traditional Arabic"/>
          <w:sz w:val="20"/>
          <w:szCs w:val="30"/>
          <w:rtl/>
          <w:lang w:val="en-GB" w:eastAsia="zh-TW"/>
        </w:rPr>
        <w:t>ومذكرة توضيحية ل</w:t>
      </w:r>
      <w:r w:rsidRPr="00C0330B">
        <w:rPr>
          <w:rFonts w:cs="Traditional Arabic"/>
          <w:sz w:val="20"/>
          <w:szCs w:val="30"/>
          <w:rtl/>
          <w:lang w:val="en-GB" w:eastAsia="zh-TW"/>
        </w:rPr>
        <w:t xml:space="preserve">تمكن الأطراف في اتفاقيتي روتردام واستكهولم من </w:t>
      </w:r>
      <w:r>
        <w:rPr>
          <w:rFonts w:cs="Traditional Arabic"/>
          <w:sz w:val="20"/>
          <w:szCs w:val="30"/>
          <w:rtl/>
          <w:lang w:val="en-GB" w:eastAsia="zh-TW"/>
        </w:rPr>
        <w:t>تقديم المعلومات بشكل طوعي</w:t>
      </w:r>
      <w:r w:rsidRPr="00C0330B">
        <w:rPr>
          <w:rFonts w:cs="Traditional Arabic"/>
          <w:sz w:val="20"/>
          <w:szCs w:val="30"/>
          <w:rtl/>
          <w:lang w:val="en-GB" w:eastAsia="zh-TW"/>
        </w:rPr>
        <w:t xml:space="preserve"> عن حالات التجارة </w:t>
      </w:r>
      <w:r>
        <w:rPr>
          <w:rFonts w:cs="Traditional Arabic"/>
          <w:sz w:val="20"/>
          <w:szCs w:val="30"/>
          <w:rtl/>
          <w:lang w:val="en-GB" w:eastAsia="zh-TW"/>
        </w:rPr>
        <w:t>التي تمثل خرقاً للاتفاقية</w:t>
      </w:r>
      <w:r w:rsidRPr="00C0330B">
        <w:rPr>
          <w:rFonts w:cs="Traditional Arabic"/>
          <w:sz w:val="20"/>
          <w:szCs w:val="30"/>
          <w:rtl/>
          <w:lang w:val="en-GB" w:eastAsia="zh-TW"/>
        </w:rPr>
        <w:t xml:space="preserve">، </w:t>
      </w:r>
      <w:r>
        <w:rPr>
          <w:rFonts w:cs="Traditional Arabic"/>
          <w:sz w:val="20"/>
          <w:szCs w:val="30"/>
          <w:rtl/>
          <w:lang w:val="en-GB" w:eastAsia="zh-TW"/>
        </w:rPr>
        <w:t xml:space="preserve">لكي تعلق عليها الأطراف وينظر فيها بعد ذلك </w:t>
      </w:r>
      <w:r w:rsidRPr="00C0330B">
        <w:rPr>
          <w:rFonts w:cs="Traditional Arabic"/>
          <w:sz w:val="20"/>
          <w:szCs w:val="30"/>
          <w:rtl/>
          <w:lang w:val="en-GB" w:eastAsia="zh-TW"/>
        </w:rPr>
        <w:t>مؤتمرا الأطراف في اتفاقيتي روتردام واستكهولم في اجتماعيهما المقبلين؛</w:t>
      </w:r>
    </w:p>
    <w:p w14:paraId="2319A846" w14:textId="77777777" w:rsidR="00CC154E" w:rsidRPr="00C0330B" w:rsidRDefault="00CC154E" w:rsidP="00CC154E">
      <w:pPr>
        <w:tabs>
          <w:tab w:val="left" w:pos="2976"/>
        </w:tabs>
        <w:spacing w:after="120" w:line="400" w:lineRule="exact"/>
        <w:ind w:left="1133" w:firstLine="1276"/>
        <w:jc w:val="both"/>
        <w:textDirection w:val="tbRlV"/>
        <w:rPr>
          <w:rFonts w:cs="Traditional Arabic"/>
          <w:sz w:val="20"/>
          <w:szCs w:val="30"/>
          <w:rtl/>
          <w:lang w:val="en-GB" w:eastAsia="zh-TW"/>
        </w:rPr>
      </w:pPr>
      <w:r w:rsidRPr="00C0330B">
        <w:rPr>
          <w:rFonts w:cs="Traditional Arabic"/>
          <w:sz w:val="20"/>
          <w:szCs w:val="30"/>
          <w:rtl/>
          <w:lang w:val="en-GB" w:eastAsia="zh-TW"/>
        </w:rPr>
        <w:t>(ب)</w:t>
      </w:r>
      <w:r w:rsidRPr="00C0330B">
        <w:rPr>
          <w:rFonts w:cs="Traditional Arabic"/>
          <w:sz w:val="20"/>
          <w:szCs w:val="30"/>
          <w:rtl/>
          <w:lang w:val="en-GB" w:eastAsia="zh-TW"/>
        </w:rPr>
        <w:tab/>
        <w:t>أن تضع، آخذة في الاعتبار المعلومات الحالية</w:t>
      </w:r>
      <w:r>
        <w:rPr>
          <w:rFonts w:cs="Traditional Arabic"/>
          <w:sz w:val="20"/>
          <w:szCs w:val="30"/>
          <w:vertAlign w:val="superscript"/>
          <w:rtl/>
          <w:lang w:val="en-GB" w:eastAsia="zh-TW"/>
        </w:rPr>
        <w:t>(</w:t>
      </w:r>
      <w:r w:rsidRPr="00C0330B">
        <w:rPr>
          <w:rFonts w:cs="Traditional Arabic"/>
          <w:sz w:val="20"/>
          <w:szCs w:val="30"/>
          <w:vertAlign w:val="superscript"/>
          <w:rtl/>
          <w:lang w:val="en-GB" w:eastAsia="zh-TW"/>
        </w:rPr>
        <w:footnoteReference w:id="4"/>
      </w:r>
      <w:r>
        <w:rPr>
          <w:rFonts w:cs="Traditional Arabic"/>
          <w:sz w:val="20"/>
          <w:szCs w:val="30"/>
          <w:vertAlign w:val="superscript"/>
          <w:rtl/>
          <w:lang w:val="en-GB" w:eastAsia="zh-TW"/>
        </w:rPr>
        <w:t>)</w:t>
      </w:r>
      <w:r w:rsidRPr="00C0330B">
        <w:rPr>
          <w:rFonts w:cs="Traditional Arabic"/>
          <w:sz w:val="20"/>
          <w:szCs w:val="30"/>
          <w:rtl/>
          <w:lang w:val="en-GB" w:eastAsia="zh-TW"/>
        </w:rPr>
        <w:t>، فضلا</w:t>
      </w:r>
      <w:r>
        <w:rPr>
          <w:rFonts w:cs="Traditional Arabic"/>
          <w:sz w:val="20"/>
          <w:szCs w:val="30"/>
          <w:rtl/>
          <w:lang w:val="en-GB" w:eastAsia="zh-TW"/>
        </w:rPr>
        <w:t>ً</w:t>
      </w:r>
      <w:r w:rsidRPr="00C0330B">
        <w:rPr>
          <w:rFonts w:cs="Traditional Arabic"/>
          <w:sz w:val="20"/>
          <w:szCs w:val="30"/>
          <w:rtl/>
          <w:lang w:val="en-GB" w:eastAsia="zh-TW"/>
        </w:rPr>
        <w:t xml:space="preserve"> عن المعلومات التي تردها عملا </w:t>
      </w:r>
      <w:r>
        <w:rPr>
          <w:rFonts w:cs="Traditional Arabic"/>
          <w:sz w:val="20"/>
          <w:szCs w:val="30"/>
          <w:rtl/>
          <w:lang w:val="en-GB" w:eastAsia="zh-TW"/>
        </w:rPr>
        <w:t>ً</w:t>
      </w:r>
      <w:r w:rsidRPr="00C0330B">
        <w:rPr>
          <w:rFonts w:cs="Traditional Arabic"/>
          <w:sz w:val="20"/>
          <w:szCs w:val="30"/>
          <w:rtl/>
          <w:lang w:val="en-GB" w:eastAsia="zh-TW"/>
        </w:rPr>
        <w:t xml:space="preserve">بالفقرة ٥ </w:t>
      </w:r>
      <w:r>
        <w:rPr>
          <w:rFonts w:cs="Traditional Arabic"/>
          <w:sz w:val="20"/>
          <w:szCs w:val="30"/>
          <w:rtl/>
          <w:lang w:val="en-GB" w:eastAsia="zh-TW"/>
        </w:rPr>
        <w:t>من هذا المقرر</w:t>
      </w:r>
      <w:r w:rsidRPr="00C0330B">
        <w:rPr>
          <w:rFonts w:cs="Traditional Arabic"/>
          <w:sz w:val="20"/>
          <w:szCs w:val="30"/>
          <w:rtl/>
          <w:lang w:val="en-GB" w:eastAsia="zh-TW"/>
        </w:rPr>
        <w:t>، توصيات بشأن فرص تعزيز التعاون لكي تنظر فيها مؤتمرات الأطراف</w:t>
      </w:r>
      <w:r>
        <w:rPr>
          <w:rFonts w:cs="Traditional Arabic"/>
          <w:sz w:val="20"/>
          <w:szCs w:val="30"/>
          <w:rtl/>
          <w:lang w:val="en-GB" w:eastAsia="zh-TW"/>
        </w:rPr>
        <w:t xml:space="preserve"> في اتفاقيات بازل وروتردام واستكهولم</w:t>
      </w:r>
      <w:r w:rsidRPr="00C0330B">
        <w:rPr>
          <w:rFonts w:cs="Traditional Arabic"/>
          <w:sz w:val="20"/>
          <w:szCs w:val="30"/>
          <w:rtl/>
          <w:lang w:val="en-GB" w:eastAsia="zh-TW"/>
        </w:rPr>
        <w:t xml:space="preserve"> في اجتماعاتها المقبلة؛</w:t>
      </w:r>
    </w:p>
    <w:p w14:paraId="2A594485" w14:textId="77777777" w:rsidR="00CC154E" w:rsidRPr="00C0330B" w:rsidRDefault="00CC154E" w:rsidP="00CC154E">
      <w:pPr>
        <w:tabs>
          <w:tab w:val="left" w:pos="2976"/>
        </w:tabs>
        <w:spacing w:after="120" w:line="400" w:lineRule="exact"/>
        <w:ind w:left="1133" w:firstLine="1276"/>
        <w:jc w:val="both"/>
        <w:textDirection w:val="tbRlV"/>
        <w:rPr>
          <w:rFonts w:cs="Traditional Arabic"/>
          <w:sz w:val="20"/>
          <w:szCs w:val="30"/>
          <w:rtl/>
          <w:lang w:val="en-GB" w:eastAsia="zh-TW"/>
        </w:rPr>
      </w:pPr>
      <w:r w:rsidRPr="00C0330B">
        <w:rPr>
          <w:rFonts w:cs="Traditional Arabic"/>
          <w:sz w:val="20"/>
          <w:szCs w:val="30"/>
          <w:rtl/>
          <w:lang w:val="en-GB" w:eastAsia="zh-TW"/>
        </w:rPr>
        <w:t>(ج)</w:t>
      </w:r>
      <w:r w:rsidRPr="00C0330B">
        <w:rPr>
          <w:rFonts w:cs="Traditional Arabic"/>
          <w:sz w:val="20"/>
          <w:szCs w:val="30"/>
          <w:rtl/>
          <w:lang w:val="en-GB" w:eastAsia="zh-TW"/>
        </w:rPr>
        <w:tab/>
        <w:t>أن تواصل تقديم المشورة وتنفذ، رهنا</w:t>
      </w:r>
      <w:r>
        <w:rPr>
          <w:rFonts w:cs="Traditional Arabic"/>
          <w:sz w:val="20"/>
          <w:szCs w:val="30"/>
          <w:rtl/>
          <w:lang w:val="en-GB" w:eastAsia="zh-TW"/>
        </w:rPr>
        <w:t>ً</w:t>
      </w:r>
      <w:r w:rsidRPr="00C0330B">
        <w:rPr>
          <w:rFonts w:cs="Traditional Arabic"/>
          <w:sz w:val="20"/>
          <w:szCs w:val="30"/>
          <w:rtl/>
          <w:lang w:val="en-GB" w:eastAsia="zh-TW"/>
        </w:rPr>
        <w:t xml:space="preserve"> بتوافر الموارد، أنشطة المساعدة التقنية من أجل تعزيز قدرات الأطراف على منع ومكافحة الاتجار والتجارة غير القانونيين في المواد الكيميائية والنفايات التي </w:t>
      </w:r>
      <w:bookmarkStart w:id="0" w:name="_GoBack"/>
      <w:bookmarkEnd w:id="0"/>
      <w:r w:rsidRPr="00C0330B">
        <w:rPr>
          <w:rFonts w:cs="Traditional Arabic"/>
          <w:sz w:val="20"/>
          <w:szCs w:val="30"/>
          <w:rtl/>
          <w:lang w:val="en-GB" w:eastAsia="zh-TW"/>
        </w:rPr>
        <w:t>تشملها اتفاقيات بازل وروتردام واستكهولم؛</w:t>
      </w:r>
    </w:p>
    <w:p w14:paraId="75D009AB" w14:textId="3DA679E8" w:rsidR="00F935A6" w:rsidRDefault="00CC154E" w:rsidP="00CC154E">
      <w:pPr>
        <w:ind w:left="2430"/>
      </w:pPr>
      <w:r w:rsidRPr="00C0330B">
        <w:rPr>
          <w:rFonts w:cs="Traditional Arabic"/>
          <w:sz w:val="20"/>
          <w:szCs w:val="30"/>
          <w:rtl/>
          <w:lang w:val="en-GB" w:eastAsia="zh-TW"/>
        </w:rPr>
        <w:t>(د)</w:t>
      </w:r>
      <w:r w:rsidRPr="00C0330B">
        <w:rPr>
          <w:rFonts w:cs="Traditional Arabic"/>
          <w:sz w:val="20"/>
          <w:szCs w:val="30"/>
          <w:rtl/>
          <w:lang w:val="en-GB" w:eastAsia="zh-TW"/>
        </w:rPr>
        <w:tab/>
        <w:t xml:space="preserve">أن تقدم تقريراً عن تنفيذ هذا المقرر إلى </w:t>
      </w:r>
      <w:r>
        <w:rPr>
          <w:rFonts w:cs="Traditional Arabic"/>
          <w:sz w:val="20"/>
          <w:szCs w:val="30"/>
          <w:rtl/>
          <w:lang w:val="en-GB" w:eastAsia="zh-TW"/>
        </w:rPr>
        <w:t>مؤتمر الأطراف في اجتماعه المقبل.</w:t>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AA7D1" w14:textId="77777777" w:rsidR="00502A27" w:rsidRDefault="00502A27" w:rsidP="00CC154E">
      <w:r>
        <w:separator/>
      </w:r>
    </w:p>
  </w:endnote>
  <w:endnote w:type="continuationSeparator" w:id="0">
    <w:p w14:paraId="5A6247F7" w14:textId="77777777" w:rsidR="00502A27" w:rsidRDefault="00502A27" w:rsidP="00CC1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53F648" w14:textId="77777777" w:rsidR="00502A27" w:rsidRDefault="00502A27" w:rsidP="00CC154E">
      <w:r>
        <w:separator/>
      </w:r>
    </w:p>
  </w:footnote>
  <w:footnote w:type="continuationSeparator" w:id="0">
    <w:p w14:paraId="55085AE5" w14:textId="77777777" w:rsidR="00502A27" w:rsidRDefault="00502A27" w:rsidP="00CC154E">
      <w:r>
        <w:continuationSeparator/>
      </w:r>
    </w:p>
  </w:footnote>
  <w:footnote w:id="1">
    <w:p w14:paraId="369FA015" w14:textId="77777777" w:rsidR="00CC154E" w:rsidRPr="007E76A8" w:rsidRDefault="00CC154E" w:rsidP="00CC154E">
      <w:pPr>
        <w:pStyle w:val="FootnoteText"/>
        <w:tabs>
          <w:tab w:val="left" w:pos="624"/>
        </w:tabs>
        <w:spacing w:after="40" w:line="300" w:lineRule="exact"/>
        <w:ind w:left="1247"/>
        <w:textDirection w:val="tbRlV"/>
        <w:rPr>
          <w:rFonts w:ascii="Traditional Arabic" w:hAnsi="Traditional Arabic" w:cs="Traditional Arabic"/>
          <w:sz w:val="26"/>
          <w:szCs w:val="26"/>
          <w:rtl/>
          <w:lang w:val="en-GB" w:eastAsia="zh-TW"/>
        </w:rPr>
      </w:pPr>
      <w:r>
        <w:rPr>
          <w:rFonts w:ascii="Traditional Arabic" w:hAnsi="Traditional Arabic" w:cs="Traditional Arabic"/>
          <w:sz w:val="26"/>
          <w:szCs w:val="26"/>
          <w:rtl/>
          <w:lang w:val="en-GB" w:eastAsia="zh-TW"/>
        </w:rPr>
        <w:t>(</w:t>
      </w:r>
      <w:r w:rsidRPr="007E76A8">
        <w:rPr>
          <w:rFonts w:ascii="Traditional Arabic" w:hAnsi="Traditional Arabic" w:cs="Traditional Arabic"/>
          <w:sz w:val="26"/>
          <w:szCs w:val="26"/>
          <w:rtl/>
        </w:rPr>
        <w:footnoteRef/>
      </w:r>
      <w:r>
        <w:rPr>
          <w:rFonts w:ascii="Traditional Arabic" w:hAnsi="Traditional Arabic" w:cs="Traditional Arabic"/>
          <w:sz w:val="26"/>
          <w:szCs w:val="26"/>
          <w:rtl/>
          <w:lang w:val="en-GB" w:eastAsia="zh-TW"/>
        </w:rPr>
        <w:t xml:space="preserve">) </w:t>
      </w:r>
      <w:r w:rsidRPr="007E76A8">
        <w:rPr>
          <w:rFonts w:ascii="Traditional Arabic" w:hAnsi="Traditional Arabic" w:cs="Traditional Arabic"/>
          <w:sz w:val="26"/>
          <w:szCs w:val="26"/>
          <w:rtl/>
          <w:lang w:val="en-GB" w:eastAsia="zh-TW"/>
        </w:rPr>
        <w:t xml:space="preserve"> الوثيقة </w:t>
      </w:r>
      <w:r w:rsidRPr="007E76A8">
        <w:rPr>
          <w:rFonts w:asciiTheme="majorBidi" w:hAnsiTheme="majorBidi" w:cstheme="majorBidi"/>
          <w:sz w:val="18"/>
          <w:szCs w:val="18"/>
          <w:lang w:val="en-GB" w:eastAsia="zh-TW"/>
        </w:rPr>
        <w:t>UNEP/CHW.14/23-UNEP/FAO/RC/COP.9/19-UNEP/POPS/COP.9/26</w:t>
      </w:r>
      <w:r>
        <w:rPr>
          <w:rFonts w:ascii="Traditional Arabic" w:hAnsi="Traditional Arabic" w:cs="Traditional Arabic"/>
          <w:sz w:val="26"/>
          <w:szCs w:val="26"/>
          <w:rtl/>
          <w:lang w:val="en-GB" w:eastAsia="zh-TW"/>
        </w:rPr>
        <w:t xml:space="preserve"> </w:t>
      </w:r>
      <w:r w:rsidRPr="007E76A8">
        <w:rPr>
          <w:rFonts w:ascii="Traditional Arabic" w:hAnsi="Traditional Arabic" w:cs="Traditional Arabic"/>
          <w:sz w:val="26"/>
          <w:szCs w:val="26"/>
          <w:rtl/>
          <w:lang w:val="en-GB" w:eastAsia="zh-TW"/>
        </w:rPr>
        <w:t xml:space="preserve">والوثيقة </w:t>
      </w:r>
      <w:r w:rsidRPr="007E76A8">
        <w:rPr>
          <w:rFonts w:asciiTheme="majorBidi" w:hAnsiTheme="majorBidi" w:cstheme="majorBidi"/>
          <w:sz w:val="18"/>
          <w:szCs w:val="18"/>
          <w:lang w:val="en-GB" w:eastAsia="zh-TW"/>
        </w:rPr>
        <w:t>UNEP/CHW.14/INF/42-UNEP/FAO/RC/COP.9/INF/33-UNEP/POPS/COP.9/INF/42</w:t>
      </w:r>
      <w:r w:rsidRPr="007E76A8">
        <w:rPr>
          <w:rFonts w:ascii="Traditional Arabic" w:hAnsi="Traditional Arabic" w:cs="Traditional Arabic"/>
          <w:sz w:val="26"/>
          <w:szCs w:val="26"/>
          <w:rtl/>
          <w:lang w:val="en-GB" w:eastAsia="zh-TW"/>
        </w:rPr>
        <w:t>، المرفق الأول.</w:t>
      </w:r>
    </w:p>
  </w:footnote>
  <w:footnote w:id="2">
    <w:p w14:paraId="24CD2790" w14:textId="77777777" w:rsidR="00CC154E" w:rsidRPr="007E76A8" w:rsidRDefault="00CC154E" w:rsidP="00CC154E">
      <w:pPr>
        <w:pStyle w:val="FootnoteText"/>
        <w:tabs>
          <w:tab w:val="left" w:pos="624"/>
        </w:tabs>
        <w:spacing w:after="40" w:line="300" w:lineRule="exact"/>
        <w:ind w:left="1247"/>
        <w:textDirection w:val="tbRlV"/>
        <w:rPr>
          <w:rFonts w:ascii="Traditional Arabic" w:hAnsi="Traditional Arabic" w:cs="Traditional Arabic"/>
          <w:sz w:val="26"/>
          <w:szCs w:val="26"/>
          <w:rtl/>
          <w:lang w:val="en-GB" w:eastAsia="zh-TW"/>
        </w:rPr>
      </w:pPr>
      <w:r w:rsidRPr="007E76A8">
        <w:rPr>
          <w:rFonts w:ascii="Traditional Arabic" w:hAnsi="Traditional Arabic" w:cs="Traditional Arabic"/>
          <w:sz w:val="26"/>
          <w:szCs w:val="26"/>
          <w:rtl/>
          <w:lang w:val="en-GB" w:eastAsia="zh-TW"/>
        </w:rPr>
        <w:t>(</w:t>
      </w:r>
      <w:r w:rsidRPr="007E76A8">
        <w:rPr>
          <w:rFonts w:ascii="Traditional Arabic" w:hAnsi="Traditional Arabic" w:cs="Traditional Arabic"/>
          <w:sz w:val="26"/>
          <w:szCs w:val="26"/>
          <w:rtl/>
        </w:rPr>
        <w:footnoteRef/>
      </w:r>
      <w:r w:rsidRPr="007E76A8">
        <w:rPr>
          <w:rFonts w:ascii="Traditional Arabic" w:hAnsi="Traditional Arabic" w:cs="Traditional Arabic"/>
          <w:sz w:val="26"/>
          <w:szCs w:val="26"/>
          <w:rtl/>
          <w:lang w:val="en-GB" w:eastAsia="zh-TW"/>
        </w:rPr>
        <w:t xml:space="preserve">)  </w:t>
      </w:r>
      <w:r w:rsidRPr="000F34E2">
        <w:rPr>
          <w:rFonts w:asciiTheme="majorBidi" w:hAnsiTheme="majorBidi" w:cstheme="majorBidi"/>
          <w:sz w:val="18"/>
          <w:szCs w:val="18"/>
          <w:lang w:val="en-GB" w:eastAsia="zh-TW"/>
        </w:rPr>
        <w:t>UNEP/CHW.13/INF/43-UNEP/FAO/RC/COP.8/INF/29-UNEP/POPS/COP.8/INF/46</w:t>
      </w:r>
      <w:r w:rsidRPr="007E76A8">
        <w:rPr>
          <w:rFonts w:ascii="Traditional Arabic" w:hAnsi="Traditional Arabic" w:cs="Traditional Arabic"/>
          <w:sz w:val="26"/>
          <w:szCs w:val="26"/>
          <w:rtl/>
          <w:lang w:val="en-GB" w:eastAsia="zh-TW"/>
        </w:rPr>
        <w:t>، المرفق.</w:t>
      </w:r>
    </w:p>
  </w:footnote>
  <w:footnote w:id="3">
    <w:p w14:paraId="6D73824C" w14:textId="77777777" w:rsidR="00CC154E" w:rsidRPr="000F34E2" w:rsidRDefault="00CC154E" w:rsidP="00CC154E">
      <w:pPr>
        <w:pStyle w:val="FootnoteText"/>
        <w:tabs>
          <w:tab w:val="left" w:pos="624"/>
        </w:tabs>
        <w:spacing w:after="40" w:line="300" w:lineRule="exact"/>
        <w:ind w:left="1247"/>
        <w:textDirection w:val="tbRlV"/>
        <w:rPr>
          <w:rFonts w:ascii="Traditional Arabic" w:hAnsi="Traditional Arabic" w:cs="Traditional Arabic"/>
          <w:sz w:val="26"/>
          <w:szCs w:val="26"/>
          <w:rtl/>
          <w:lang w:val="en-GB" w:eastAsia="zh-TW"/>
        </w:rPr>
      </w:pPr>
      <w:r>
        <w:rPr>
          <w:rFonts w:ascii="Traditional Arabic" w:hAnsi="Traditional Arabic" w:cs="Traditional Arabic"/>
          <w:sz w:val="26"/>
          <w:szCs w:val="26"/>
          <w:rtl/>
          <w:lang w:val="en-GB" w:eastAsia="zh-TW"/>
        </w:rPr>
        <w:t>(</w:t>
      </w:r>
      <w:r w:rsidRPr="000F34E2">
        <w:rPr>
          <w:rFonts w:ascii="Traditional Arabic" w:hAnsi="Traditional Arabic" w:cs="Traditional Arabic"/>
          <w:sz w:val="26"/>
          <w:szCs w:val="26"/>
          <w:rtl/>
        </w:rPr>
        <w:footnoteRef/>
      </w:r>
      <w:r>
        <w:rPr>
          <w:rFonts w:ascii="Traditional Arabic" w:hAnsi="Traditional Arabic" w:cs="Traditional Arabic"/>
          <w:sz w:val="26"/>
          <w:szCs w:val="26"/>
          <w:rtl/>
          <w:lang w:val="en-GB" w:eastAsia="zh-TW"/>
        </w:rPr>
        <w:t xml:space="preserve">) </w:t>
      </w:r>
      <w:r w:rsidRPr="000F34E2">
        <w:rPr>
          <w:rFonts w:ascii="Traditional Arabic" w:hAnsi="Traditional Arabic" w:cs="Traditional Arabic"/>
          <w:sz w:val="26"/>
          <w:szCs w:val="26"/>
          <w:rtl/>
          <w:lang w:val="en-GB" w:eastAsia="zh-TW"/>
        </w:rPr>
        <w:t xml:space="preserve"> الوثيقة </w:t>
      </w:r>
      <w:r w:rsidRPr="000F34E2">
        <w:rPr>
          <w:rFonts w:asciiTheme="majorBidi" w:hAnsiTheme="majorBidi" w:cstheme="majorBidi"/>
          <w:sz w:val="18"/>
          <w:szCs w:val="18"/>
          <w:lang w:val="en-GB" w:eastAsia="zh-TW"/>
        </w:rPr>
        <w:t>UNEP/CHW.14/23-UNEP/FAO/RC/COP.9/19-UNEP/POPS/COP.9/26</w:t>
      </w:r>
      <w:r>
        <w:rPr>
          <w:rFonts w:ascii="Traditional Arabic" w:hAnsi="Traditional Arabic" w:cs="Traditional Arabic"/>
          <w:sz w:val="26"/>
          <w:szCs w:val="26"/>
          <w:rtl/>
          <w:lang w:val="en-GB" w:eastAsia="zh-TW"/>
        </w:rPr>
        <w:t xml:space="preserve"> </w:t>
      </w:r>
      <w:r w:rsidRPr="000F34E2">
        <w:rPr>
          <w:rFonts w:ascii="Traditional Arabic" w:hAnsi="Traditional Arabic" w:cs="Traditional Arabic"/>
          <w:sz w:val="26"/>
          <w:szCs w:val="26"/>
          <w:rtl/>
          <w:lang w:val="en-GB" w:eastAsia="zh-TW"/>
        </w:rPr>
        <w:t xml:space="preserve">والوثيقة </w:t>
      </w:r>
      <w:r w:rsidRPr="000F34E2">
        <w:rPr>
          <w:rFonts w:asciiTheme="majorBidi" w:hAnsiTheme="majorBidi" w:cstheme="majorBidi"/>
          <w:sz w:val="18"/>
          <w:szCs w:val="18"/>
          <w:lang w:val="en-GB" w:eastAsia="zh-TW"/>
        </w:rPr>
        <w:t>UNEP/CHW.14/INF/42-UNEP/FAO/RC/COP.9/INF/33-UNEP/POPS/COP.9/INF/42</w:t>
      </w:r>
      <w:r w:rsidRPr="000F34E2">
        <w:rPr>
          <w:rFonts w:ascii="Traditional Arabic" w:hAnsi="Traditional Arabic" w:cs="Traditional Arabic"/>
          <w:sz w:val="26"/>
          <w:szCs w:val="26"/>
          <w:rtl/>
          <w:lang w:val="en-GB" w:eastAsia="zh-TW"/>
        </w:rPr>
        <w:t>، المرفق الثاني.</w:t>
      </w:r>
    </w:p>
  </w:footnote>
  <w:footnote w:id="4">
    <w:p w14:paraId="035A864A" w14:textId="77777777" w:rsidR="00CC154E" w:rsidRPr="000F34E2" w:rsidRDefault="00CC154E" w:rsidP="00CC154E">
      <w:pPr>
        <w:pStyle w:val="FootnoteText"/>
        <w:tabs>
          <w:tab w:val="left" w:pos="624"/>
        </w:tabs>
        <w:spacing w:after="40" w:line="300" w:lineRule="exact"/>
        <w:ind w:left="1247"/>
        <w:textDirection w:val="tbRlV"/>
        <w:rPr>
          <w:rFonts w:ascii="Traditional Arabic" w:hAnsi="Traditional Arabic" w:cs="Traditional Arabic"/>
          <w:sz w:val="26"/>
          <w:szCs w:val="26"/>
          <w:rtl/>
          <w:lang w:val="en-GB" w:eastAsia="zh-TW"/>
        </w:rPr>
      </w:pPr>
      <w:r>
        <w:rPr>
          <w:rFonts w:ascii="Traditional Arabic" w:hAnsi="Traditional Arabic" w:cs="Traditional Arabic"/>
          <w:sz w:val="26"/>
          <w:szCs w:val="26"/>
          <w:rtl/>
          <w:lang w:val="en-GB" w:eastAsia="zh-TW"/>
        </w:rPr>
        <w:t>(</w:t>
      </w:r>
      <w:r w:rsidRPr="000F34E2">
        <w:rPr>
          <w:rFonts w:ascii="Traditional Arabic" w:hAnsi="Traditional Arabic" w:cs="Traditional Arabic"/>
          <w:sz w:val="26"/>
          <w:szCs w:val="26"/>
          <w:rtl/>
          <w:lang w:val="en-GB" w:eastAsia="zh-TW"/>
        </w:rPr>
        <w:footnoteRef/>
      </w:r>
      <w:r>
        <w:rPr>
          <w:rFonts w:ascii="Traditional Arabic" w:hAnsi="Traditional Arabic" w:cs="Traditional Arabic"/>
          <w:sz w:val="26"/>
          <w:szCs w:val="26"/>
          <w:rtl/>
          <w:lang w:val="en-GB" w:eastAsia="zh-TW"/>
        </w:rPr>
        <w:t xml:space="preserve">) </w:t>
      </w:r>
      <w:r w:rsidRPr="000F34E2">
        <w:rPr>
          <w:rFonts w:ascii="Traditional Arabic" w:hAnsi="Traditional Arabic" w:cs="Traditional Arabic"/>
          <w:sz w:val="26"/>
          <w:szCs w:val="26"/>
          <w:rtl/>
          <w:lang w:val="en-GB" w:eastAsia="zh-TW"/>
        </w:rPr>
        <w:t xml:space="preserve"> </w:t>
      </w:r>
      <w:r w:rsidRPr="000F34E2">
        <w:rPr>
          <w:rFonts w:asciiTheme="majorBidi" w:hAnsiTheme="majorBidi" w:cstheme="majorBidi"/>
          <w:sz w:val="18"/>
          <w:szCs w:val="18"/>
          <w:lang w:val="en-GB" w:eastAsia="zh-TW"/>
        </w:rPr>
        <w:t>UNEP/CHW.14/INF/42-UNEP/FAO/RC/COP.9/INF/33-UNEP/POPS/COP.9/INF/42</w:t>
      </w:r>
      <w:r w:rsidRPr="000F34E2">
        <w:rPr>
          <w:rFonts w:ascii="Traditional Arabic" w:hAnsi="Traditional Arabic" w:cs="Traditional Arabic"/>
          <w:sz w:val="26"/>
          <w:szCs w:val="26"/>
          <w:rtl/>
          <w:lang w:val="en-GB" w:eastAsia="zh-TW"/>
        </w:rPr>
        <w:t>، المرفق الثاني.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917A3A"/>
    <w:multiLevelType w:val="hybridMultilevel"/>
    <w:tmpl w:val="7CA42ADC"/>
    <w:lvl w:ilvl="0" w:tplc="9E0489EC">
      <w:start w:val="1"/>
      <w:numFmt w:val="decimal"/>
      <w:lvlText w:val="%1-"/>
      <w:lvlJc w:val="left"/>
      <w:pPr>
        <w:tabs>
          <w:tab w:val="num" w:pos="3215"/>
        </w:tabs>
        <w:ind w:left="3215" w:hanging="360"/>
      </w:pPr>
      <w:rPr>
        <w:rFonts w:hint="default"/>
      </w:rPr>
    </w:lvl>
    <w:lvl w:ilvl="1" w:tplc="E5F6CDDA">
      <w:start w:val="1"/>
      <w:numFmt w:val="lowerLetter"/>
      <w:lvlText w:val="(%2)"/>
      <w:lvlJc w:val="left"/>
      <w:pPr>
        <w:tabs>
          <w:tab w:val="num" w:pos="3935"/>
        </w:tabs>
        <w:ind w:left="3935" w:hanging="360"/>
      </w:pPr>
      <w:rPr>
        <w:rFonts w:ascii="Times New Roman" w:eastAsia="Times New Roman" w:hAnsi="Times New Roman" w:cs="Times New Roman"/>
      </w:r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4E"/>
    <w:rsid w:val="00502A27"/>
    <w:rsid w:val="00CC154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4C8E2"/>
  <w15:chartTrackingRefBased/>
  <w15:docId w15:val="{57798405-1085-42CF-AC9E-F30E5BBEB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C154E"/>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CC154E"/>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CC154E"/>
    <w:rPr>
      <w:rFonts w:ascii="Times New Roman" w:eastAsia="Times New Roman" w:hAnsi="Times New Roman" w:cs="Simplified Arabic"/>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2020-01-30T09:45:00Z</dcterms:created>
  <dcterms:modified xsi:type="dcterms:W3CDTF">2020-01-30T09:46:00Z</dcterms:modified>
</cp:coreProperties>
</file>