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FCDEB" w14:textId="58CF3B18" w:rsidR="00A24F15" w:rsidRPr="00B66330" w:rsidRDefault="00A24F15" w:rsidP="00A24F15">
      <w:pPr>
        <w:pStyle w:val="CH1"/>
        <w:spacing w:line="240" w:lineRule="auto"/>
        <w:rPr>
          <w:rFonts w:eastAsia="SimHei"/>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r w:rsidRPr="00B66330">
        <w:rPr>
          <w:rFonts w:eastAsia="SimHei"/>
          <w:bCs/>
          <w:snapToGrid w:val="0"/>
          <w:sz w:val="32"/>
          <w:szCs w:val="32"/>
          <w:lang w:val="zh-CN" w:eastAsia="zh-CN"/>
        </w:rPr>
        <w:t>BC-14/24</w:t>
      </w:r>
      <w:r w:rsidRPr="00B66330">
        <w:rPr>
          <w:rFonts w:eastAsia="SimHei"/>
          <w:bCs/>
          <w:snapToGrid w:val="0"/>
          <w:sz w:val="32"/>
          <w:szCs w:val="32"/>
          <w:lang w:val="zh-CN" w:eastAsia="zh-CN"/>
        </w:rPr>
        <w:t>：协同防止和打击危险化学品和废物的非法</w:t>
      </w:r>
      <w:r>
        <w:rPr>
          <w:rFonts w:eastAsia="SimHei"/>
          <w:bCs/>
          <w:snapToGrid w:val="0"/>
          <w:sz w:val="32"/>
          <w:szCs w:val="32"/>
          <w:lang w:val="zh-CN" w:eastAsia="zh-CN"/>
        </w:rPr>
        <w:br/>
      </w:r>
      <w:r w:rsidRPr="00B66330">
        <w:rPr>
          <w:rFonts w:eastAsia="SimHei"/>
          <w:bCs/>
          <w:snapToGrid w:val="0"/>
          <w:sz w:val="32"/>
          <w:szCs w:val="32"/>
          <w:lang w:val="zh-CN" w:eastAsia="zh-CN"/>
        </w:rPr>
        <w:t>贩运和贸易</w:t>
      </w:r>
    </w:p>
    <w:p w14:paraId="074B6AAB" w14:textId="77777777" w:rsidR="00A24F15" w:rsidRPr="00682B39" w:rsidRDefault="00A24F15" w:rsidP="00A24F15">
      <w:pPr>
        <w:autoSpaceDE w:val="0"/>
        <w:autoSpaceDN w:val="0"/>
        <w:adjustRightInd w:val="0"/>
        <w:spacing w:line="240" w:lineRule="auto"/>
        <w:ind w:left="1247" w:firstLine="624"/>
        <w:rPr>
          <w:rFonts w:ascii="KaiTi" w:eastAsia="KaiTi" w:hAnsi="KaiTi"/>
          <w:i/>
          <w:iCs/>
          <w:snapToGrid w:val="0"/>
          <w:sz w:val="24"/>
          <w:szCs w:val="24"/>
        </w:rPr>
      </w:pPr>
      <w:r w:rsidRPr="00682B39">
        <w:rPr>
          <w:rFonts w:ascii="KaiTi" w:eastAsia="KaiTi" w:hAnsi="KaiTi" w:hint="eastAsia"/>
          <w:snapToGrid w:val="0"/>
          <w:sz w:val="24"/>
          <w:szCs w:val="24"/>
          <w:lang w:val="zh-CN"/>
        </w:rPr>
        <w:t>缔约方大会，</w:t>
      </w:r>
    </w:p>
    <w:p w14:paraId="7347E1BB" w14:textId="77777777" w:rsidR="00A24F15" w:rsidRPr="00DD74F8" w:rsidRDefault="00A24F15" w:rsidP="00A24F15">
      <w:pPr>
        <w:tabs>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回顾</w:t>
      </w:r>
      <w:r w:rsidRPr="00B66330">
        <w:rPr>
          <w:snapToGrid w:val="0"/>
          <w:sz w:val="24"/>
          <w:szCs w:val="24"/>
          <w:lang w:val="zh-CN"/>
        </w:rPr>
        <w:t>关于协同防止和打击危险化学品和废物的非法贩运和贸易的</w:t>
      </w:r>
      <w:r w:rsidRPr="00B66330">
        <w:rPr>
          <w:snapToGrid w:val="0"/>
          <w:sz w:val="24"/>
          <w:szCs w:val="24"/>
          <w:lang w:val="zh-CN"/>
        </w:rPr>
        <w:t>BC-13/21</w:t>
      </w:r>
      <w:r w:rsidRPr="00B66330">
        <w:rPr>
          <w:snapToGrid w:val="0"/>
          <w:sz w:val="24"/>
          <w:szCs w:val="24"/>
          <w:lang w:val="zh-CN"/>
        </w:rPr>
        <w:t>号、</w:t>
      </w:r>
      <w:r w:rsidRPr="00B66330">
        <w:rPr>
          <w:snapToGrid w:val="0"/>
          <w:sz w:val="24"/>
          <w:szCs w:val="24"/>
          <w:lang w:val="zh-CN"/>
        </w:rPr>
        <w:t>RC-8/14</w:t>
      </w:r>
      <w:r w:rsidRPr="00B66330">
        <w:rPr>
          <w:snapToGrid w:val="0"/>
          <w:sz w:val="24"/>
          <w:szCs w:val="24"/>
          <w:lang w:val="zh-CN"/>
        </w:rPr>
        <w:t>号和</w:t>
      </w:r>
      <w:r w:rsidRPr="00B66330">
        <w:rPr>
          <w:snapToGrid w:val="0"/>
          <w:sz w:val="24"/>
          <w:szCs w:val="24"/>
          <w:lang w:val="zh-CN"/>
        </w:rPr>
        <w:t>SC-8/24</w:t>
      </w:r>
      <w:r w:rsidRPr="00B66330">
        <w:rPr>
          <w:snapToGrid w:val="0"/>
          <w:sz w:val="24"/>
          <w:szCs w:val="24"/>
          <w:lang w:val="zh-CN"/>
        </w:rPr>
        <w:t>号决定，</w:t>
      </w:r>
    </w:p>
    <w:p w14:paraId="27ABCB4E"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表示注意到</w:t>
      </w:r>
      <w:r w:rsidRPr="00B66330">
        <w:rPr>
          <w:snapToGrid w:val="0"/>
          <w:sz w:val="24"/>
          <w:szCs w:val="24"/>
          <w:lang w:val="zh-CN"/>
        </w:rPr>
        <w:t>缔约方提供的关于在建立协调机制方面的经验和从这些经验中吸取的教训，以及关于危险化学品和废物非法贸易案件的资料；</w:t>
      </w:r>
      <w:r w:rsidRPr="00B66330">
        <w:rPr>
          <w:rStyle w:val="FootnoteReference"/>
          <w:snapToGrid w:val="0"/>
          <w:sz w:val="24"/>
          <w:szCs w:val="24"/>
          <w:lang w:val="zh-CN"/>
        </w:rPr>
        <w:footnoteReference w:id="1"/>
      </w:r>
    </w:p>
    <w:p w14:paraId="04A3394B"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鼓励</w:t>
      </w:r>
      <w:r w:rsidRPr="00B66330">
        <w:rPr>
          <w:snapToGrid w:val="0"/>
          <w:sz w:val="24"/>
          <w:szCs w:val="24"/>
          <w:lang w:val="zh-CN"/>
        </w:rPr>
        <w:t>尚未在国家一级建立协调机制的缔约方建立这种机制，以期促进负责实施和执行《控制危险废物越境转移及其处置巴塞尔公约》、《关于在国际贸易中对某些危险化学品和农药采用事先知情同意程序的鹿特丹公约》和《关于持久性有机污染物的斯德哥尔摩公约》各项规定的有关部门之间的信息交流，其目的是控制上述公约所涵盖的化学品和废物的进出口；</w:t>
      </w:r>
      <w:r w:rsidRPr="00B66330">
        <w:rPr>
          <w:snapToGrid w:val="0"/>
          <w:sz w:val="24"/>
          <w:szCs w:val="24"/>
          <w:lang w:val="zh-CN"/>
        </w:rPr>
        <w:t xml:space="preserve"> </w:t>
      </w:r>
      <w:r w:rsidRPr="00B66330">
        <w:rPr>
          <w:snapToGrid w:val="0"/>
          <w:sz w:val="24"/>
          <w:szCs w:val="24"/>
          <w:lang w:val="zh-CN"/>
        </w:rPr>
        <w:t>鼓励缔约方向秘书处提供关于《巴塞尔公约》、《鹿特丹公约》和《斯德哥尔摩公约》所涵盖的化学品和废物的非法贩运和贸易的资料，如果提供这种资料在现有报告程序下是适当的话；</w:t>
      </w:r>
    </w:p>
    <w:p w14:paraId="04D9B071"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表示注意到</w:t>
      </w:r>
      <w:r w:rsidRPr="00B66330">
        <w:rPr>
          <w:snapToGrid w:val="0"/>
          <w:sz w:val="24"/>
          <w:szCs w:val="24"/>
          <w:lang w:val="zh-CN"/>
        </w:rPr>
        <w:t>秘书处编写的关于</w:t>
      </w:r>
      <w:r>
        <w:rPr>
          <w:rFonts w:hint="eastAsia"/>
          <w:snapToGrid w:val="0"/>
          <w:sz w:val="24"/>
          <w:szCs w:val="24"/>
          <w:lang w:val="zh-CN"/>
        </w:rPr>
        <w:t>还可在哪些方面</w:t>
      </w:r>
      <w:r w:rsidRPr="00B66330">
        <w:rPr>
          <w:snapToGrid w:val="0"/>
          <w:sz w:val="24"/>
          <w:szCs w:val="24"/>
          <w:lang w:val="zh-CN"/>
        </w:rPr>
        <w:t>提高法律明确性的报告，包括建议；</w:t>
      </w:r>
      <w:r w:rsidRPr="00B66330">
        <w:rPr>
          <w:rStyle w:val="FootnoteReference"/>
          <w:snapToGrid w:val="0"/>
          <w:sz w:val="24"/>
          <w:szCs w:val="24"/>
          <w:lang w:val="zh-CN"/>
        </w:rPr>
        <w:footnoteReference w:id="2"/>
      </w:r>
    </w:p>
    <w:p w14:paraId="2E528963"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又表示注意到</w:t>
      </w:r>
      <w:r w:rsidRPr="00B66330">
        <w:rPr>
          <w:snapToGrid w:val="0"/>
          <w:sz w:val="24"/>
          <w:szCs w:val="24"/>
          <w:lang w:val="zh-CN"/>
        </w:rPr>
        <w:t>组织间健全管理化学品方案成员组织、巴塞尔公约和斯德哥尔摩公约区域中心、国际刑事警察组织、世界海关组织、关于消耗臭氧层物质的蒙特利尔议定书秘书处以及相关全球和区域执法网络提供的资料，其中介绍了其旨在防止和打击危险化学品和废物非法贩运和贸易的活动，以及从这些活动中吸取的经验教训；</w:t>
      </w:r>
      <w:r w:rsidRPr="00B66330">
        <w:rPr>
          <w:rStyle w:val="FootnoteReference"/>
          <w:snapToGrid w:val="0"/>
          <w:sz w:val="24"/>
          <w:szCs w:val="24"/>
          <w:lang w:val="zh-CN"/>
        </w:rPr>
        <w:footnoteReference w:id="3"/>
      </w:r>
    </w:p>
    <w:p w14:paraId="2F6D667E"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鼓励</w:t>
      </w:r>
      <w:r w:rsidRPr="00B66330">
        <w:rPr>
          <w:snapToGrid w:val="0"/>
          <w:sz w:val="24"/>
          <w:szCs w:val="24"/>
          <w:lang w:val="zh-CN"/>
        </w:rPr>
        <w:t>本决定第</w:t>
      </w:r>
      <w:r w:rsidRPr="00B66330">
        <w:rPr>
          <w:snapToGrid w:val="0"/>
          <w:sz w:val="24"/>
          <w:szCs w:val="24"/>
          <w:lang w:val="zh-CN"/>
        </w:rPr>
        <w:t>4</w:t>
      </w:r>
      <w:r w:rsidRPr="00B66330">
        <w:rPr>
          <w:snapToGrid w:val="0"/>
          <w:sz w:val="24"/>
          <w:szCs w:val="24"/>
          <w:lang w:val="zh-CN"/>
        </w:rPr>
        <w:t>段所述的各组织开展旨在协助巴塞尔公约、鹿特丹公约和斯德哥尔摩公约缔约</w:t>
      </w:r>
      <w:proofErr w:type="gramStart"/>
      <w:r w:rsidRPr="00B66330">
        <w:rPr>
          <w:snapToGrid w:val="0"/>
          <w:sz w:val="24"/>
          <w:szCs w:val="24"/>
          <w:lang w:val="zh-CN"/>
        </w:rPr>
        <w:t>方防止</w:t>
      </w:r>
      <w:proofErr w:type="gramEnd"/>
      <w:r w:rsidRPr="00B66330">
        <w:rPr>
          <w:snapToGrid w:val="0"/>
          <w:sz w:val="24"/>
          <w:szCs w:val="24"/>
          <w:lang w:val="zh-CN"/>
        </w:rPr>
        <w:t>和打击危险化学品和废物非法贩运和贸易的活动，并向秘书处通报这方面的情况；</w:t>
      </w:r>
    </w:p>
    <w:p w14:paraId="1301CD36" w14:textId="77777777" w:rsidR="00A24F15" w:rsidRPr="00B66330" w:rsidRDefault="00A24F15" w:rsidP="00A24F15">
      <w:pPr>
        <w:numPr>
          <w:ilvl w:val="0"/>
          <w:numId w:val="3"/>
        </w:numPr>
        <w:tabs>
          <w:tab w:val="clear" w:pos="3215"/>
          <w:tab w:val="clear" w:pos="3515"/>
          <w:tab w:val="left" w:pos="624"/>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请</w:t>
      </w:r>
      <w:r w:rsidRPr="00B66330">
        <w:rPr>
          <w:snapToGrid w:val="0"/>
          <w:sz w:val="24"/>
          <w:szCs w:val="24"/>
          <w:lang w:val="zh-CN"/>
        </w:rPr>
        <w:t>秘书处：</w:t>
      </w:r>
    </w:p>
    <w:p w14:paraId="472A5780" w14:textId="77777777" w:rsidR="00A24F15" w:rsidRPr="00B66330" w:rsidRDefault="00A24F15" w:rsidP="00A24F15">
      <w:pPr>
        <w:pStyle w:val="Normalnumber"/>
        <w:numPr>
          <w:ilvl w:val="1"/>
          <w:numId w:val="2"/>
        </w:numPr>
        <w:tabs>
          <w:tab w:val="clear" w:pos="567"/>
          <w:tab w:val="clear" w:pos="624"/>
        </w:tabs>
        <w:spacing w:line="240" w:lineRule="auto"/>
        <w:ind w:firstLine="624"/>
        <w:jc w:val="both"/>
        <w:rPr>
          <w:snapToGrid w:val="0"/>
          <w:sz w:val="24"/>
          <w:szCs w:val="24"/>
          <w:lang w:eastAsia="zh-CN"/>
        </w:rPr>
      </w:pPr>
      <w:r w:rsidRPr="00B66330">
        <w:rPr>
          <w:snapToGrid w:val="0"/>
          <w:sz w:val="24"/>
          <w:szCs w:val="24"/>
          <w:lang w:val="zh-CN" w:eastAsia="zh-CN"/>
        </w:rPr>
        <w:t>参考巴塞尔公约的经验教训，制定一份表格草稿和解释性文件，以便于鹿特丹公约和斯德哥尔摩公约缔约方自愿提供关于违反这些公约的贸易案件的资料，供缔约方提出评论意见，附后供鹿特丹公约和斯德哥尔摩公约缔约方大会下次会议审议；</w:t>
      </w:r>
    </w:p>
    <w:p w14:paraId="3E6B9CE5" w14:textId="77777777" w:rsidR="00A24F15" w:rsidRPr="00B66330" w:rsidRDefault="00A24F15" w:rsidP="00A24F15">
      <w:pPr>
        <w:pStyle w:val="Normalnumber"/>
        <w:numPr>
          <w:ilvl w:val="1"/>
          <w:numId w:val="2"/>
        </w:numPr>
        <w:tabs>
          <w:tab w:val="clear" w:pos="567"/>
          <w:tab w:val="clear" w:pos="624"/>
        </w:tabs>
        <w:spacing w:line="240" w:lineRule="auto"/>
        <w:ind w:firstLine="624"/>
        <w:jc w:val="both"/>
        <w:rPr>
          <w:snapToGrid w:val="0"/>
          <w:sz w:val="24"/>
          <w:szCs w:val="24"/>
          <w:lang w:eastAsia="zh-CN"/>
        </w:rPr>
      </w:pPr>
      <w:r w:rsidRPr="00B66330">
        <w:rPr>
          <w:snapToGrid w:val="0"/>
          <w:sz w:val="24"/>
          <w:szCs w:val="24"/>
          <w:lang w:val="zh-CN" w:eastAsia="zh-CN"/>
        </w:rPr>
        <w:lastRenderedPageBreak/>
        <w:t>参考现有资料</w:t>
      </w:r>
      <w:r w:rsidRPr="00B66330">
        <w:rPr>
          <w:rStyle w:val="FootnoteReference"/>
          <w:snapToGrid w:val="0"/>
          <w:sz w:val="24"/>
          <w:szCs w:val="24"/>
          <w:lang w:val="zh-CN"/>
        </w:rPr>
        <w:footnoteReference w:id="4"/>
      </w:r>
      <w:r w:rsidRPr="00B66330">
        <w:rPr>
          <w:snapToGrid w:val="0"/>
          <w:sz w:val="24"/>
          <w:szCs w:val="24"/>
          <w:lang w:val="zh-CN" w:eastAsia="zh-CN"/>
        </w:rPr>
        <w:t>以及依照本决定第</w:t>
      </w:r>
      <w:r w:rsidRPr="00B66330">
        <w:rPr>
          <w:snapToGrid w:val="0"/>
          <w:sz w:val="24"/>
          <w:szCs w:val="24"/>
          <w:lang w:val="zh-CN" w:eastAsia="zh-CN"/>
        </w:rPr>
        <w:t>5</w:t>
      </w:r>
      <w:r w:rsidRPr="00B66330">
        <w:rPr>
          <w:snapToGrid w:val="0"/>
          <w:sz w:val="24"/>
          <w:szCs w:val="24"/>
          <w:lang w:val="zh-CN" w:eastAsia="zh-CN"/>
        </w:rPr>
        <w:t>段收到的资料，就加强合作的机会编写建议，供巴塞尔公约、鹿特丹公约和斯德哥尔摩公约缔约方大会下次会议审议；</w:t>
      </w:r>
    </w:p>
    <w:p w14:paraId="416EDD66" w14:textId="77777777" w:rsidR="00A24F15" w:rsidRPr="00B66330" w:rsidRDefault="00A24F15" w:rsidP="00A24F15">
      <w:pPr>
        <w:pStyle w:val="Normalnumber"/>
        <w:numPr>
          <w:ilvl w:val="1"/>
          <w:numId w:val="2"/>
        </w:numPr>
        <w:tabs>
          <w:tab w:val="clear" w:pos="567"/>
          <w:tab w:val="clear" w:pos="624"/>
        </w:tabs>
        <w:spacing w:line="240" w:lineRule="auto"/>
        <w:ind w:firstLine="624"/>
        <w:jc w:val="both"/>
        <w:rPr>
          <w:snapToGrid w:val="0"/>
          <w:sz w:val="24"/>
          <w:szCs w:val="24"/>
          <w:lang w:eastAsia="zh-CN"/>
        </w:rPr>
      </w:pPr>
      <w:r w:rsidRPr="00B66330">
        <w:rPr>
          <w:snapToGrid w:val="0"/>
          <w:sz w:val="24"/>
          <w:szCs w:val="24"/>
          <w:lang w:val="zh-CN" w:eastAsia="zh-CN"/>
        </w:rPr>
        <w:t>继续提供咨询意见，并在具备资源的情况下开展技术援助活动，以加强缔约</w:t>
      </w:r>
      <w:proofErr w:type="gramStart"/>
      <w:r w:rsidRPr="00B66330">
        <w:rPr>
          <w:snapToGrid w:val="0"/>
          <w:sz w:val="24"/>
          <w:szCs w:val="24"/>
          <w:lang w:val="zh-CN" w:eastAsia="zh-CN"/>
        </w:rPr>
        <w:t>方防止</w:t>
      </w:r>
      <w:proofErr w:type="gramEnd"/>
      <w:r w:rsidRPr="00B66330">
        <w:rPr>
          <w:snapToGrid w:val="0"/>
          <w:sz w:val="24"/>
          <w:szCs w:val="24"/>
          <w:lang w:val="zh-CN" w:eastAsia="zh-CN"/>
        </w:rPr>
        <w:t>和打击《巴塞尔公约》、《鹿特丹公约》和《斯德哥尔摩公约》所涵盖的化学品和废物的非法贩运和贸易的能力；</w:t>
      </w:r>
    </w:p>
    <w:p w14:paraId="55307496" w14:textId="77777777" w:rsidR="00A24F15" w:rsidRPr="00B66330" w:rsidRDefault="00A24F15" w:rsidP="00A24F15">
      <w:pPr>
        <w:pStyle w:val="Normalnumber"/>
        <w:numPr>
          <w:ilvl w:val="1"/>
          <w:numId w:val="2"/>
        </w:numPr>
        <w:tabs>
          <w:tab w:val="clear" w:pos="567"/>
          <w:tab w:val="clear" w:pos="624"/>
        </w:tabs>
        <w:spacing w:line="240" w:lineRule="auto"/>
        <w:ind w:firstLine="624"/>
        <w:jc w:val="both"/>
        <w:rPr>
          <w:snapToGrid w:val="0"/>
          <w:color w:val="000000"/>
          <w:sz w:val="24"/>
          <w:szCs w:val="24"/>
          <w:lang w:eastAsia="zh-CN"/>
        </w:rPr>
      </w:pPr>
      <w:r w:rsidRPr="00B66330">
        <w:rPr>
          <w:snapToGrid w:val="0"/>
          <w:sz w:val="24"/>
          <w:szCs w:val="24"/>
          <w:lang w:val="zh-CN" w:eastAsia="zh-CN"/>
        </w:rPr>
        <w:t>向缔约方大会下一次会议汇报本决定的执行情况。</w:t>
      </w:r>
    </w:p>
    <w:p w14:paraId="213415E7" w14:textId="77777777" w:rsidR="00F935A6" w:rsidRPr="00A24F15" w:rsidRDefault="00F935A6">
      <w:pPr>
        <w:rPr>
          <w:lang w:val="en-GB"/>
        </w:rPr>
      </w:pPr>
      <w:bookmarkStart w:id="0" w:name="_GoBack"/>
      <w:bookmarkEnd w:id="0"/>
    </w:p>
    <w:sectPr w:rsidR="00F935A6" w:rsidRPr="00A24F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088CB" w14:textId="77777777" w:rsidR="004C7B18" w:rsidRDefault="004C7B18" w:rsidP="00A24F15">
      <w:pPr>
        <w:spacing w:after="0" w:line="240" w:lineRule="auto"/>
      </w:pPr>
      <w:r>
        <w:separator/>
      </w:r>
    </w:p>
  </w:endnote>
  <w:endnote w:type="continuationSeparator" w:id="0">
    <w:p w14:paraId="498BE2F3" w14:textId="77777777" w:rsidR="004C7B18" w:rsidRDefault="004C7B18" w:rsidP="00A24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1BAA0" w14:textId="77777777" w:rsidR="004C7B18" w:rsidRDefault="004C7B18" w:rsidP="00A24F15">
      <w:pPr>
        <w:spacing w:after="0" w:line="240" w:lineRule="auto"/>
      </w:pPr>
      <w:r>
        <w:separator/>
      </w:r>
    </w:p>
  </w:footnote>
  <w:footnote w:type="continuationSeparator" w:id="0">
    <w:p w14:paraId="54264922" w14:textId="77777777" w:rsidR="004C7B18" w:rsidRDefault="004C7B18" w:rsidP="00A24F15">
      <w:pPr>
        <w:spacing w:after="0" w:line="240" w:lineRule="auto"/>
      </w:pPr>
      <w:r>
        <w:continuationSeparator/>
      </w:r>
    </w:p>
  </w:footnote>
  <w:footnote w:id="1">
    <w:p w14:paraId="10471E76" w14:textId="77777777" w:rsidR="00A24F15" w:rsidRPr="00682B39" w:rsidRDefault="00A24F15" w:rsidP="00A24F15">
      <w:pPr>
        <w:pStyle w:val="FootnoteText"/>
        <w:tabs>
          <w:tab w:val="left" w:pos="624"/>
        </w:tabs>
        <w:spacing w:after="40" w:line="240" w:lineRule="auto"/>
        <w:ind w:leftChars="597" w:left="1254" w:right="57" w:firstLineChars="11" w:firstLine="22"/>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UNEP/CHW.14/23-UNEP/FAO/RC/COP.9/19-UNEP/POPS/COP.9/26</w:t>
      </w:r>
      <w:r w:rsidRPr="00682B39">
        <w:rPr>
          <w:rFonts w:hint="eastAsia"/>
          <w:spacing w:val="0"/>
          <w:w w:val="100"/>
          <w:sz w:val="20"/>
          <w:lang w:val="zh-CN"/>
        </w:rPr>
        <w:t>和</w:t>
      </w:r>
      <w:r w:rsidRPr="00682B39">
        <w:rPr>
          <w:spacing w:val="0"/>
          <w:w w:val="100"/>
          <w:sz w:val="20"/>
          <w:lang w:val="en-US"/>
        </w:rPr>
        <w:t>UNEP/CHW.14/INF/42-UNEP/FAO/RC/COP.9/INF/33-UNEP/POPS/COP.9/INF/42</w:t>
      </w:r>
      <w:r w:rsidRPr="00682B39">
        <w:rPr>
          <w:rFonts w:hint="eastAsia"/>
          <w:spacing w:val="0"/>
          <w:w w:val="100"/>
          <w:sz w:val="20"/>
          <w:lang w:val="en-US"/>
        </w:rPr>
        <w:t>，</w:t>
      </w:r>
      <w:r w:rsidRPr="00682B39">
        <w:rPr>
          <w:rFonts w:hint="eastAsia"/>
          <w:spacing w:val="0"/>
          <w:w w:val="100"/>
          <w:sz w:val="20"/>
          <w:lang w:val="zh-CN"/>
        </w:rPr>
        <w:t>附件一。</w:t>
      </w:r>
    </w:p>
  </w:footnote>
  <w:footnote w:id="2">
    <w:p w14:paraId="1368553C" w14:textId="77777777" w:rsidR="00A24F15" w:rsidRPr="00682B39" w:rsidRDefault="00A24F15" w:rsidP="00A24F15">
      <w:pPr>
        <w:pStyle w:val="FootnoteText"/>
        <w:tabs>
          <w:tab w:val="left" w:pos="624"/>
        </w:tabs>
        <w:spacing w:after="40" w:line="240" w:lineRule="auto"/>
        <w:ind w:leftChars="597" w:left="1254" w:right="57" w:firstLineChars="11" w:firstLine="22"/>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UNEP/CHW.14/INF/41–UNEP/FAO/RC/COP.9/INF/34–UNEP/POPS/COP.9/INF/43</w:t>
      </w:r>
      <w:r w:rsidRPr="00682B39">
        <w:rPr>
          <w:rFonts w:hint="eastAsia"/>
          <w:spacing w:val="0"/>
          <w:w w:val="100"/>
          <w:sz w:val="20"/>
          <w:lang w:val="en-US"/>
        </w:rPr>
        <w:t>，</w:t>
      </w:r>
      <w:r w:rsidRPr="00682B39">
        <w:rPr>
          <w:rFonts w:hint="eastAsia"/>
          <w:spacing w:val="0"/>
          <w:w w:val="100"/>
          <w:sz w:val="20"/>
          <w:lang w:val="zh-CN"/>
        </w:rPr>
        <w:t>附件。</w:t>
      </w:r>
    </w:p>
  </w:footnote>
  <w:footnote w:id="3">
    <w:p w14:paraId="249A9366" w14:textId="77777777" w:rsidR="00A24F15" w:rsidRPr="00682B39" w:rsidRDefault="00A24F15" w:rsidP="00A24F15">
      <w:pPr>
        <w:tabs>
          <w:tab w:val="left" w:pos="624"/>
        </w:tabs>
        <w:spacing w:before="20" w:after="40" w:line="240" w:lineRule="auto"/>
        <w:ind w:leftChars="597" w:left="1254" w:right="57" w:firstLineChars="11" w:firstLine="29"/>
        <w:jc w:val="left"/>
        <w:rPr>
          <w:sz w:val="20"/>
          <w:szCs w:val="20"/>
        </w:rPr>
      </w:pPr>
      <w:r w:rsidRPr="00682B39">
        <w:rPr>
          <w:rStyle w:val="FootnoteReference"/>
          <w:szCs w:val="20"/>
          <w:lang w:val="zh-CN"/>
        </w:rPr>
        <w:footnoteRef/>
      </w:r>
      <w:r w:rsidRPr="00682B39">
        <w:rPr>
          <w:sz w:val="20"/>
          <w:szCs w:val="20"/>
        </w:rPr>
        <w:t xml:space="preserve"> UNEP/CHW.14/23–UNEP/FAO/RC/COP.9/19–UNEP/POPS/COP.9/26</w:t>
      </w:r>
      <w:r w:rsidRPr="00682B39">
        <w:rPr>
          <w:rFonts w:hint="eastAsia"/>
          <w:sz w:val="20"/>
          <w:szCs w:val="20"/>
        </w:rPr>
        <w:t>和</w:t>
      </w:r>
      <w:r w:rsidRPr="00682B39">
        <w:rPr>
          <w:sz w:val="20"/>
          <w:szCs w:val="20"/>
        </w:rPr>
        <w:t xml:space="preserve"> UNEP/CHW.14/INF/42–UNEP/FAO/RC/COP.9/INF/33–UNEP/POPS/COP.9/INF/42</w:t>
      </w:r>
      <w:r w:rsidRPr="00682B39">
        <w:rPr>
          <w:rFonts w:hint="eastAsia"/>
          <w:sz w:val="20"/>
          <w:szCs w:val="20"/>
        </w:rPr>
        <w:t>，</w:t>
      </w:r>
      <w:r w:rsidRPr="00682B39">
        <w:rPr>
          <w:rFonts w:hint="eastAsia"/>
          <w:sz w:val="20"/>
          <w:szCs w:val="20"/>
          <w:lang w:val="zh-CN"/>
        </w:rPr>
        <w:t>附件二。</w:t>
      </w:r>
    </w:p>
  </w:footnote>
  <w:footnote w:id="4">
    <w:p w14:paraId="59157729" w14:textId="77777777" w:rsidR="00A24F15" w:rsidRPr="00682B39" w:rsidRDefault="00A24F15" w:rsidP="00A24F15">
      <w:pPr>
        <w:pStyle w:val="FootnoteText"/>
        <w:tabs>
          <w:tab w:val="left" w:pos="624"/>
        </w:tabs>
        <w:spacing w:after="40" w:line="240" w:lineRule="auto"/>
        <w:ind w:leftChars="540" w:left="1254" w:right="57" w:hangingChars="60" w:hanging="120"/>
        <w:rPr>
          <w:spacing w:val="0"/>
          <w:w w:val="100"/>
          <w:sz w:val="20"/>
          <w:lang w:val="en-US"/>
        </w:rPr>
      </w:pPr>
      <w:r>
        <w:rPr>
          <w:spacing w:val="0"/>
          <w:w w:val="100"/>
          <w:sz w:val="20"/>
          <w:lang w:val="en-US"/>
        </w:rPr>
        <w:t xml:space="preserve">  </w:t>
      </w:r>
      <w:r w:rsidRPr="00682B39">
        <w:rPr>
          <w:spacing w:val="0"/>
          <w:w w:val="100"/>
          <w:sz w:val="20"/>
          <w:vertAlign w:val="superscript"/>
          <w:lang w:val="zh-CN"/>
        </w:rPr>
        <w:footnoteRef/>
      </w:r>
      <w:r w:rsidRPr="00682B39">
        <w:rPr>
          <w:spacing w:val="0"/>
          <w:w w:val="100"/>
          <w:sz w:val="20"/>
          <w:lang w:val="en-US"/>
        </w:rPr>
        <w:t xml:space="preserve"> UNEP/CHW.14/INF/42–UNEP/FAO/RC/COP.9/INF/33–UNEP/POPS/COP.9/INF/42</w:t>
      </w:r>
      <w:r w:rsidRPr="00682B39">
        <w:rPr>
          <w:rFonts w:hint="eastAsia"/>
          <w:spacing w:val="0"/>
          <w:w w:val="100"/>
          <w:sz w:val="20"/>
          <w:lang w:val="en-US"/>
        </w:rPr>
        <w:t>，</w:t>
      </w:r>
      <w:r w:rsidRPr="00682B39">
        <w:rPr>
          <w:rFonts w:hint="eastAsia"/>
          <w:spacing w:val="0"/>
          <w:w w:val="100"/>
          <w:sz w:val="20"/>
          <w:lang w:val="zh-CN"/>
        </w:rPr>
        <w:t>附件二。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1F46"/>
    <w:multiLevelType w:val="multilevel"/>
    <w:tmpl w:val="10AE1F46"/>
    <w:lvl w:ilvl="0">
      <w:start w:val="1"/>
      <w:numFmt w:val="decimal"/>
      <w:lvlText w:val="%1."/>
      <w:lvlJc w:val="left"/>
      <w:pPr>
        <w:tabs>
          <w:tab w:val="left" w:pos="3215"/>
        </w:tabs>
        <w:ind w:left="3215" w:hanging="360"/>
      </w:pPr>
    </w:lvl>
    <w:lvl w:ilvl="1">
      <w:start w:val="1"/>
      <w:numFmt w:val="lowerLetter"/>
      <w:lvlText w:val="%2."/>
      <w:lvlJc w:val="left"/>
      <w:pPr>
        <w:tabs>
          <w:tab w:val="left" w:pos="3935"/>
        </w:tabs>
        <w:ind w:left="3935" w:hanging="360"/>
      </w:pPr>
    </w:lvl>
    <w:lvl w:ilvl="2">
      <w:start w:val="1"/>
      <w:numFmt w:val="lowerRoman"/>
      <w:lvlText w:val="%3."/>
      <w:lvlJc w:val="right"/>
      <w:pPr>
        <w:tabs>
          <w:tab w:val="left" w:pos="4655"/>
        </w:tabs>
        <w:ind w:left="4655" w:hanging="180"/>
      </w:pPr>
    </w:lvl>
    <w:lvl w:ilvl="3">
      <w:start w:val="1"/>
      <w:numFmt w:val="decimal"/>
      <w:lvlText w:val="%4."/>
      <w:lvlJc w:val="left"/>
      <w:pPr>
        <w:tabs>
          <w:tab w:val="left" w:pos="5375"/>
        </w:tabs>
        <w:ind w:left="5375" w:hanging="360"/>
      </w:pPr>
    </w:lvl>
    <w:lvl w:ilvl="4">
      <w:start w:val="1"/>
      <w:numFmt w:val="lowerLetter"/>
      <w:lvlText w:val="%5."/>
      <w:lvlJc w:val="left"/>
      <w:pPr>
        <w:tabs>
          <w:tab w:val="left" w:pos="6095"/>
        </w:tabs>
        <w:ind w:left="6095" w:hanging="360"/>
      </w:pPr>
    </w:lvl>
    <w:lvl w:ilvl="5">
      <w:start w:val="1"/>
      <w:numFmt w:val="lowerRoman"/>
      <w:lvlText w:val="%6."/>
      <w:lvlJc w:val="right"/>
      <w:pPr>
        <w:tabs>
          <w:tab w:val="left" w:pos="6815"/>
        </w:tabs>
        <w:ind w:left="6815" w:hanging="180"/>
      </w:pPr>
    </w:lvl>
    <w:lvl w:ilvl="6">
      <w:start w:val="1"/>
      <w:numFmt w:val="decimal"/>
      <w:lvlText w:val="%7."/>
      <w:lvlJc w:val="left"/>
      <w:pPr>
        <w:tabs>
          <w:tab w:val="left" w:pos="7535"/>
        </w:tabs>
        <w:ind w:left="7535" w:hanging="360"/>
      </w:pPr>
    </w:lvl>
    <w:lvl w:ilvl="7">
      <w:start w:val="1"/>
      <w:numFmt w:val="lowerLetter"/>
      <w:lvlText w:val="%8."/>
      <w:lvlJc w:val="left"/>
      <w:pPr>
        <w:tabs>
          <w:tab w:val="left" w:pos="8255"/>
        </w:tabs>
        <w:ind w:left="8255" w:hanging="360"/>
      </w:pPr>
    </w:lvl>
    <w:lvl w:ilvl="8">
      <w:start w:val="1"/>
      <w:numFmt w:val="lowerRoman"/>
      <w:lvlText w:val="%9."/>
      <w:lvlJc w:val="right"/>
      <w:pPr>
        <w:tabs>
          <w:tab w:val="left" w:pos="8975"/>
        </w:tabs>
        <w:ind w:left="8975" w:hanging="180"/>
      </w:pPr>
    </w:lvl>
  </w:abstractNum>
  <w:abstractNum w:abstractNumId="1" w15:restartNumberingAfterBreak="0">
    <w:nsid w:val="171113A7"/>
    <w:multiLevelType w:val="multilevel"/>
    <w:tmpl w:val="171113A7"/>
    <w:lvl w:ilvl="0">
      <w:start w:val="1"/>
      <w:numFmt w:val="decimal"/>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Letter"/>
      <w:lvlText w:val="%5."/>
      <w:lvlJc w:val="left"/>
      <w:pPr>
        <w:tabs>
          <w:tab w:val="left" w:pos="6548"/>
        </w:tabs>
        <w:ind w:left="6548" w:hanging="360"/>
      </w:pPr>
      <w:rPr>
        <w:rFonts w:hint="default"/>
      </w:rPr>
    </w:lvl>
    <w:lvl w:ilvl="5">
      <w:start w:val="1"/>
      <w:numFmt w:val="lowerRoman"/>
      <w:lvlText w:val="%6."/>
      <w:lvlJc w:val="right"/>
      <w:pPr>
        <w:tabs>
          <w:tab w:val="left" w:pos="7268"/>
        </w:tabs>
        <w:ind w:left="7268" w:hanging="180"/>
      </w:pPr>
      <w:rPr>
        <w:rFonts w:hint="default"/>
      </w:rPr>
    </w:lvl>
    <w:lvl w:ilvl="6">
      <w:start w:val="1"/>
      <w:numFmt w:val="decimal"/>
      <w:lvlText w:val="%7."/>
      <w:lvlJc w:val="left"/>
      <w:pPr>
        <w:tabs>
          <w:tab w:val="left" w:pos="7988"/>
        </w:tabs>
        <w:ind w:left="7988" w:hanging="360"/>
      </w:pPr>
      <w:rPr>
        <w:rFonts w:hint="default"/>
      </w:rPr>
    </w:lvl>
    <w:lvl w:ilvl="7">
      <w:start w:val="1"/>
      <w:numFmt w:val="lowerLetter"/>
      <w:lvlText w:val="%8."/>
      <w:lvlJc w:val="left"/>
      <w:pPr>
        <w:tabs>
          <w:tab w:val="left" w:pos="8708"/>
        </w:tabs>
        <w:ind w:left="8708" w:hanging="360"/>
      </w:pPr>
      <w:rPr>
        <w:rFonts w:hint="default"/>
      </w:rPr>
    </w:lvl>
    <w:lvl w:ilvl="8">
      <w:start w:val="1"/>
      <w:numFmt w:val="lowerRoman"/>
      <w:lvlText w:val="%9."/>
      <w:lvlJc w:val="right"/>
      <w:pPr>
        <w:tabs>
          <w:tab w:val="left" w:pos="9428"/>
        </w:tabs>
        <w:ind w:left="9428" w:hanging="180"/>
      </w:pPr>
      <w:rPr>
        <w:rFonts w:hint="default"/>
      </w:rPr>
    </w:lvl>
  </w:abstractNum>
  <w:abstractNum w:abstractNumId="2" w15:restartNumberingAfterBreak="0">
    <w:nsid w:val="52A66A9D"/>
    <w:multiLevelType w:val="multilevel"/>
    <w:tmpl w:val="B46AE4B0"/>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sz w:val="24"/>
        <w:szCs w:val="24"/>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num w:numId="1">
    <w:abstractNumId w:val="2"/>
    <w:lvlOverride w:ilvl="0">
      <w:lvl w:ilvl="0">
        <w:start w:val="1"/>
        <w:numFmt w:val="decimal"/>
        <w:pStyle w:val="Normalnumber"/>
        <w:lvlText w:val="%1."/>
        <w:lvlJc w:val="left"/>
        <w:pPr>
          <w:tabs>
            <w:tab w:val="left" w:pos="1134"/>
          </w:tabs>
          <w:ind w:left="1247" w:firstLine="0"/>
        </w:pPr>
        <w:rPr>
          <w:rFonts w:hint="default"/>
          <w:sz w:val="24"/>
          <w:szCs w:val="24"/>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
    <w:abstractNumId w:val="1"/>
    <w:lvlOverride w:ilvl="0">
      <w:lvl w:ilvl="0" w:tentative="1">
        <w:start w:val="1"/>
        <w:numFmt w:val="decimal"/>
        <w:lvlText w:val="%1."/>
        <w:lvlJc w:val="left"/>
        <w:pPr>
          <w:tabs>
            <w:tab w:val="left" w:pos="567"/>
          </w:tabs>
          <w:ind w:left="1247" w:firstLine="0"/>
        </w:pPr>
      </w:lvl>
    </w:lvlOverride>
    <w:lvlOverride w:ilvl="1">
      <w:lvl w:ilvl="1">
        <w:start w:val="1"/>
        <w:numFmt w:val="lowerLetter"/>
        <w:lvlText w:val="(%2)"/>
        <w:lvlJc w:val="left"/>
        <w:pPr>
          <w:tabs>
            <w:tab w:val="left" w:pos="567"/>
          </w:tabs>
          <w:ind w:left="1247" w:firstLine="567"/>
        </w:pPr>
      </w:lvl>
    </w:lvlOverride>
    <w:lvlOverride w:ilvl="2">
      <w:lvl w:ilvl="2" w:tentative="1">
        <w:start w:val="1"/>
        <w:numFmt w:val="lowerRoman"/>
        <w:lvlText w:val="(%3)"/>
        <w:lvlJc w:val="left"/>
        <w:pPr>
          <w:tabs>
            <w:tab w:val="left" w:pos="567"/>
          </w:tabs>
          <w:ind w:left="2948" w:hanging="567"/>
        </w:pPr>
      </w:lvl>
    </w:lvlOverride>
    <w:lvlOverride w:ilvl="3">
      <w:lvl w:ilvl="3" w:tentative="1">
        <w:start w:val="1"/>
        <w:numFmt w:val="lowerLetter"/>
        <w:lvlText w:val="%4."/>
        <w:lvlJc w:val="left"/>
        <w:pPr>
          <w:tabs>
            <w:tab w:val="left" w:pos="567"/>
          </w:tabs>
          <w:ind w:left="3515" w:hanging="567"/>
        </w:pPr>
      </w:lvl>
    </w:lvlOverride>
    <w:lvlOverride w:ilvl="4">
      <w:lvl w:ilvl="4" w:tentative="1">
        <w:start w:val="1"/>
        <w:numFmt w:val="lowerLetter"/>
        <w:lvlText w:val="%5."/>
        <w:lvlJc w:val="left"/>
        <w:pPr>
          <w:tabs>
            <w:tab w:val="left" w:pos="6548"/>
          </w:tabs>
          <w:ind w:left="6548" w:hanging="360"/>
        </w:pPr>
      </w:lvl>
    </w:lvlOverride>
    <w:lvlOverride w:ilvl="5">
      <w:lvl w:ilvl="5" w:tentative="1">
        <w:start w:val="1"/>
        <w:numFmt w:val="lowerRoman"/>
        <w:lvlText w:val="%6."/>
        <w:lvlJc w:val="right"/>
        <w:pPr>
          <w:tabs>
            <w:tab w:val="left" w:pos="7268"/>
          </w:tabs>
          <w:ind w:left="7268" w:hanging="180"/>
        </w:pPr>
      </w:lvl>
    </w:lvlOverride>
    <w:lvlOverride w:ilvl="6">
      <w:lvl w:ilvl="6" w:tentative="1">
        <w:start w:val="1"/>
        <w:numFmt w:val="decimal"/>
        <w:lvlText w:val="%7."/>
        <w:lvlJc w:val="left"/>
        <w:pPr>
          <w:tabs>
            <w:tab w:val="left" w:pos="7988"/>
          </w:tabs>
          <w:ind w:left="7988" w:hanging="360"/>
        </w:pPr>
      </w:lvl>
    </w:lvlOverride>
    <w:lvlOverride w:ilvl="7">
      <w:lvl w:ilvl="7" w:tentative="1">
        <w:start w:val="1"/>
        <w:numFmt w:val="lowerLetter"/>
        <w:lvlText w:val="%8."/>
        <w:lvlJc w:val="left"/>
        <w:pPr>
          <w:tabs>
            <w:tab w:val="left" w:pos="8708"/>
          </w:tabs>
          <w:ind w:left="8708" w:hanging="360"/>
        </w:pPr>
      </w:lvl>
    </w:lvlOverride>
    <w:lvlOverride w:ilvl="8">
      <w:lvl w:ilvl="8" w:tentative="1">
        <w:start w:val="1"/>
        <w:numFmt w:val="lowerRoman"/>
        <w:lvlText w:val="%9."/>
        <w:lvlJc w:val="right"/>
        <w:pPr>
          <w:tabs>
            <w:tab w:val="left" w:pos="9428"/>
          </w:tabs>
          <w:ind w:left="9428" w:hanging="180"/>
        </w:pPr>
      </w:lvl>
    </w:lvlOverride>
  </w:num>
  <w:num w:numId="3">
    <w:abstractNumId w:val="0"/>
    <w:lvlOverride w:ilvl="0">
      <w:lvl w:ilvl="0">
        <w:start w:val="1"/>
        <w:numFmt w:val="decimal"/>
        <w:lvlText w:val="%1."/>
        <w:lvlJc w:val="left"/>
        <w:pPr>
          <w:tabs>
            <w:tab w:val="left" w:pos="3215"/>
          </w:tabs>
          <w:ind w:left="3215"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F15"/>
    <w:rsid w:val="004C7B18"/>
    <w:rsid w:val="00A24F1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2B5F5"/>
  <w15:chartTrackingRefBased/>
  <w15:docId w15:val="{CC724A95-3D32-45F6-A1FA-4C9E0D2E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24F15"/>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A24F15"/>
    <w:pPr>
      <w:numPr>
        <w:numId w:val="1"/>
      </w:numPr>
      <w:tabs>
        <w:tab w:val="clear" w:pos="1134"/>
        <w:tab w:val="left" w:pos="624"/>
        <w:tab w:val="left" w:pos="4082"/>
      </w:tabs>
      <w:spacing w:line="259" w:lineRule="auto"/>
      <w:jc w:val="left"/>
    </w:pPr>
    <w:rPr>
      <w:sz w:val="20"/>
      <w:szCs w:val="20"/>
      <w:lang w:val="en-GB" w:eastAsia="en-US"/>
    </w:rPr>
  </w:style>
  <w:style w:type="paragraph" w:styleId="FootnoteText">
    <w:name w:val="footnote text"/>
    <w:basedOn w:val="Normal"/>
    <w:link w:val="FootnoteTextChar"/>
    <w:qFormat/>
    <w:rsid w:val="00A24F15"/>
    <w:pPr>
      <w:spacing w:before="20" w:after="0" w:line="210" w:lineRule="exact"/>
      <w:ind w:left="475" w:hanging="475"/>
      <w:jc w:val="left"/>
    </w:pPr>
    <w:rPr>
      <w:spacing w:val="5"/>
      <w:w w:val="104"/>
      <w:kern w:val="14"/>
      <w:sz w:val="18"/>
      <w:szCs w:val="20"/>
      <w:lang w:val="fr-FR" w:eastAsia="en-US"/>
    </w:rPr>
  </w:style>
  <w:style w:type="character" w:customStyle="1" w:styleId="FootnoteTextChar">
    <w:name w:val="Footnote Text Char"/>
    <w:basedOn w:val="DefaultParagraphFont"/>
    <w:link w:val="FootnoteText"/>
    <w:rsid w:val="00A24F15"/>
    <w:rPr>
      <w:rFonts w:ascii="Times New Roman" w:eastAsia="SimSun" w:hAnsi="Times New Roman" w:cs="Times New Roman"/>
      <w:spacing w:val="5"/>
      <w:w w:val="104"/>
      <w:kern w:val="14"/>
      <w:sz w:val="18"/>
      <w:szCs w:val="20"/>
      <w:lang w:val="fr-FR" w:eastAsia="en-US"/>
    </w:rPr>
  </w:style>
  <w:style w:type="character" w:styleId="FootnoteReference">
    <w:name w:val="footnote reference"/>
    <w:basedOn w:val="DefaultParagraphFont"/>
    <w:link w:val="BVIfnrCharCharCharChar"/>
    <w:qFormat/>
    <w:rsid w:val="00A24F15"/>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A24F15"/>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customStyle="1" w:styleId="CH1">
    <w:name w:val="CH1"/>
    <w:basedOn w:val="Normal"/>
    <w:next w:val="Normal"/>
    <w:qFormat/>
    <w:rsid w:val="00A24F15"/>
    <w:pPr>
      <w:keepNext/>
      <w:keepLines/>
      <w:tabs>
        <w:tab w:val="right" w:pos="851"/>
        <w:tab w:val="left" w:pos="4082"/>
      </w:tabs>
      <w:suppressAutoHyphens/>
      <w:spacing w:before="240" w:line="259" w:lineRule="auto"/>
      <w:ind w:left="1247" w:right="284" w:hanging="1247"/>
      <w:jc w:val="left"/>
    </w:pPr>
    <w:rPr>
      <w:b/>
      <w:sz w:val="28"/>
      <w:szCs w:val="28"/>
      <w:lang w:val="en-GB" w:eastAsia="en-US"/>
    </w:rPr>
  </w:style>
  <w:style w:type="paragraph" w:customStyle="1" w:styleId="Normal-pool">
    <w:name w:val="Normal-pool"/>
    <w:link w:val="Normal-poolChar"/>
    <w:qFormat/>
    <w:rsid w:val="00A24F15"/>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numberChar">
    <w:name w:val="Normal_number Char"/>
    <w:link w:val="Normalnumber"/>
    <w:rsid w:val="00A24F15"/>
    <w:rPr>
      <w:rFonts w:ascii="Times New Roman" w:eastAsia="SimSun" w:hAnsi="Times New Roman" w:cs="Times New Roman"/>
      <w:sz w:val="20"/>
      <w:szCs w:val="20"/>
      <w:lang w:val="en-GB" w:eastAsia="en-US"/>
    </w:rPr>
  </w:style>
  <w:style w:type="character" w:customStyle="1" w:styleId="Normal-poolChar">
    <w:name w:val="Normal-pool Char"/>
    <w:link w:val="Normal-pool"/>
    <w:rsid w:val="00A24F15"/>
    <w:rPr>
      <w:rFonts w:ascii="Times New Roman" w:eastAsia="SimSu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144</Words>
  <Characters>822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2020-01-30T16:42:00Z</dcterms:created>
  <dcterms:modified xsi:type="dcterms:W3CDTF">2020-01-30T16:43:00Z</dcterms:modified>
</cp:coreProperties>
</file>