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84857" w14:textId="77777777" w:rsidR="00D31976" w:rsidRPr="008951AA" w:rsidRDefault="00D31976" w:rsidP="00D31976">
      <w:pPr>
        <w:spacing w:after="120" w:line="400" w:lineRule="exact"/>
        <w:ind w:left="1128"/>
        <w:jc w:val="both"/>
        <w:rPr>
          <w:rFonts w:ascii="Traditional Arabic" w:hAnsi="Traditional Arabic" w:cs="Traditional Arabic"/>
          <w:b/>
          <w:bCs/>
          <w:sz w:val="32"/>
          <w:szCs w:val="32"/>
          <w:lang w:val="en-GB" w:eastAsia="zh-TW"/>
        </w:rPr>
      </w:pPr>
      <w:r w:rsidRPr="008951AA">
        <w:rPr>
          <w:rFonts w:ascii="Traditional Arabic" w:hAnsi="Traditional Arabic" w:cs="Traditional Arabic"/>
          <w:b/>
          <w:bCs/>
          <w:sz w:val="32"/>
          <w:szCs w:val="32"/>
          <w:rtl/>
          <w:lang w:val="en-GB" w:eastAsia="zh-TW"/>
        </w:rPr>
        <w:t>ا ب-</w:t>
      </w:r>
      <w:r>
        <w:rPr>
          <w:rFonts w:ascii="Traditional Arabic" w:hAnsi="Traditional Arabic" w:cs="Traditional Arabic"/>
          <w:b/>
          <w:bCs/>
          <w:sz w:val="32"/>
          <w:szCs w:val="32"/>
          <w:rtl/>
          <w:lang w:val="en-GB" w:eastAsia="zh-TW"/>
        </w:rPr>
        <w:t>14</w:t>
      </w:r>
      <w:r w:rsidRPr="008951AA">
        <w:rPr>
          <w:rFonts w:ascii="Traditional Arabic" w:hAnsi="Traditional Arabic" w:cs="Traditional Arabic"/>
          <w:b/>
          <w:bCs/>
          <w:sz w:val="32"/>
          <w:szCs w:val="32"/>
          <w:rtl/>
          <w:lang w:val="en-GB" w:eastAsia="zh-TW"/>
        </w:rPr>
        <w:t>/</w:t>
      </w:r>
      <w:r>
        <w:rPr>
          <w:rFonts w:ascii="Traditional Arabic" w:hAnsi="Traditional Arabic" w:cs="Traditional Arabic"/>
          <w:b/>
          <w:bCs/>
          <w:sz w:val="32"/>
          <w:szCs w:val="32"/>
          <w:rtl/>
          <w:lang w:val="en-GB" w:eastAsia="zh-TW"/>
        </w:rPr>
        <w:t>25</w:t>
      </w:r>
      <w:r w:rsidRPr="008951AA">
        <w:rPr>
          <w:rFonts w:ascii="Traditional Arabic" w:hAnsi="Traditional Arabic" w:cs="Traditional Arabic"/>
          <w:b/>
          <w:bCs/>
          <w:sz w:val="32"/>
          <w:szCs w:val="32"/>
          <w:rtl/>
          <w:lang w:val="en-GB" w:eastAsia="zh-TW"/>
        </w:rPr>
        <w:t xml:space="preserve">: </w:t>
      </w:r>
      <w:r>
        <w:rPr>
          <w:rFonts w:ascii="Traditional Arabic" w:hAnsi="Traditional Arabic" w:cs="Traditional Arabic"/>
          <w:b/>
          <w:bCs/>
          <w:sz w:val="32"/>
          <w:szCs w:val="32"/>
          <w:rtl/>
          <w:lang w:val="en-GB" w:eastAsia="zh-TW"/>
        </w:rPr>
        <w:t>الانتقال من العلم إلى العمل</w:t>
      </w:r>
    </w:p>
    <w:p w14:paraId="7EDC03A6" w14:textId="77777777" w:rsidR="00D31976" w:rsidRPr="002527DC" w:rsidRDefault="00D31976" w:rsidP="00D31976">
      <w:pPr>
        <w:spacing w:after="120" w:line="400" w:lineRule="exact"/>
        <w:ind w:left="1134" w:firstLine="707"/>
        <w:jc w:val="both"/>
        <w:rPr>
          <w:rFonts w:ascii="Traditional Arabic" w:hAnsi="Traditional Arabic" w:cs="Traditional Arabic"/>
          <w:sz w:val="30"/>
          <w:szCs w:val="30"/>
          <w:rtl/>
          <w:lang w:val="fr-FR"/>
        </w:rPr>
      </w:pPr>
      <w:r w:rsidRPr="002527DC">
        <w:rPr>
          <w:rFonts w:ascii="Traditional Arabic" w:hAnsi="Traditional Arabic" w:cs="Traditional Arabic"/>
          <w:i/>
          <w:iCs/>
          <w:sz w:val="30"/>
          <w:szCs w:val="30"/>
          <w:rtl/>
          <w:lang w:val="fr-FR"/>
        </w:rPr>
        <w:t>إن مؤتمر الأطراف،</w:t>
      </w:r>
    </w:p>
    <w:p w14:paraId="5984F389" w14:textId="77777777" w:rsidR="00D31976" w:rsidRPr="002527DC" w:rsidRDefault="00D31976" w:rsidP="00D31976">
      <w:pPr>
        <w:numPr>
          <w:ilvl w:val="0"/>
          <w:numId w:val="1"/>
        </w:numPr>
        <w:tabs>
          <w:tab w:val="left" w:pos="2408"/>
        </w:tabs>
        <w:spacing w:after="120" w:line="400" w:lineRule="exact"/>
        <w:ind w:left="1134" w:firstLine="707"/>
        <w:jc w:val="both"/>
        <w:rPr>
          <w:rFonts w:ascii="Traditional Arabic" w:hAnsi="Traditional Arabic" w:cs="Traditional Arabic"/>
          <w:sz w:val="30"/>
          <w:szCs w:val="30"/>
        </w:rPr>
      </w:pPr>
      <w:r w:rsidRPr="002527DC">
        <w:rPr>
          <w:rFonts w:ascii="Traditional Arabic" w:hAnsi="Traditional Arabic" w:cs="Traditional Arabic"/>
          <w:i/>
          <w:iCs/>
          <w:sz w:val="30"/>
          <w:szCs w:val="30"/>
          <w:rtl/>
        </w:rPr>
        <w:t>يحيط علماً</w:t>
      </w:r>
      <w:r w:rsidRPr="002527DC">
        <w:rPr>
          <w:rFonts w:ascii="Traditional Arabic" w:hAnsi="Traditional Arabic" w:cs="Traditional Arabic"/>
          <w:sz w:val="30"/>
          <w:szCs w:val="30"/>
          <w:rtl/>
        </w:rPr>
        <w:t xml:space="preserve"> بخريطة الطريق لزيادة إشراك الأطراف وغيرها من ‏أصحاب المصلحة في حوار مستنير لتعزيز الإجراءات القائمة على العلم لتنفيذ اتفاقية </w:t>
      </w:r>
      <w:r w:rsidRPr="002527DC">
        <w:rPr>
          <w:rFonts w:ascii="Traditional Arabic" w:hAnsi="Traditional Arabic" w:cs="Traditional Arabic"/>
          <w:sz w:val="30"/>
          <w:szCs w:val="30"/>
          <w:rtl/>
          <w:lang w:val="en-GB" w:eastAsia="zh-TW"/>
        </w:rPr>
        <w:t>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w:t>
      </w:r>
      <w:r w:rsidRPr="002527DC">
        <w:rPr>
          <w:rFonts w:ascii="Traditional Arabic" w:hAnsi="Traditional Arabic" w:cs="Traditional Arabic"/>
          <w:sz w:val="30"/>
          <w:szCs w:val="30"/>
          <w:vertAlign w:val="superscript"/>
          <w:rtl/>
          <w:lang w:eastAsia="zh-TW"/>
        </w:rPr>
        <w:t>(</w:t>
      </w:r>
      <w:r w:rsidRPr="002527DC">
        <w:rPr>
          <w:rFonts w:ascii="Traditional Arabic" w:hAnsi="Traditional Arabic" w:cs="Traditional Arabic"/>
          <w:sz w:val="30"/>
          <w:szCs w:val="30"/>
          <w:vertAlign w:val="superscript"/>
          <w:rtl/>
          <w:lang w:eastAsia="zh-TW"/>
        </w:rPr>
        <w:footnoteReference w:id="1"/>
      </w:r>
      <w:r w:rsidRPr="002527DC">
        <w:rPr>
          <w:rFonts w:ascii="Traditional Arabic" w:hAnsi="Traditional Arabic" w:cs="Traditional Arabic"/>
          <w:sz w:val="30"/>
          <w:szCs w:val="30"/>
          <w:vertAlign w:val="superscript"/>
          <w:rtl/>
          <w:lang w:eastAsia="zh-TW"/>
        </w:rPr>
        <w:t>)</w:t>
      </w:r>
      <w:r w:rsidRPr="002527DC">
        <w:rPr>
          <w:rFonts w:ascii="Traditional Arabic" w:hAnsi="Traditional Arabic" w:cs="Traditional Arabic"/>
          <w:sz w:val="30"/>
          <w:szCs w:val="30"/>
          <w:rtl/>
          <w:lang w:val="en-GB" w:eastAsia="zh-TW"/>
        </w:rPr>
        <w:t>؛</w:t>
      </w:r>
    </w:p>
    <w:p w14:paraId="5C7FAEE7" w14:textId="77777777" w:rsidR="00D31976" w:rsidRPr="00C46B2E" w:rsidRDefault="00D31976" w:rsidP="00D31976">
      <w:pPr>
        <w:numPr>
          <w:ilvl w:val="0"/>
          <w:numId w:val="1"/>
        </w:numPr>
        <w:tabs>
          <w:tab w:val="left" w:pos="2408"/>
        </w:tabs>
        <w:spacing w:after="120" w:line="400" w:lineRule="exact"/>
        <w:ind w:left="1134" w:firstLine="707"/>
        <w:jc w:val="both"/>
        <w:rPr>
          <w:rFonts w:ascii="Traditional Arabic" w:hAnsi="Traditional Arabic" w:cs="Traditional Arabic"/>
          <w:w w:val="99"/>
          <w:sz w:val="30"/>
          <w:szCs w:val="30"/>
        </w:rPr>
      </w:pPr>
      <w:r w:rsidRPr="00C46B2E">
        <w:rPr>
          <w:rFonts w:ascii="Traditional Arabic" w:hAnsi="Traditional Arabic" w:cs="Traditional Arabic"/>
          <w:i/>
          <w:iCs/>
          <w:w w:val="99"/>
          <w:sz w:val="30"/>
          <w:szCs w:val="30"/>
          <w:rtl/>
        </w:rPr>
        <w:t>يشجع</w:t>
      </w:r>
      <w:r w:rsidRPr="00C46B2E">
        <w:rPr>
          <w:rFonts w:ascii="Traditional Arabic" w:hAnsi="Traditional Arabic" w:cs="Traditional Arabic"/>
          <w:w w:val="99"/>
          <w:sz w:val="30"/>
          <w:szCs w:val="30"/>
          <w:rtl/>
        </w:rPr>
        <w:t xml:space="preserve"> الأطراف والجهات الأخرى على الشروع في اتخاذ الإجراءات التي تعزز تنفيذ ‏خريطة الطريق؛</w:t>
      </w:r>
    </w:p>
    <w:p w14:paraId="2965AF7B" w14:textId="77777777" w:rsidR="00D31976" w:rsidRPr="002527DC" w:rsidRDefault="00D31976" w:rsidP="00D31976">
      <w:pPr>
        <w:numPr>
          <w:ilvl w:val="0"/>
          <w:numId w:val="1"/>
        </w:numPr>
        <w:tabs>
          <w:tab w:val="left" w:pos="2408"/>
        </w:tabs>
        <w:spacing w:after="120" w:line="400" w:lineRule="exact"/>
        <w:ind w:left="1134" w:firstLine="707"/>
        <w:jc w:val="both"/>
        <w:rPr>
          <w:rFonts w:ascii="Traditional Arabic" w:hAnsi="Traditional Arabic" w:cs="Traditional Arabic"/>
          <w:sz w:val="30"/>
          <w:szCs w:val="30"/>
        </w:rPr>
      </w:pPr>
      <w:r w:rsidRPr="002527DC">
        <w:rPr>
          <w:rFonts w:ascii="Traditional Arabic" w:hAnsi="Traditional Arabic" w:cs="Traditional Arabic"/>
          <w:i/>
          <w:iCs/>
          <w:sz w:val="30"/>
          <w:szCs w:val="30"/>
          <w:rtl/>
        </w:rPr>
        <w:t>يطلب</w:t>
      </w:r>
      <w:r w:rsidRPr="002527DC">
        <w:rPr>
          <w:rFonts w:ascii="Traditional Arabic" w:hAnsi="Traditional Arabic" w:cs="Traditional Arabic"/>
          <w:sz w:val="30"/>
          <w:szCs w:val="30"/>
          <w:rtl/>
        </w:rPr>
        <w:t xml:space="preserve"> إلى الأمانة أن تضطلع، رهناً بتوافر الموارد، بأنشطة بناء القدرات والتدريب من ‏أجل دعم الأطراف في اتخاذ الإجراءات القائمة على العلم في تنفيذ اتفاقيات بازل وروتردام واستكهولم؛</w:t>
      </w:r>
    </w:p>
    <w:p w14:paraId="3D09DA2D" w14:textId="77777777" w:rsidR="00D31976" w:rsidRPr="002527DC" w:rsidRDefault="00D31976" w:rsidP="00D31976">
      <w:pPr>
        <w:numPr>
          <w:ilvl w:val="0"/>
          <w:numId w:val="1"/>
        </w:numPr>
        <w:tabs>
          <w:tab w:val="left" w:pos="2408"/>
        </w:tabs>
        <w:spacing w:after="120" w:line="400" w:lineRule="exact"/>
        <w:ind w:left="1134" w:firstLine="707"/>
        <w:jc w:val="both"/>
        <w:rPr>
          <w:rFonts w:ascii="Traditional Arabic" w:hAnsi="Traditional Arabic" w:cs="Traditional Arabic"/>
          <w:sz w:val="30"/>
          <w:szCs w:val="30"/>
        </w:rPr>
      </w:pPr>
      <w:r w:rsidRPr="002527DC">
        <w:rPr>
          <w:rFonts w:ascii="Traditional Arabic" w:hAnsi="Traditional Arabic" w:cs="Traditional Arabic"/>
          <w:i/>
          <w:iCs/>
          <w:sz w:val="30"/>
          <w:szCs w:val="30"/>
          <w:rtl/>
        </w:rPr>
        <w:t>يدعو</w:t>
      </w:r>
      <w:r w:rsidRPr="002527DC">
        <w:rPr>
          <w:rFonts w:ascii="Traditional Arabic" w:hAnsi="Traditional Arabic" w:cs="Traditional Arabic"/>
          <w:sz w:val="30"/>
          <w:szCs w:val="30"/>
          <w:rtl/>
        </w:rPr>
        <w:t xml:space="preserve"> الأطراف والمراقبين إلى أن يقدموا إلى الأمانة، بحلول 30 تشرين الثاني/نوفمبر ٢٠٢٠، ‏معلومات عن الإجراءات المتخذة لتعزيز تنفيذ خريطة الطريق؛</w:t>
      </w:r>
    </w:p>
    <w:p w14:paraId="3E03B7AE" w14:textId="77777777" w:rsidR="00D31976" w:rsidRPr="002527DC" w:rsidRDefault="00D31976" w:rsidP="00D31976">
      <w:pPr>
        <w:numPr>
          <w:ilvl w:val="0"/>
          <w:numId w:val="1"/>
        </w:numPr>
        <w:tabs>
          <w:tab w:val="left" w:pos="2408"/>
        </w:tabs>
        <w:spacing w:after="120" w:line="400" w:lineRule="exact"/>
        <w:ind w:left="1134" w:firstLine="707"/>
        <w:jc w:val="both"/>
        <w:rPr>
          <w:rFonts w:ascii="Traditional Arabic" w:hAnsi="Traditional Arabic" w:cs="Traditional Arabic"/>
          <w:sz w:val="30"/>
          <w:szCs w:val="30"/>
          <w:lang w:val="en-GB" w:eastAsia="zh-TW"/>
        </w:rPr>
      </w:pPr>
      <w:r w:rsidRPr="002527DC">
        <w:rPr>
          <w:rFonts w:ascii="Traditional Arabic" w:hAnsi="Traditional Arabic" w:cs="Traditional Arabic"/>
          <w:i/>
          <w:iCs/>
          <w:sz w:val="30"/>
          <w:szCs w:val="30"/>
          <w:rtl/>
        </w:rPr>
        <w:t>يطلب</w:t>
      </w:r>
      <w:r w:rsidRPr="002527DC">
        <w:rPr>
          <w:rFonts w:ascii="Traditional Arabic" w:hAnsi="Traditional Arabic" w:cs="Traditional Arabic"/>
          <w:sz w:val="30"/>
          <w:szCs w:val="30"/>
          <w:rtl/>
        </w:rPr>
        <w:t xml:space="preserve"> إلى الأمانة أن تواصل التعاون والتنسيق مع برنامج الأمم المتحدة للبيئة وأيضاً مع المنظمات والهيئات العلمية الأخرى ذات ‏الصلة وأصحاب المصلحة الآخرين ذوي ‏الصلة، حسب الاقتضاء، </w:t>
      </w:r>
      <w:r>
        <w:rPr>
          <w:rFonts w:ascii="Traditional Arabic" w:hAnsi="Traditional Arabic" w:cs="Traditional Arabic"/>
          <w:sz w:val="30"/>
          <w:szCs w:val="30"/>
          <w:rtl/>
        </w:rPr>
        <w:t>وذلك بهدف</w:t>
      </w:r>
      <w:r w:rsidRPr="002527DC">
        <w:rPr>
          <w:rFonts w:ascii="Traditional Arabic" w:hAnsi="Traditional Arabic" w:cs="Traditional Arabic"/>
          <w:sz w:val="30"/>
          <w:szCs w:val="30"/>
          <w:rtl/>
        </w:rPr>
        <w:t xml:space="preserve"> تعزيز الترابط بين العلوم والسياسات؛</w:t>
      </w:r>
    </w:p>
    <w:p w14:paraId="2FAA650E" w14:textId="77777777" w:rsidR="00D31976" w:rsidRPr="002527DC" w:rsidRDefault="00D31976" w:rsidP="00D31976">
      <w:pPr>
        <w:numPr>
          <w:ilvl w:val="0"/>
          <w:numId w:val="1"/>
        </w:numPr>
        <w:tabs>
          <w:tab w:val="left" w:pos="2408"/>
        </w:tabs>
        <w:spacing w:after="120" w:line="400" w:lineRule="exact"/>
        <w:ind w:left="1134" w:firstLine="707"/>
        <w:jc w:val="both"/>
        <w:rPr>
          <w:rFonts w:ascii="Traditional Arabic" w:hAnsi="Traditional Arabic" w:cs="Traditional Arabic"/>
          <w:sz w:val="30"/>
          <w:szCs w:val="30"/>
          <w:lang w:val="en-GB" w:eastAsia="zh-TW"/>
        </w:rPr>
      </w:pPr>
      <w:r w:rsidRPr="002527DC">
        <w:rPr>
          <w:rFonts w:ascii="Traditional Arabic" w:hAnsi="Traditional Arabic" w:cs="Traditional Arabic"/>
          <w:i/>
          <w:iCs/>
          <w:sz w:val="30"/>
          <w:szCs w:val="30"/>
          <w:rtl/>
        </w:rPr>
        <w:t>يطلب أيضاً</w:t>
      </w:r>
      <w:r w:rsidRPr="002527DC">
        <w:rPr>
          <w:rFonts w:ascii="Traditional Arabic" w:hAnsi="Traditional Arabic" w:cs="Traditional Arabic"/>
          <w:sz w:val="30"/>
          <w:szCs w:val="30"/>
          <w:rtl/>
        </w:rPr>
        <w:t xml:space="preserve"> إلى الأمانة أن تتعاون وتنسق، حسب الاقتضاء، مع برنامج الأمم المتحدة للبيئة في إعداد تقييم الخيارات لتعزيز الترابط بين العلوم والسياسات على المستوى الدولي للإدارة السليمة للمواد الكيميائية والنفايات، والذي طلبته جمعية الأمم المتحدة للبيئة من المدير</w:t>
      </w:r>
      <w:r>
        <w:rPr>
          <w:rFonts w:ascii="Traditional Arabic" w:hAnsi="Traditional Arabic" w:cs="Traditional Arabic"/>
          <w:sz w:val="30"/>
          <w:szCs w:val="30"/>
          <w:rtl/>
        </w:rPr>
        <w:t>ة</w:t>
      </w:r>
      <w:r w:rsidRPr="002527DC">
        <w:rPr>
          <w:rFonts w:ascii="Traditional Arabic" w:hAnsi="Traditional Arabic" w:cs="Traditional Arabic"/>
          <w:sz w:val="30"/>
          <w:szCs w:val="30"/>
          <w:rtl/>
        </w:rPr>
        <w:t xml:space="preserve"> التنفيذي</w:t>
      </w:r>
      <w:r>
        <w:rPr>
          <w:rFonts w:ascii="Traditional Arabic" w:hAnsi="Traditional Arabic" w:cs="Traditional Arabic"/>
          <w:sz w:val="30"/>
          <w:szCs w:val="30"/>
          <w:rtl/>
        </w:rPr>
        <w:t>ة</w:t>
      </w:r>
      <w:r w:rsidRPr="002527DC">
        <w:rPr>
          <w:rFonts w:ascii="Traditional Arabic" w:hAnsi="Traditional Arabic" w:cs="Traditional Arabic"/>
          <w:sz w:val="30"/>
          <w:szCs w:val="30"/>
          <w:rtl/>
        </w:rPr>
        <w:t xml:space="preserve"> لبرنامج الأمم المتحدة للبيئة في قرارها 4/8، ولا سيما فيما يتعلق بأوجه التآزر والفرص الممكنة بين الآليات القائمة بموجب اتفاقيات بازل وروتردام واستكهولم والترابط بين العلوم والسياسات من أجل الإدارة السليمة الأوسع نطاقاً للمواد الكيميائية والنفايات؛</w:t>
      </w:r>
    </w:p>
    <w:p w14:paraId="36F39192" w14:textId="77777777" w:rsidR="00D31976" w:rsidRPr="00BB3899" w:rsidRDefault="00D31976" w:rsidP="00D31976">
      <w:pPr>
        <w:numPr>
          <w:ilvl w:val="0"/>
          <w:numId w:val="1"/>
        </w:numPr>
        <w:tabs>
          <w:tab w:val="left" w:pos="2408"/>
        </w:tabs>
        <w:spacing w:after="120" w:line="400" w:lineRule="exact"/>
        <w:ind w:left="1134" w:firstLine="707"/>
        <w:jc w:val="both"/>
        <w:rPr>
          <w:rFonts w:ascii="Traditional Arabic" w:hAnsi="Traditional Arabic" w:cs="Traditional Arabic"/>
          <w:w w:val="97"/>
          <w:sz w:val="30"/>
          <w:szCs w:val="30"/>
          <w:rtl/>
          <w:lang w:val="en-GB" w:eastAsia="zh-TW"/>
        </w:rPr>
      </w:pPr>
      <w:r w:rsidRPr="00BB3899">
        <w:rPr>
          <w:rFonts w:ascii="Traditional Arabic" w:hAnsi="Traditional Arabic" w:cs="Traditional Arabic"/>
          <w:i/>
          <w:iCs/>
          <w:w w:val="97"/>
          <w:sz w:val="30"/>
          <w:szCs w:val="30"/>
          <w:rtl/>
        </w:rPr>
        <w:t>يطلب</w:t>
      </w:r>
      <w:r w:rsidRPr="00BB3899">
        <w:rPr>
          <w:rFonts w:ascii="Traditional Arabic" w:hAnsi="Traditional Arabic" w:cs="Traditional Arabic"/>
          <w:w w:val="97"/>
          <w:sz w:val="30"/>
          <w:szCs w:val="30"/>
          <w:rtl/>
        </w:rPr>
        <w:t xml:space="preserve"> </w:t>
      </w:r>
      <w:r w:rsidRPr="00BB3899">
        <w:rPr>
          <w:rFonts w:ascii="Traditional Arabic" w:hAnsi="Traditional Arabic" w:cs="Traditional Arabic"/>
          <w:i/>
          <w:iCs/>
          <w:w w:val="97"/>
          <w:sz w:val="30"/>
          <w:szCs w:val="30"/>
          <w:rtl/>
        </w:rPr>
        <w:t>كذلك</w:t>
      </w:r>
      <w:r w:rsidRPr="00BB3899">
        <w:rPr>
          <w:rFonts w:ascii="Traditional Arabic" w:hAnsi="Traditional Arabic" w:cs="Traditional Arabic"/>
          <w:w w:val="97"/>
          <w:sz w:val="30"/>
          <w:szCs w:val="30"/>
          <w:rtl/>
        </w:rPr>
        <w:t xml:space="preserve"> إلى الأمانة أن تقدم تقريراً إلى مؤتمر الأطراف في اجتماعه المقبل عن تنفيذ هذا المقرر.‏</w:t>
      </w:r>
    </w:p>
    <w:p w14:paraId="7D44BEBC" w14:textId="77777777" w:rsidR="00F935A6" w:rsidRDefault="00F935A6">
      <w:bookmarkStart w:id="0" w:name="_GoBack"/>
      <w:bookmarkEnd w:id="0"/>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03132D" w14:textId="77777777" w:rsidR="0037578E" w:rsidRDefault="0037578E" w:rsidP="00D31976">
      <w:r>
        <w:separator/>
      </w:r>
    </w:p>
  </w:endnote>
  <w:endnote w:type="continuationSeparator" w:id="0">
    <w:p w14:paraId="1DD72A40" w14:textId="77777777" w:rsidR="0037578E" w:rsidRDefault="0037578E" w:rsidP="00D3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3175" w14:textId="77777777" w:rsidR="0037578E" w:rsidRDefault="0037578E" w:rsidP="00D31976">
      <w:r>
        <w:separator/>
      </w:r>
    </w:p>
  </w:footnote>
  <w:footnote w:type="continuationSeparator" w:id="0">
    <w:p w14:paraId="420FE0BE" w14:textId="77777777" w:rsidR="0037578E" w:rsidRDefault="0037578E" w:rsidP="00D31976">
      <w:r>
        <w:continuationSeparator/>
      </w:r>
    </w:p>
  </w:footnote>
  <w:footnote w:id="1">
    <w:p w14:paraId="39244C74" w14:textId="77777777" w:rsidR="00D31976" w:rsidRPr="001F05CA" w:rsidRDefault="00D31976" w:rsidP="00D31976">
      <w:pPr>
        <w:pStyle w:val="FootnoteText"/>
        <w:spacing w:after="40" w:line="300" w:lineRule="exact"/>
        <w:ind w:left="1134"/>
        <w:jc w:val="both"/>
        <w:textDirection w:val="tbRlV"/>
        <w:rPr>
          <w:rFonts w:cs="Traditional Arabic"/>
          <w:szCs w:val="26"/>
          <w:rtl/>
          <w:lang w:val="en-GB" w:eastAsia="zh-TW"/>
        </w:rPr>
      </w:pPr>
      <w:r w:rsidRPr="001F05CA">
        <w:rPr>
          <w:rFonts w:cs="Traditional Arabic"/>
          <w:szCs w:val="26"/>
          <w:rtl/>
        </w:rPr>
        <w:t>(</w:t>
      </w:r>
      <w:r w:rsidRPr="001F05CA">
        <w:rPr>
          <w:rStyle w:val="FootnoteReference"/>
          <w:rFonts w:cs="Traditional Arabic"/>
          <w:szCs w:val="26"/>
          <w:rtl/>
        </w:rPr>
        <w:footnoteRef/>
      </w:r>
      <w:r w:rsidRPr="001F05CA">
        <w:rPr>
          <w:rFonts w:cs="Traditional Arabic"/>
          <w:szCs w:val="26"/>
          <w:rtl/>
        </w:rPr>
        <w:t>)</w:t>
      </w:r>
      <w:r w:rsidRPr="001F05CA">
        <w:rPr>
          <w:rFonts w:cs="Traditional Arabic" w:hint="cs"/>
          <w:szCs w:val="26"/>
          <w:rtl/>
        </w:rPr>
        <w:t xml:space="preserve">  </w:t>
      </w:r>
      <w:r w:rsidRPr="001F05CA">
        <w:rPr>
          <w:sz w:val="18"/>
          <w:szCs w:val="18"/>
        </w:rPr>
        <w:t>UNEP/CHW.14/INF/40-UNEP/FAO/RC/COP.9/INF/35-UNEP/POPS/COP.9/INF/44</w:t>
      </w:r>
      <w:r w:rsidRPr="001F05CA">
        <w:rPr>
          <w:rFonts w:cs="Traditional Arabic"/>
          <w:szCs w:val="26"/>
          <w:rtl/>
          <w:lang w:val="en-GB" w:eastAsia="zh-TW"/>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E3E5F89"/>
    <w:multiLevelType w:val="hybridMultilevel"/>
    <w:tmpl w:val="10E45B3E"/>
    <w:lvl w:ilvl="0" w:tplc="9FE207E8">
      <w:start w:val="1"/>
      <w:numFmt w:val="decimal"/>
      <w:lvlText w:val="%1-"/>
      <w:lvlJc w:val="left"/>
      <w:pPr>
        <w:ind w:left="3129" w:hanging="360"/>
      </w:pPr>
      <w:rPr>
        <w:rFonts w:hint="default"/>
      </w:rPr>
    </w:lvl>
    <w:lvl w:ilvl="1" w:tplc="10090019" w:tentative="1">
      <w:start w:val="1"/>
      <w:numFmt w:val="lowerLetter"/>
      <w:lvlText w:val="%2."/>
      <w:lvlJc w:val="left"/>
      <w:pPr>
        <w:ind w:left="3849" w:hanging="360"/>
      </w:pPr>
    </w:lvl>
    <w:lvl w:ilvl="2" w:tplc="1009001B" w:tentative="1">
      <w:start w:val="1"/>
      <w:numFmt w:val="lowerRoman"/>
      <w:lvlText w:val="%3."/>
      <w:lvlJc w:val="right"/>
      <w:pPr>
        <w:ind w:left="4569" w:hanging="180"/>
      </w:pPr>
    </w:lvl>
    <w:lvl w:ilvl="3" w:tplc="1009000F" w:tentative="1">
      <w:start w:val="1"/>
      <w:numFmt w:val="decimal"/>
      <w:lvlText w:val="%4."/>
      <w:lvlJc w:val="left"/>
      <w:pPr>
        <w:ind w:left="5289" w:hanging="360"/>
      </w:pPr>
    </w:lvl>
    <w:lvl w:ilvl="4" w:tplc="10090019" w:tentative="1">
      <w:start w:val="1"/>
      <w:numFmt w:val="lowerLetter"/>
      <w:lvlText w:val="%5."/>
      <w:lvlJc w:val="left"/>
      <w:pPr>
        <w:ind w:left="6009" w:hanging="360"/>
      </w:pPr>
    </w:lvl>
    <w:lvl w:ilvl="5" w:tplc="1009001B" w:tentative="1">
      <w:start w:val="1"/>
      <w:numFmt w:val="lowerRoman"/>
      <w:lvlText w:val="%6."/>
      <w:lvlJc w:val="right"/>
      <w:pPr>
        <w:ind w:left="6729" w:hanging="180"/>
      </w:pPr>
    </w:lvl>
    <w:lvl w:ilvl="6" w:tplc="1009000F" w:tentative="1">
      <w:start w:val="1"/>
      <w:numFmt w:val="decimal"/>
      <w:lvlText w:val="%7."/>
      <w:lvlJc w:val="left"/>
      <w:pPr>
        <w:ind w:left="7449" w:hanging="360"/>
      </w:pPr>
    </w:lvl>
    <w:lvl w:ilvl="7" w:tplc="10090019" w:tentative="1">
      <w:start w:val="1"/>
      <w:numFmt w:val="lowerLetter"/>
      <w:lvlText w:val="%8."/>
      <w:lvlJc w:val="left"/>
      <w:pPr>
        <w:ind w:left="8169" w:hanging="360"/>
      </w:pPr>
    </w:lvl>
    <w:lvl w:ilvl="8" w:tplc="1009001B" w:tentative="1">
      <w:start w:val="1"/>
      <w:numFmt w:val="lowerRoman"/>
      <w:lvlText w:val="%9."/>
      <w:lvlJc w:val="right"/>
      <w:pPr>
        <w:ind w:left="88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976"/>
    <w:rsid w:val="0037578E"/>
    <w:rsid w:val="00D3197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F6B8A"/>
  <w15:chartTrackingRefBased/>
  <w15:docId w15:val="{60F96D3E-05B0-4767-BAE5-FF59B883C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31976"/>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D31976"/>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D31976"/>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fr"/>
    <w:link w:val="BVIfnrCharCharCharChar"/>
    <w:uiPriority w:val="99"/>
    <w:qFormat/>
    <w:rsid w:val="00D31976"/>
    <w:rPr>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D31976"/>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251</Words>
  <Characters>1436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2020-01-30T09:46:00Z</dcterms:created>
  <dcterms:modified xsi:type="dcterms:W3CDTF">2020-01-30T09:47:00Z</dcterms:modified>
</cp:coreProperties>
</file>