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93F10" w14:textId="34D85D76" w:rsidR="00643D56" w:rsidRPr="00B66330" w:rsidRDefault="00643D56" w:rsidP="00643D56">
      <w:pPr>
        <w:pStyle w:val="CH1"/>
        <w:spacing w:line="240" w:lineRule="auto"/>
        <w:jc w:val="both"/>
        <w:rPr>
          <w:snapToGrid w:val="0"/>
          <w:lang w:eastAsia="zh-CN"/>
        </w:rPr>
      </w:pPr>
      <w:r>
        <w:rPr>
          <w:rFonts w:eastAsia="SimHei"/>
          <w:bCs/>
          <w:snapToGrid w:val="0"/>
          <w:sz w:val="32"/>
          <w:szCs w:val="32"/>
          <w:lang w:val="zh-CN" w:eastAsia="zh-CN"/>
        </w:rPr>
        <w:tab/>
      </w:r>
      <w:r>
        <w:rPr>
          <w:rFonts w:eastAsia="SimHei"/>
          <w:bCs/>
          <w:snapToGrid w:val="0"/>
          <w:sz w:val="32"/>
          <w:szCs w:val="32"/>
          <w:lang w:val="zh-CN" w:eastAsia="zh-CN"/>
        </w:rPr>
        <w:tab/>
      </w:r>
      <w:r w:rsidRPr="00B66330">
        <w:rPr>
          <w:rFonts w:eastAsia="SimHei"/>
          <w:bCs/>
          <w:snapToGrid w:val="0"/>
          <w:sz w:val="32"/>
          <w:szCs w:val="32"/>
          <w:lang w:val="zh-CN" w:eastAsia="zh-CN"/>
        </w:rPr>
        <w:t>BC-14/26</w:t>
      </w:r>
      <w:r w:rsidRPr="00B66330">
        <w:rPr>
          <w:rFonts w:eastAsia="SimHei"/>
          <w:bCs/>
          <w:snapToGrid w:val="0"/>
          <w:sz w:val="32"/>
          <w:szCs w:val="32"/>
          <w:lang w:val="zh-CN" w:eastAsia="zh-CN"/>
        </w:rPr>
        <w:t>：联合国环境规划署与巴塞尔公约缔约方大会的谅解备忘录</w:t>
      </w:r>
    </w:p>
    <w:p w14:paraId="3EC50E7F" w14:textId="77777777" w:rsidR="00643D56" w:rsidRPr="00682B39" w:rsidRDefault="00643D56" w:rsidP="00643D56">
      <w:pPr>
        <w:tabs>
          <w:tab w:val="left" w:pos="624"/>
        </w:tabs>
        <w:autoSpaceDE w:val="0"/>
        <w:autoSpaceDN w:val="0"/>
        <w:adjustRightInd w:val="0"/>
        <w:spacing w:line="240" w:lineRule="auto"/>
        <w:ind w:left="1247" w:firstLine="624"/>
        <w:rPr>
          <w:rFonts w:ascii="KaiTi" w:eastAsia="KaiTi" w:hAnsi="KaiTi"/>
          <w:i/>
          <w:iCs/>
          <w:snapToGrid w:val="0"/>
          <w:sz w:val="24"/>
          <w:szCs w:val="24"/>
        </w:rPr>
      </w:pPr>
      <w:r w:rsidRPr="00682B39">
        <w:rPr>
          <w:rFonts w:ascii="KaiTi" w:eastAsia="KaiTi" w:hAnsi="KaiTi" w:hint="eastAsia"/>
          <w:snapToGrid w:val="0"/>
          <w:sz w:val="24"/>
          <w:szCs w:val="24"/>
          <w:lang w:val="zh-CN"/>
        </w:rPr>
        <w:t>缔约方大会，</w:t>
      </w:r>
    </w:p>
    <w:p w14:paraId="28C9F521" w14:textId="77777777" w:rsidR="00643D56" w:rsidRPr="00B66330" w:rsidRDefault="00643D56" w:rsidP="00643D56">
      <w:pPr>
        <w:tabs>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表示注意到</w:t>
      </w:r>
      <w:r w:rsidRPr="00B66330">
        <w:rPr>
          <w:snapToGrid w:val="0"/>
          <w:sz w:val="24"/>
          <w:szCs w:val="24"/>
          <w:lang w:val="zh-CN"/>
        </w:rPr>
        <w:t>联合国环境规划署</w:t>
      </w:r>
      <w:r w:rsidRPr="00B66330">
        <w:rPr>
          <w:snapToGrid w:val="0"/>
          <w:sz w:val="24"/>
          <w:szCs w:val="24"/>
          <w:lang w:val="zh-CN"/>
        </w:rPr>
        <w:t>2016</w:t>
      </w:r>
      <w:r w:rsidRPr="00B66330">
        <w:rPr>
          <w:snapToGrid w:val="0"/>
          <w:sz w:val="24"/>
          <w:szCs w:val="24"/>
          <w:lang w:val="zh-CN"/>
        </w:rPr>
        <w:t>年</w:t>
      </w:r>
      <w:r w:rsidRPr="00B66330">
        <w:rPr>
          <w:snapToGrid w:val="0"/>
          <w:sz w:val="24"/>
          <w:szCs w:val="24"/>
          <w:lang w:val="zh-CN"/>
        </w:rPr>
        <w:t>11</w:t>
      </w:r>
      <w:r w:rsidRPr="00B66330">
        <w:rPr>
          <w:snapToGrid w:val="0"/>
          <w:sz w:val="24"/>
          <w:szCs w:val="24"/>
          <w:lang w:val="zh-CN"/>
        </w:rPr>
        <w:t>月针对由环境署提供秘书处或秘书处职能的多边环境协定秘书处和其他机构的管理和行政的权力下放政策和框架，</w:t>
      </w:r>
      <w:r w:rsidRPr="00B66330">
        <w:rPr>
          <w:rStyle w:val="FootnoteReference"/>
          <w:bCs/>
          <w:snapToGrid w:val="0"/>
          <w:sz w:val="24"/>
          <w:szCs w:val="24"/>
          <w:lang w:val="zh-CN"/>
        </w:rPr>
        <w:footnoteReference w:id="1"/>
      </w:r>
      <w:bookmarkStart w:id="0" w:name="_Hlk529599866"/>
      <w:bookmarkEnd w:id="0"/>
    </w:p>
    <w:p w14:paraId="66CDC868" w14:textId="77777777" w:rsidR="00643D56" w:rsidRPr="00B66330" w:rsidRDefault="00643D56" w:rsidP="00643D56">
      <w:pPr>
        <w:tabs>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又表示注意到</w:t>
      </w:r>
      <w:r w:rsidRPr="00B66330">
        <w:rPr>
          <w:snapToGrid w:val="0"/>
          <w:sz w:val="24"/>
          <w:szCs w:val="24"/>
          <w:lang w:val="zh-CN"/>
        </w:rPr>
        <w:t>联合国环境规划署</w:t>
      </w:r>
      <w:r w:rsidRPr="00B66330">
        <w:rPr>
          <w:snapToGrid w:val="0"/>
          <w:sz w:val="24"/>
          <w:szCs w:val="24"/>
          <w:lang w:val="zh-CN"/>
        </w:rPr>
        <w:t>2018</w:t>
      </w:r>
      <w:r w:rsidRPr="00B66330">
        <w:rPr>
          <w:snapToGrid w:val="0"/>
          <w:sz w:val="24"/>
          <w:szCs w:val="24"/>
          <w:lang w:val="zh-CN"/>
        </w:rPr>
        <w:t>年</w:t>
      </w:r>
      <w:r w:rsidRPr="00B66330">
        <w:rPr>
          <w:snapToGrid w:val="0"/>
          <w:sz w:val="24"/>
          <w:szCs w:val="24"/>
          <w:lang w:val="zh-CN"/>
        </w:rPr>
        <w:t>3</w:t>
      </w:r>
      <w:r w:rsidRPr="00B66330">
        <w:rPr>
          <w:snapToGrid w:val="0"/>
          <w:sz w:val="24"/>
          <w:szCs w:val="24"/>
          <w:lang w:val="zh-CN"/>
        </w:rPr>
        <w:t>月为提供秘书处服务而制定的灵活备选方案模板，</w:t>
      </w:r>
      <w:r w:rsidRPr="00B66330">
        <w:rPr>
          <w:rStyle w:val="FootnoteReference"/>
          <w:snapToGrid w:val="0"/>
          <w:sz w:val="24"/>
          <w:szCs w:val="24"/>
          <w:lang w:val="zh-CN"/>
        </w:rPr>
        <w:footnoteReference w:id="2"/>
      </w:r>
    </w:p>
    <w:p w14:paraId="7F8E1A50" w14:textId="77777777" w:rsidR="00643D56" w:rsidRPr="00B66330" w:rsidRDefault="00643D56" w:rsidP="00643D56">
      <w:pPr>
        <w:numPr>
          <w:ilvl w:val="0"/>
          <w:numId w:val="2"/>
        </w:numPr>
        <w:tabs>
          <w:tab w:val="clear" w:pos="1247"/>
          <w:tab w:val="clear" w:pos="1814"/>
          <w:tab w:val="clear" w:pos="2381"/>
          <w:tab w:val="clear" w:pos="2948"/>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通过</w:t>
      </w:r>
      <w:r w:rsidRPr="00B66330">
        <w:rPr>
          <w:snapToGrid w:val="0"/>
          <w:sz w:val="24"/>
          <w:szCs w:val="24"/>
          <w:lang w:val="zh-CN"/>
        </w:rPr>
        <w:t>载于本决定附件的联合国环境规划署执行主任与控制危险废物越境转移及其处置巴塞尔公约缔约方大会之间的谅解备忘录；</w:t>
      </w:r>
    </w:p>
    <w:p w14:paraId="09947BC8" w14:textId="77777777" w:rsidR="00643D56" w:rsidRPr="00B66330" w:rsidRDefault="00643D56" w:rsidP="00643D56">
      <w:pPr>
        <w:keepNext/>
        <w:keepLines/>
        <w:numPr>
          <w:ilvl w:val="0"/>
          <w:numId w:val="2"/>
        </w:numPr>
        <w:tabs>
          <w:tab w:val="clear" w:pos="1247"/>
          <w:tab w:val="clear" w:pos="1814"/>
          <w:tab w:val="clear" w:pos="2381"/>
          <w:tab w:val="clear" w:pos="2948"/>
          <w:tab w:val="clear" w:pos="3515"/>
          <w:tab w:val="left" w:pos="624"/>
        </w:tabs>
        <w:autoSpaceDE w:val="0"/>
        <w:autoSpaceDN w:val="0"/>
        <w:adjustRightInd w:val="0"/>
        <w:spacing w:line="240" w:lineRule="auto"/>
        <w:ind w:left="1247" w:firstLine="624"/>
        <w:rPr>
          <w:snapToGrid w:val="0"/>
        </w:rPr>
      </w:pPr>
      <w:r w:rsidRPr="00682B39">
        <w:rPr>
          <w:rFonts w:ascii="KaiTi" w:eastAsia="KaiTi" w:hAnsi="KaiTi" w:hint="eastAsia"/>
          <w:snapToGrid w:val="0"/>
          <w:sz w:val="24"/>
          <w:szCs w:val="24"/>
          <w:lang w:val="zh-CN"/>
        </w:rPr>
        <w:t>请</w:t>
      </w:r>
      <w:r w:rsidRPr="00B66330">
        <w:rPr>
          <w:snapToGrid w:val="0"/>
          <w:sz w:val="24"/>
          <w:szCs w:val="24"/>
          <w:lang w:val="zh-CN"/>
        </w:rPr>
        <w:t>缔约方大会主席代表缔约方大会，和联合国环境规划署执行主任在缔约方大会第十四次会议期间或闭幕后签署谅解备忘录。</w:t>
      </w:r>
    </w:p>
    <w:p w14:paraId="205D5FEE" w14:textId="77777777" w:rsidR="00643D56" w:rsidRPr="00B66330" w:rsidRDefault="00643D56" w:rsidP="00643D56">
      <w:pPr>
        <w:keepNext/>
        <w:keepLines/>
        <w:tabs>
          <w:tab w:val="left" w:pos="624"/>
        </w:tabs>
        <w:autoSpaceDE w:val="0"/>
        <w:autoSpaceDN w:val="0"/>
        <w:adjustRightInd w:val="0"/>
        <w:spacing w:line="240" w:lineRule="auto"/>
        <w:ind w:left="2495"/>
        <w:rPr>
          <w:snapToGrid w:val="0"/>
          <w:lang w:val="en-GB"/>
        </w:rPr>
        <w:sectPr w:rsidR="00643D56" w:rsidRPr="00B66330">
          <w:footnotePr>
            <w:numRestart w:val="eachSect"/>
          </w:footnotePr>
          <w:pgSz w:w="11906" w:h="16838"/>
          <w:pgMar w:top="907" w:right="992" w:bottom="1418" w:left="1418" w:header="539" w:footer="975" w:gutter="0"/>
          <w:cols w:space="708"/>
          <w:docGrid w:linePitch="360"/>
        </w:sectPr>
      </w:pPr>
    </w:p>
    <w:p w14:paraId="3935F0BF" w14:textId="6B863528" w:rsidR="00643D56" w:rsidRPr="00B66330" w:rsidRDefault="00643D56" w:rsidP="00643D56">
      <w:pPr>
        <w:tabs>
          <w:tab w:val="clear" w:pos="1247"/>
          <w:tab w:val="clear" w:pos="1814"/>
          <w:tab w:val="clear" w:pos="2381"/>
          <w:tab w:val="clear" w:pos="2948"/>
          <w:tab w:val="clear" w:pos="3515"/>
        </w:tabs>
        <w:spacing w:line="240" w:lineRule="auto"/>
        <w:rPr>
          <w:snapToGrid w:val="0"/>
          <w:lang w:val="en-GB"/>
        </w:rPr>
      </w:pPr>
    </w:p>
    <w:p w14:paraId="6561AD92" w14:textId="77777777" w:rsidR="00643D56" w:rsidRPr="00B66330" w:rsidRDefault="00643D56" w:rsidP="00643D56">
      <w:pPr>
        <w:pStyle w:val="CH1"/>
        <w:spacing w:line="240" w:lineRule="auto"/>
        <w:rPr>
          <w:rFonts w:eastAsia="SimHei"/>
          <w:snapToGrid w:val="0"/>
          <w:sz w:val="32"/>
          <w:szCs w:val="32"/>
          <w:lang w:eastAsia="zh-CN"/>
        </w:rPr>
      </w:pPr>
      <w:r w:rsidRPr="00B66330">
        <w:rPr>
          <w:rFonts w:eastAsia="SimHei"/>
          <w:snapToGrid w:val="0"/>
          <w:sz w:val="32"/>
          <w:szCs w:val="32"/>
          <w:lang w:val="zh-CN" w:eastAsia="zh-CN"/>
        </w:rPr>
        <w:tab/>
      </w:r>
      <w:r w:rsidRPr="00B66330">
        <w:rPr>
          <w:rFonts w:eastAsia="SimHei"/>
          <w:snapToGrid w:val="0"/>
          <w:sz w:val="32"/>
          <w:szCs w:val="32"/>
          <w:lang w:val="zh-CN" w:eastAsia="zh-CN"/>
        </w:rPr>
        <w:tab/>
      </w:r>
      <w:r w:rsidRPr="00B66330">
        <w:rPr>
          <w:rFonts w:eastAsia="SimHei"/>
          <w:bCs/>
          <w:snapToGrid w:val="0"/>
          <w:sz w:val="32"/>
          <w:szCs w:val="32"/>
          <w:lang w:val="zh-CN" w:eastAsia="zh-CN"/>
        </w:rPr>
        <w:t>BC-14/26</w:t>
      </w:r>
      <w:r w:rsidRPr="00B66330">
        <w:rPr>
          <w:rFonts w:eastAsia="SimHei"/>
          <w:bCs/>
          <w:snapToGrid w:val="0"/>
          <w:sz w:val="32"/>
          <w:szCs w:val="32"/>
          <w:lang w:val="zh-CN" w:eastAsia="zh-CN"/>
        </w:rPr>
        <w:t>号决定附件</w:t>
      </w:r>
      <w:r w:rsidRPr="00B66330">
        <w:rPr>
          <w:rStyle w:val="FootnoteReference"/>
          <w:rFonts w:eastAsia="SimHei"/>
          <w:snapToGrid w:val="0"/>
          <w:sz w:val="32"/>
          <w:szCs w:val="32"/>
          <w:lang w:val="zh-CN"/>
        </w:rPr>
        <w:footnoteReference w:id="3"/>
      </w:r>
    </w:p>
    <w:p w14:paraId="6F4CA03D" w14:textId="77777777" w:rsidR="00643D56" w:rsidRPr="00682B39" w:rsidRDefault="00643D56" w:rsidP="00643D56">
      <w:pPr>
        <w:pStyle w:val="Heading1"/>
        <w:keepNext w:val="0"/>
        <w:tabs>
          <w:tab w:val="clear" w:pos="1247"/>
          <w:tab w:val="left" w:pos="0"/>
        </w:tabs>
        <w:spacing w:before="200" w:line="240" w:lineRule="auto"/>
        <w:ind w:firstLine="0"/>
        <w:jc w:val="center"/>
        <w:rPr>
          <w:rFonts w:eastAsia="SimHei"/>
          <w:snapToGrid w:val="0"/>
          <w:szCs w:val="28"/>
        </w:rPr>
      </w:pPr>
      <w:r w:rsidRPr="00682B39">
        <w:rPr>
          <w:rFonts w:eastAsia="SimHei" w:hint="eastAsia"/>
          <w:snapToGrid w:val="0"/>
          <w:szCs w:val="28"/>
        </w:rPr>
        <w:t>控制危险废物越境转移及其处置巴塞尔公约缔约方大会</w:t>
      </w:r>
    </w:p>
    <w:p w14:paraId="69AC3B12" w14:textId="77777777" w:rsidR="00643D56" w:rsidRPr="00682B39" w:rsidRDefault="00643D56" w:rsidP="00643D56">
      <w:pPr>
        <w:pStyle w:val="Heading1"/>
        <w:keepNext w:val="0"/>
        <w:tabs>
          <w:tab w:val="clear" w:pos="1247"/>
          <w:tab w:val="left" w:pos="0"/>
        </w:tabs>
        <w:spacing w:before="200" w:line="240" w:lineRule="auto"/>
        <w:ind w:firstLine="0"/>
        <w:jc w:val="center"/>
        <w:rPr>
          <w:rFonts w:eastAsia="SimHei"/>
          <w:snapToGrid w:val="0"/>
          <w:szCs w:val="28"/>
        </w:rPr>
      </w:pPr>
      <w:r w:rsidRPr="00682B39">
        <w:rPr>
          <w:rFonts w:eastAsia="SimHei" w:hint="eastAsia"/>
          <w:snapToGrid w:val="0"/>
          <w:szCs w:val="28"/>
        </w:rPr>
        <w:t>与</w:t>
      </w:r>
    </w:p>
    <w:p w14:paraId="0F630592" w14:textId="77777777" w:rsidR="00643D56" w:rsidRPr="00682B39" w:rsidRDefault="00643D56" w:rsidP="00643D56">
      <w:pPr>
        <w:pStyle w:val="Heading1"/>
        <w:keepNext w:val="0"/>
        <w:tabs>
          <w:tab w:val="clear" w:pos="1247"/>
          <w:tab w:val="left" w:pos="0"/>
        </w:tabs>
        <w:spacing w:before="200" w:line="240" w:lineRule="auto"/>
        <w:ind w:firstLine="0"/>
        <w:jc w:val="center"/>
        <w:rPr>
          <w:rFonts w:eastAsia="SimHei"/>
          <w:snapToGrid w:val="0"/>
          <w:szCs w:val="28"/>
        </w:rPr>
      </w:pPr>
      <w:r w:rsidRPr="00682B39">
        <w:rPr>
          <w:rFonts w:eastAsia="SimHei" w:hint="eastAsia"/>
          <w:snapToGrid w:val="0"/>
          <w:szCs w:val="28"/>
        </w:rPr>
        <w:t>联合国环境规划署执行主任</w:t>
      </w:r>
    </w:p>
    <w:p w14:paraId="64D97852" w14:textId="77777777" w:rsidR="00643D56" w:rsidRPr="00682B39" w:rsidRDefault="00643D56" w:rsidP="00643D56">
      <w:pPr>
        <w:pStyle w:val="Heading1"/>
        <w:keepNext w:val="0"/>
        <w:tabs>
          <w:tab w:val="clear" w:pos="1247"/>
          <w:tab w:val="left" w:pos="0"/>
        </w:tabs>
        <w:spacing w:before="200" w:line="240" w:lineRule="auto"/>
        <w:ind w:firstLine="0"/>
        <w:jc w:val="center"/>
        <w:rPr>
          <w:rFonts w:eastAsia="SimHei"/>
          <w:snapToGrid w:val="0"/>
          <w:szCs w:val="28"/>
        </w:rPr>
      </w:pPr>
      <w:r w:rsidRPr="00682B39">
        <w:rPr>
          <w:rFonts w:eastAsia="SimHei" w:hint="eastAsia"/>
          <w:snapToGrid w:val="0"/>
          <w:szCs w:val="28"/>
        </w:rPr>
        <w:t>关于为提供《巴塞尔公约》</w:t>
      </w:r>
      <w:r w:rsidRPr="00682B39">
        <w:rPr>
          <w:rFonts w:eastAsia="SimHei"/>
          <w:snapToGrid w:val="0"/>
          <w:szCs w:val="28"/>
        </w:rPr>
        <w:t xml:space="preserve"> </w:t>
      </w:r>
      <w:r w:rsidRPr="00682B39">
        <w:rPr>
          <w:rFonts w:eastAsia="SimHei" w:hint="eastAsia"/>
          <w:snapToGrid w:val="0"/>
          <w:szCs w:val="28"/>
        </w:rPr>
        <w:t>秘书处职能所作安排的</w:t>
      </w:r>
    </w:p>
    <w:p w14:paraId="05E9CA2B" w14:textId="77777777" w:rsidR="00643D56" w:rsidRPr="00682B39" w:rsidRDefault="00643D56" w:rsidP="00643D56">
      <w:pPr>
        <w:pStyle w:val="Normalnumber"/>
        <w:numPr>
          <w:ilvl w:val="0"/>
          <w:numId w:val="0"/>
        </w:numPr>
        <w:tabs>
          <w:tab w:val="clear" w:pos="624"/>
          <w:tab w:val="left" w:pos="567"/>
        </w:tabs>
        <w:spacing w:line="240" w:lineRule="auto"/>
        <w:ind w:left="1247"/>
        <w:jc w:val="center"/>
        <w:rPr>
          <w:rFonts w:eastAsia="SimHei"/>
          <w:snapToGrid w:val="0"/>
          <w:sz w:val="28"/>
          <w:szCs w:val="28"/>
          <w:lang w:val="en-US" w:eastAsia="zh-CN"/>
        </w:rPr>
      </w:pPr>
      <w:r w:rsidRPr="00682B39">
        <w:rPr>
          <w:rFonts w:eastAsia="SimHei" w:hint="eastAsia"/>
          <w:b/>
          <w:snapToGrid w:val="0"/>
          <w:sz w:val="28"/>
          <w:szCs w:val="28"/>
          <w:lang w:val="en-US" w:eastAsia="zh-CN"/>
        </w:rPr>
        <w:t>谅解备忘录</w:t>
      </w:r>
    </w:p>
    <w:p w14:paraId="74FD8811" w14:textId="77777777" w:rsidR="00643D56" w:rsidRPr="00682B39" w:rsidRDefault="00643D56" w:rsidP="00643D56">
      <w:pPr>
        <w:spacing w:before="240" w:line="240" w:lineRule="auto"/>
        <w:ind w:left="1247"/>
        <w:jc w:val="center"/>
        <w:rPr>
          <w:rFonts w:ascii="SimSun" w:hAnsi="SimSun"/>
          <w:snapToGrid w:val="0"/>
          <w:sz w:val="24"/>
          <w:szCs w:val="24"/>
        </w:rPr>
      </w:pPr>
      <w:r w:rsidRPr="00B66330">
        <w:rPr>
          <w:rFonts w:hint="eastAsia"/>
          <w:snapToGrid w:val="0"/>
          <w:sz w:val="24"/>
          <w:szCs w:val="24"/>
        </w:rPr>
        <w:t>(</w:t>
      </w:r>
      <w:proofErr w:type="gramStart"/>
      <w:r w:rsidRPr="00B66330">
        <w:rPr>
          <w:snapToGrid w:val="0"/>
          <w:sz w:val="24"/>
          <w:szCs w:val="24"/>
          <w:lang w:val="zh-CN"/>
        </w:rPr>
        <w:t>以下称为</w:t>
      </w:r>
      <w:r w:rsidRPr="00682B39">
        <w:rPr>
          <w:rFonts w:ascii="SimSun" w:hAnsi="SimSun"/>
          <w:snapToGrid w:val="0"/>
          <w:sz w:val="24"/>
          <w:szCs w:val="24"/>
          <w:lang w:val="zh-CN"/>
        </w:rPr>
        <w:t>“</w:t>
      </w:r>
      <w:proofErr w:type="gramEnd"/>
      <w:r w:rsidRPr="00682B39">
        <w:rPr>
          <w:rFonts w:ascii="SimSun" w:hAnsi="SimSun" w:hint="eastAsia"/>
          <w:snapToGrid w:val="0"/>
          <w:sz w:val="24"/>
          <w:szCs w:val="24"/>
          <w:lang w:val="zh-CN"/>
        </w:rPr>
        <w:t>谅解备忘录</w:t>
      </w:r>
      <w:r w:rsidRPr="00682B39">
        <w:rPr>
          <w:rFonts w:ascii="SimSun" w:hAnsi="SimSun"/>
          <w:snapToGrid w:val="0"/>
          <w:sz w:val="24"/>
          <w:szCs w:val="24"/>
          <w:lang w:val="zh-CN"/>
        </w:rPr>
        <w:t>”)</w:t>
      </w:r>
    </w:p>
    <w:p w14:paraId="3D59FA13" w14:textId="77777777" w:rsidR="00643D56" w:rsidRPr="00682B39"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rFonts w:ascii="SimSun" w:hAnsi="SimSun"/>
          <w:snapToGrid w:val="0"/>
          <w:sz w:val="24"/>
          <w:szCs w:val="24"/>
          <w:lang w:eastAsia="zh-CN"/>
        </w:rPr>
      </w:pPr>
      <w:r w:rsidRPr="00682B39">
        <w:rPr>
          <w:rFonts w:ascii="SimSun" w:hAnsi="SimSun"/>
          <w:snapToGrid w:val="0"/>
          <w:sz w:val="24"/>
          <w:szCs w:val="24"/>
          <w:lang w:val="zh-CN" w:eastAsia="zh-CN"/>
        </w:rPr>
        <w:tab/>
      </w:r>
      <w:r w:rsidRPr="00682B39">
        <w:rPr>
          <w:rFonts w:ascii="SimSun" w:hAnsi="SimSun" w:hint="eastAsia"/>
          <w:snapToGrid w:val="0"/>
          <w:sz w:val="24"/>
          <w:szCs w:val="24"/>
          <w:lang w:val="zh-CN" w:eastAsia="zh-CN"/>
        </w:rPr>
        <w:t>控制危险废物越境转移及其处置巴塞尔公约缔约方大会（</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缔约方大会</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）和联合国环境规划署执行主任（</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执行主任</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w:t>
      </w:r>
      <w:r w:rsidRPr="00682B39">
        <w:rPr>
          <w:rFonts w:ascii="SimSun" w:hAnsi="SimSun" w:hint="eastAsia"/>
          <w:bCs/>
          <w:iCs/>
          <w:snapToGrid w:val="0"/>
          <w:sz w:val="24"/>
          <w:szCs w:val="24"/>
          <w:lang w:val="zh-CN" w:eastAsia="zh-CN"/>
        </w:rPr>
        <w:t>（下文也单独称为</w:t>
      </w:r>
      <w:r w:rsidRPr="00682B39">
        <w:rPr>
          <w:rFonts w:ascii="SimSun" w:hAnsi="SimSun"/>
          <w:bCs/>
          <w:iCs/>
          <w:snapToGrid w:val="0"/>
          <w:sz w:val="24"/>
          <w:szCs w:val="24"/>
          <w:lang w:val="zh-CN" w:eastAsia="zh-CN"/>
        </w:rPr>
        <w:t>“</w:t>
      </w:r>
      <w:r w:rsidRPr="00682B39">
        <w:rPr>
          <w:rFonts w:ascii="SimSun" w:hAnsi="SimSun" w:hint="eastAsia"/>
          <w:bCs/>
          <w:iCs/>
          <w:snapToGrid w:val="0"/>
          <w:sz w:val="24"/>
          <w:szCs w:val="24"/>
          <w:lang w:val="zh-CN" w:eastAsia="zh-CN"/>
        </w:rPr>
        <w:t>一方</w:t>
      </w:r>
      <w:r w:rsidRPr="00682B39">
        <w:rPr>
          <w:rFonts w:ascii="SimSun" w:hAnsi="SimSun"/>
          <w:bCs/>
          <w:iCs/>
          <w:snapToGrid w:val="0"/>
          <w:sz w:val="24"/>
          <w:szCs w:val="24"/>
          <w:lang w:val="zh-CN" w:eastAsia="zh-CN"/>
        </w:rPr>
        <w:t>”</w:t>
      </w:r>
      <w:r w:rsidRPr="00682B39">
        <w:rPr>
          <w:rFonts w:ascii="SimSun" w:hAnsi="SimSun" w:hint="eastAsia"/>
          <w:bCs/>
          <w:iCs/>
          <w:snapToGrid w:val="0"/>
          <w:sz w:val="24"/>
          <w:szCs w:val="24"/>
          <w:lang w:val="zh-CN" w:eastAsia="zh-CN"/>
        </w:rPr>
        <w:t>，合并称为</w:t>
      </w:r>
      <w:r w:rsidRPr="00682B39">
        <w:rPr>
          <w:rFonts w:ascii="SimSun" w:hAnsi="SimSun"/>
          <w:bCs/>
          <w:iCs/>
          <w:snapToGrid w:val="0"/>
          <w:sz w:val="24"/>
          <w:szCs w:val="24"/>
          <w:lang w:val="zh-CN" w:eastAsia="zh-CN"/>
        </w:rPr>
        <w:t>“</w:t>
      </w:r>
      <w:r w:rsidRPr="00682B39">
        <w:rPr>
          <w:rFonts w:ascii="SimSun" w:hAnsi="SimSun" w:hint="eastAsia"/>
          <w:bCs/>
          <w:iCs/>
          <w:snapToGrid w:val="0"/>
          <w:sz w:val="24"/>
          <w:szCs w:val="24"/>
          <w:lang w:val="zh-CN" w:eastAsia="zh-CN"/>
        </w:rPr>
        <w:t>双方</w:t>
      </w:r>
      <w:r w:rsidRPr="00682B39">
        <w:rPr>
          <w:rFonts w:ascii="SimSun" w:hAnsi="SimSun"/>
          <w:bCs/>
          <w:iCs/>
          <w:snapToGrid w:val="0"/>
          <w:sz w:val="24"/>
          <w:szCs w:val="24"/>
          <w:lang w:val="zh-CN" w:eastAsia="zh-CN"/>
        </w:rPr>
        <w:t>”</w:t>
      </w:r>
      <w:r w:rsidRPr="00682B39">
        <w:rPr>
          <w:rFonts w:ascii="SimSun" w:hAnsi="SimSun" w:hint="eastAsia"/>
          <w:bCs/>
          <w:iCs/>
          <w:snapToGrid w:val="0"/>
          <w:sz w:val="24"/>
          <w:szCs w:val="24"/>
          <w:lang w:val="zh-CN" w:eastAsia="zh-CN"/>
        </w:rPr>
        <w:t>）</w:t>
      </w:r>
      <w:r w:rsidRPr="00682B39">
        <w:rPr>
          <w:rFonts w:ascii="SimSun" w:hAnsi="SimSun" w:hint="eastAsia"/>
          <w:snapToGrid w:val="0"/>
          <w:sz w:val="24"/>
          <w:szCs w:val="24"/>
          <w:lang w:val="zh-CN" w:eastAsia="zh-CN"/>
        </w:rPr>
        <w:t>：</w:t>
      </w:r>
    </w:p>
    <w:p w14:paraId="3FDB7528"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ab/>
      </w:r>
      <w:r w:rsidRPr="00682B39">
        <w:rPr>
          <w:rFonts w:ascii="KaiTi" w:eastAsia="KaiTi" w:hAnsi="KaiTi" w:hint="eastAsia"/>
          <w:snapToGrid w:val="0"/>
          <w:sz w:val="24"/>
          <w:szCs w:val="24"/>
          <w:lang w:val="zh-CN" w:eastAsia="zh-CN"/>
        </w:rPr>
        <w:t>回顾</w:t>
      </w:r>
      <w:r w:rsidRPr="00B66330">
        <w:rPr>
          <w:snapToGrid w:val="0"/>
          <w:sz w:val="24"/>
          <w:szCs w:val="24"/>
          <w:lang w:val="zh-CN" w:eastAsia="zh-CN"/>
        </w:rPr>
        <w:t>《控制危险废物越境转移及其处置巴塞尔公约》（《公约》）第</w:t>
      </w:r>
      <w:r w:rsidRPr="00B66330">
        <w:rPr>
          <w:snapToGrid w:val="0"/>
          <w:sz w:val="24"/>
          <w:szCs w:val="24"/>
          <w:lang w:val="zh-CN" w:eastAsia="zh-CN"/>
        </w:rPr>
        <w:t>16</w:t>
      </w:r>
      <w:r w:rsidRPr="00B66330">
        <w:rPr>
          <w:snapToGrid w:val="0"/>
          <w:sz w:val="24"/>
          <w:szCs w:val="24"/>
          <w:lang w:val="zh-CN" w:eastAsia="zh-CN"/>
        </w:rPr>
        <w:t>条，其中规定了公约秘书处的职能，并规定缔约方大会应在其第一次会议上</w:t>
      </w:r>
      <w:proofErr w:type="gramStart"/>
      <w:r w:rsidRPr="00B66330">
        <w:rPr>
          <w:snapToGrid w:val="0"/>
          <w:sz w:val="24"/>
          <w:szCs w:val="24"/>
          <w:lang w:val="zh-CN" w:eastAsia="zh-CN"/>
        </w:rPr>
        <w:t>从表示</w:t>
      </w:r>
      <w:proofErr w:type="gramEnd"/>
      <w:r w:rsidRPr="00B66330">
        <w:rPr>
          <w:snapToGrid w:val="0"/>
          <w:sz w:val="24"/>
          <w:szCs w:val="24"/>
          <w:lang w:val="zh-CN" w:eastAsia="zh-CN"/>
        </w:rPr>
        <w:t>愿意履行秘书处职能的现有合格政府间组织中指定秘书处，</w:t>
      </w:r>
    </w:p>
    <w:p w14:paraId="612A5998"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val="en-US" w:eastAsia="zh-CN"/>
        </w:rPr>
      </w:pPr>
      <w:r w:rsidRPr="00B66330">
        <w:rPr>
          <w:snapToGrid w:val="0"/>
          <w:sz w:val="24"/>
          <w:szCs w:val="24"/>
          <w:lang w:val="zh-CN" w:eastAsia="zh-CN"/>
        </w:rPr>
        <w:tab/>
      </w:r>
      <w:r w:rsidRPr="00682B39">
        <w:rPr>
          <w:rFonts w:ascii="KaiTi" w:eastAsia="KaiTi" w:hAnsi="KaiTi" w:hint="eastAsia"/>
          <w:snapToGrid w:val="0"/>
          <w:sz w:val="24"/>
          <w:szCs w:val="24"/>
          <w:lang w:val="zh-CN" w:eastAsia="zh-CN"/>
        </w:rPr>
        <w:t>又回顾</w:t>
      </w:r>
      <w:r w:rsidRPr="00B66330">
        <w:rPr>
          <w:snapToGrid w:val="0"/>
          <w:sz w:val="24"/>
          <w:szCs w:val="24"/>
          <w:lang w:val="zh-CN" w:eastAsia="zh-CN"/>
        </w:rPr>
        <w:t>联合国大会</w:t>
      </w:r>
      <w:r w:rsidRPr="00B66330">
        <w:rPr>
          <w:snapToGrid w:val="0"/>
          <w:sz w:val="24"/>
          <w:szCs w:val="24"/>
          <w:lang w:val="zh-CN" w:eastAsia="zh-CN"/>
        </w:rPr>
        <w:t>1972</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15</w:t>
      </w:r>
      <w:r w:rsidRPr="00B66330">
        <w:rPr>
          <w:snapToGrid w:val="0"/>
          <w:sz w:val="24"/>
          <w:szCs w:val="24"/>
          <w:lang w:val="zh-CN" w:eastAsia="zh-CN"/>
        </w:rPr>
        <w:t>日第</w:t>
      </w:r>
      <w:r w:rsidRPr="00B66330">
        <w:rPr>
          <w:snapToGrid w:val="0"/>
          <w:sz w:val="24"/>
          <w:szCs w:val="24"/>
          <w:lang w:val="zh-CN" w:eastAsia="zh-CN"/>
        </w:rPr>
        <w:t>2997 (XXVII)</w:t>
      </w:r>
      <w:r w:rsidRPr="00B66330">
        <w:rPr>
          <w:snapToGrid w:val="0"/>
          <w:sz w:val="24"/>
          <w:szCs w:val="24"/>
          <w:lang w:val="zh-CN" w:eastAsia="zh-CN"/>
        </w:rPr>
        <w:t>号决议第二节所载的关于设立由联合国环境规划署（环境署）执行主任领导的环境秘书处的决定，执行主任除其他外，负责履行联合国环境规划署理事会可能委托其履行的职能；并在此背景下回顾理事会授权联合国环境规划署秘书处参加公约秘书处的相关决定，</w:t>
      </w:r>
    </w:p>
    <w:p w14:paraId="30BC02CC"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lastRenderedPageBreak/>
        <w:tab/>
      </w:r>
      <w:r w:rsidRPr="00682B39">
        <w:rPr>
          <w:rFonts w:ascii="KaiTi" w:eastAsia="KaiTi" w:hAnsi="KaiTi" w:hint="eastAsia"/>
          <w:snapToGrid w:val="0"/>
          <w:sz w:val="24"/>
          <w:szCs w:val="24"/>
          <w:lang w:val="zh-CN" w:eastAsia="zh-CN"/>
        </w:rPr>
        <w:t>还回顾</w:t>
      </w:r>
      <w:r w:rsidRPr="00B66330">
        <w:rPr>
          <w:snapToGrid w:val="0"/>
          <w:sz w:val="24"/>
          <w:szCs w:val="24"/>
          <w:lang w:val="zh-CN" w:eastAsia="zh-CN"/>
        </w:rPr>
        <w:t>公约缔约方大会</w:t>
      </w:r>
      <w:r w:rsidRPr="00B66330">
        <w:rPr>
          <w:snapToGrid w:val="0"/>
          <w:sz w:val="24"/>
          <w:szCs w:val="24"/>
          <w:lang w:val="zh-CN" w:eastAsia="zh-CN"/>
        </w:rPr>
        <w:t>1992</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4</w:t>
      </w:r>
      <w:r w:rsidRPr="00B66330">
        <w:rPr>
          <w:snapToGrid w:val="0"/>
          <w:sz w:val="24"/>
          <w:szCs w:val="24"/>
          <w:lang w:val="zh-CN" w:eastAsia="zh-CN"/>
        </w:rPr>
        <w:t>日第</w:t>
      </w:r>
      <w:r w:rsidRPr="00B66330">
        <w:rPr>
          <w:snapToGrid w:val="0"/>
          <w:sz w:val="24"/>
          <w:szCs w:val="24"/>
          <w:lang w:val="zh-CN" w:eastAsia="zh-CN"/>
        </w:rPr>
        <w:t>I/7</w:t>
      </w:r>
      <w:r w:rsidRPr="00B66330">
        <w:rPr>
          <w:snapToGrid w:val="0"/>
          <w:sz w:val="24"/>
          <w:szCs w:val="24"/>
          <w:lang w:val="zh-CN" w:eastAsia="zh-CN"/>
        </w:rPr>
        <w:t>号决定，其中缔约方大会请联合国环境规划</w:t>
      </w:r>
      <w:proofErr w:type="gramStart"/>
      <w:r w:rsidRPr="00B66330">
        <w:rPr>
          <w:snapToGrid w:val="0"/>
          <w:sz w:val="24"/>
          <w:szCs w:val="24"/>
          <w:lang w:val="zh-CN" w:eastAsia="zh-CN"/>
        </w:rPr>
        <w:t>署履行</w:t>
      </w:r>
      <w:proofErr w:type="gramEnd"/>
      <w:r w:rsidRPr="00B66330">
        <w:rPr>
          <w:snapToGrid w:val="0"/>
          <w:sz w:val="24"/>
          <w:szCs w:val="24"/>
          <w:lang w:val="zh-CN" w:eastAsia="zh-CN"/>
        </w:rPr>
        <w:t>巴塞尔公约秘书处的职能，还</w:t>
      </w:r>
      <w:proofErr w:type="gramStart"/>
      <w:r w:rsidRPr="00B66330">
        <w:rPr>
          <w:snapToGrid w:val="0"/>
          <w:sz w:val="24"/>
          <w:szCs w:val="24"/>
          <w:lang w:val="zh-CN" w:eastAsia="zh-CN"/>
        </w:rPr>
        <w:t>请环境</w:t>
      </w:r>
      <w:proofErr w:type="gramEnd"/>
      <w:r w:rsidRPr="00B66330">
        <w:rPr>
          <w:snapToGrid w:val="0"/>
          <w:sz w:val="24"/>
          <w:szCs w:val="24"/>
          <w:lang w:val="zh-CN" w:eastAsia="zh-CN"/>
        </w:rPr>
        <w:t>署执行主任按照预算所载的结构设立秘书处，并将秘书处设在日内瓦，</w:t>
      </w:r>
    </w:p>
    <w:p w14:paraId="37C41923"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ab/>
      </w:r>
      <w:r w:rsidRPr="00682B39">
        <w:rPr>
          <w:rFonts w:ascii="KaiTi" w:eastAsia="KaiTi" w:hAnsi="KaiTi" w:hint="eastAsia"/>
          <w:snapToGrid w:val="0"/>
          <w:sz w:val="24"/>
          <w:szCs w:val="24"/>
          <w:lang w:val="zh-CN" w:eastAsia="zh-CN"/>
        </w:rPr>
        <w:t>认识到</w:t>
      </w:r>
      <w:r w:rsidRPr="00B66330">
        <w:rPr>
          <w:snapToGrid w:val="0"/>
          <w:sz w:val="24"/>
          <w:szCs w:val="24"/>
          <w:lang w:val="zh-CN" w:eastAsia="zh-CN"/>
        </w:rPr>
        <w:t>《公约》及其工作方案的执行和</w:t>
      </w:r>
      <w:r w:rsidRPr="00B66330">
        <w:rPr>
          <w:bCs/>
          <w:iCs/>
          <w:snapToGrid w:val="0"/>
          <w:sz w:val="24"/>
          <w:szCs w:val="24"/>
          <w:lang w:val="zh-CN" w:eastAsia="zh-CN"/>
        </w:rPr>
        <w:t>所有实质性问题上秘书处的管理</w:t>
      </w:r>
      <w:r w:rsidRPr="00B66330">
        <w:rPr>
          <w:snapToGrid w:val="0"/>
          <w:sz w:val="24"/>
          <w:szCs w:val="24"/>
          <w:lang w:val="zh-CN" w:eastAsia="zh-CN"/>
        </w:rPr>
        <w:t>唯以《公约》和缔约方大会的决定为指导，</w:t>
      </w:r>
    </w:p>
    <w:p w14:paraId="79052310"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ab/>
      </w:r>
      <w:r w:rsidRPr="00682B39">
        <w:rPr>
          <w:rFonts w:ascii="KaiTi" w:eastAsia="KaiTi" w:hAnsi="KaiTi" w:hint="eastAsia"/>
          <w:snapToGrid w:val="0"/>
          <w:sz w:val="24"/>
          <w:szCs w:val="24"/>
          <w:lang w:val="zh-CN" w:eastAsia="zh-CN"/>
        </w:rPr>
        <w:t>回顾</w:t>
      </w:r>
      <w:r w:rsidRPr="00B66330">
        <w:rPr>
          <w:snapToGrid w:val="0"/>
          <w:sz w:val="24"/>
          <w:szCs w:val="24"/>
          <w:lang w:val="zh-CN" w:eastAsia="zh-CN"/>
        </w:rPr>
        <w:t>公约缔约方大会的</w:t>
      </w:r>
      <w:r w:rsidRPr="00B66330">
        <w:rPr>
          <w:snapToGrid w:val="0"/>
          <w:sz w:val="24"/>
          <w:szCs w:val="24"/>
          <w:lang w:val="zh-CN" w:eastAsia="zh-CN"/>
        </w:rPr>
        <w:t>BC.Ex-1/1</w:t>
      </w:r>
      <w:r w:rsidRPr="00B66330">
        <w:rPr>
          <w:snapToGrid w:val="0"/>
          <w:sz w:val="24"/>
          <w:szCs w:val="24"/>
          <w:lang w:val="zh-CN" w:eastAsia="zh-CN"/>
        </w:rPr>
        <w:t>号决定、关于在国际贸易中对某些危险化学品和农药采用事先知情同意程序的鹿特丹公约缔约方大会的</w:t>
      </w:r>
      <w:r w:rsidRPr="00B66330">
        <w:rPr>
          <w:snapToGrid w:val="0"/>
          <w:sz w:val="24"/>
          <w:szCs w:val="24"/>
          <w:lang w:val="zh-CN" w:eastAsia="zh-CN"/>
        </w:rPr>
        <w:t>RC.Ex-1/1</w:t>
      </w:r>
      <w:r w:rsidRPr="00B66330">
        <w:rPr>
          <w:snapToGrid w:val="0"/>
          <w:sz w:val="24"/>
          <w:szCs w:val="24"/>
          <w:lang w:val="zh-CN" w:eastAsia="zh-CN"/>
        </w:rPr>
        <w:t>号决定和关于持久性有机污染物的斯德哥尔摩公约缔约方大会的</w:t>
      </w:r>
      <w:r w:rsidRPr="00B66330">
        <w:rPr>
          <w:snapToGrid w:val="0"/>
          <w:sz w:val="24"/>
          <w:szCs w:val="24"/>
          <w:lang w:val="zh-CN" w:eastAsia="zh-CN"/>
        </w:rPr>
        <w:t>SC.Ex-1/1</w:t>
      </w:r>
      <w:r w:rsidRPr="00B66330">
        <w:rPr>
          <w:snapToGrid w:val="0"/>
          <w:sz w:val="24"/>
          <w:szCs w:val="24"/>
          <w:lang w:val="zh-CN" w:eastAsia="zh-CN"/>
        </w:rPr>
        <w:t>号决定，其中各缔约方大会决定设立巴塞尔公约秘书处、斯德哥尔摩公约秘书处和鹿特丹公约秘书处环境署部分的</w:t>
      </w:r>
      <w:r w:rsidRPr="00B66330">
        <w:rPr>
          <w:bCs/>
          <w:iCs/>
          <w:snapToGrid w:val="0"/>
          <w:sz w:val="24"/>
          <w:szCs w:val="24"/>
          <w:lang w:val="zh-CN" w:eastAsia="zh-CN"/>
        </w:rPr>
        <w:t>联合首长一职</w:t>
      </w:r>
      <w:r w:rsidRPr="00B66330">
        <w:rPr>
          <w:snapToGrid w:val="0"/>
          <w:sz w:val="24"/>
          <w:szCs w:val="24"/>
          <w:lang w:val="zh-CN" w:eastAsia="zh-CN"/>
        </w:rPr>
        <w:t>，</w:t>
      </w:r>
    </w:p>
    <w:p w14:paraId="551F045D" w14:textId="77777777" w:rsidR="00643D56" w:rsidRPr="00B66330"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ab/>
      </w:r>
      <w:r w:rsidRPr="00682B39">
        <w:rPr>
          <w:rFonts w:ascii="KaiTi" w:eastAsia="KaiTi" w:hAnsi="KaiTi" w:hint="eastAsia"/>
          <w:snapToGrid w:val="0"/>
          <w:sz w:val="24"/>
          <w:szCs w:val="24"/>
          <w:lang w:val="zh-CN" w:eastAsia="zh-CN"/>
        </w:rPr>
        <w:t>又回顾</w:t>
      </w:r>
      <w:r w:rsidRPr="00B66330">
        <w:rPr>
          <w:snapToGrid w:val="0"/>
          <w:sz w:val="24"/>
          <w:szCs w:val="24"/>
          <w:lang w:val="zh-CN" w:eastAsia="zh-CN"/>
        </w:rPr>
        <w:t>内部监督事务厅</w:t>
      </w:r>
      <w:r w:rsidRPr="00B66330">
        <w:rPr>
          <w:snapToGrid w:val="0"/>
          <w:sz w:val="24"/>
          <w:szCs w:val="24"/>
          <w:lang w:val="zh-CN" w:eastAsia="zh-CN"/>
        </w:rPr>
        <w:t>2012</w:t>
      </w:r>
      <w:r w:rsidRPr="00B66330">
        <w:rPr>
          <w:snapToGrid w:val="0"/>
          <w:sz w:val="24"/>
          <w:szCs w:val="24"/>
          <w:lang w:val="zh-CN" w:eastAsia="zh-CN"/>
        </w:rPr>
        <w:t>年</w:t>
      </w:r>
      <w:r w:rsidRPr="00B66330">
        <w:rPr>
          <w:snapToGrid w:val="0"/>
          <w:sz w:val="24"/>
          <w:szCs w:val="24"/>
          <w:lang w:val="zh-CN" w:eastAsia="zh-CN"/>
        </w:rPr>
        <w:t>4</w:t>
      </w:r>
      <w:r w:rsidRPr="00B66330">
        <w:rPr>
          <w:snapToGrid w:val="0"/>
          <w:sz w:val="24"/>
          <w:szCs w:val="24"/>
          <w:lang w:val="zh-CN" w:eastAsia="zh-CN"/>
        </w:rPr>
        <w:t>月</w:t>
      </w:r>
      <w:r w:rsidRPr="00B66330">
        <w:rPr>
          <w:snapToGrid w:val="0"/>
          <w:sz w:val="24"/>
          <w:szCs w:val="24"/>
          <w:lang w:val="zh-CN" w:eastAsia="zh-CN"/>
        </w:rPr>
        <w:t>26</w:t>
      </w:r>
      <w:r w:rsidRPr="00B66330">
        <w:rPr>
          <w:snapToGrid w:val="0"/>
          <w:sz w:val="24"/>
          <w:szCs w:val="24"/>
          <w:lang w:val="zh-CN" w:eastAsia="zh-CN"/>
        </w:rPr>
        <w:t>日对公约秘书处的审计报告第</w:t>
      </w:r>
      <w:r w:rsidRPr="00B66330">
        <w:rPr>
          <w:snapToGrid w:val="0"/>
          <w:sz w:val="24"/>
          <w:szCs w:val="24"/>
          <w:lang w:val="zh-CN" w:eastAsia="zh-CN"/>
        </w:rPr>
        <w:t>17</w:t>
      </w:r>
      <w:r w:rsidRPr="00B66330">
        <w:rPr>
          <w:snapToGrid w:val="0"/>
          <w:sz w:val="24"/>
          <w:szCs w:val="24"/>
          <w:lang w:val="zh-CN" w:eastAsia="zh-CN"/>
        </w:rPr>
        <w:t>段中的审计意见，其中指出，环境署与公约缔约方之间尚未签署正式谅解备忘录来进一步明确环境署和《公约》在行政和方案事项上的责任，</w:t>
      </w:r>
    </w:p>
    <w:p w14:paraId="14AB2E38" w14:textId="77777777" w:rsidR="00643D56"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val="zh-CN" w:eastAsia="zh-CN"/>
        </w:rPr>
      </w:pPr>
      <w:r w:rsidRPr="00682B39">
        <w:rPr>
          <w:rFonts w:ascii="KaiTi" w:eastAsia="KaiTi" w:hAnsi="KaiTi"/>
          <w:snapToGrid w:val="0"/>
          <w:sz w:val="24"/>
          <w:szCs w:val="24"/>
          <w:lang w:val="zh-CN" w:eastAsia="zh-CN"/>
        </w:rPr>
        <w:tab/>
      </w:r>
      <w:r w:rsidRPr="00682B39">
        <w:rPr>
          <w:rFonts w:ascii="KaiTi" w:eastAsia="KaiTi" w:hAnsi="KaiTi" w:hint="eastAsia"/>
          <w:snapToGrid w:val="0"/>
          <w:sz w:val="24"/>
          <w:szCs w:val="24"/>
          <w:lang w:val="zh-CN" w:eastAsia="zh-CN"/>
        </w:rPr>
        <w:t>还回顾</w:t>
      </w:r>
      <w:r w:rsidRPr="00B66330">
        <w:rPr>
          <w:snapToGrid w:val="0"/>
          <w:sz w:val="24"/>
          <w:szCs w:val="24"/>
          <w:lang w:val="zh-CN" w:eastAsia="zh-CN"/>
        </w:rPr>
        <w:t>BC-11/23</w:t>
      </w:r>
      <w:r w:rsidRPr="00B66330">
        <w:rPr>
          <w:snapToGrid w:val="0"/>
          <w:sz w:val="24"/>
          <w:szCs w:val="24"/>
          <w:lang w:val="zh-CN" w:eastAsia="zh-CN"/>
        </w:rPr>
        <w:t>、</w:t>
      </w:r>
      <w:r w:rsidRPr="00B66330">
        <w:rPr>
          <w:snapToGrid w:val="0"/>
          <w:sz w:val="24"/>
          <w:szCs w:val="24"/>
          <w:lang w:val="zh-CN" w:eastAsia="zh-CN"/>
        </w:rPr>
        <w:t>BC-12/24</w:t>
      </w:r>
      <w:r w:rsidRPr="00B66330">
        <w:rPr>
          <w:snapToGrid w:val="0"/>
          <w:sz w:val="24"/>
          <w:szCs w:val="24"/>
          <w:lang w:val="zh-CN" w:eastAsia="zh-CN"/>
        </w:rPr>
        <w:t>和</w:t>
      </w:r>
      <w:r w:rsidRPr="00B66330">
        <w:rPr>
          <w:snapToGrid w:val="0"/>
          <w:sz w:val="24"/>
          <w:szCs w:val="24"/>
          <w:lang w:val="zh-CN" w:eastAsia="zh-CN"/>
        </w:rPr>
        <w:t>BC-13/23</w:t>
      </w:r>
      <w:r w:rsidRPr="00B66330">
        <w:rPr>
          <w:snapToGrid w:val="0"/>
          <w:sz w:val="24"/>
          <w:szCs w:val="24"/>
          <w:lang w:val="zh-CN" w:eastAsia="zh-CN"/>
        </w:rPr>
        <w:t>号决定，</w:t>
      </w:r>
    </w:p>
    <w:p w14:paraId="030F66C6" w14:textId="6AF1D809" w:rsidR="00643D56"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val="zh-CN" w:eastAsia="zh-CN"/>
        </w:rPr>
      </w:pPr>
    </w:p>
    <w:p w14:paraId="5AF9D49E" w14:textId="77777777" w:rsidR="00643D56" w:rsidRDefault="00643D56" w:rsidP="00643D56">
      <w:pPr>
        <w:pStyle w:val="Normal-pool"/>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val="zh-CN" w:eastAsia="zh-CN"/>
        </w:rPr>
      </w:pPr>
      <w:bookmarkStart w:id="1" w:name="_GoBack"/>
      <w:bookmarkEnd w:id="1"/>
    </w:p>
    <w:p w14:paraId="2531F2BB" w14:textId="4993C926" w:rsidR="00643D56" w:rsidRPr="00B66330" w:rsidRDefault="00643D56" w:rsidP="00643D56">
      <w:pPr>
        <w:pStyle w:val="Normal-pool"/>
        <w:tabs>
          <w:tab w:val="clear" w:pos="1247"/>
          <w:tab w:val="clear" w:pos="1814"/>
          <w:tab w:val="clear" w:pos="2381"/>
          <w:tab w:val="clear" w:pos="2948"/>
          <w:tab w:val="clear" w:pos="3515"/>
          <w:tab w:val="clear" w:pos="4082"/>
          <w:tab w:val="left" w:pos="1080"/>
        </w:tabs>
        <w:spacing w:after="120" w:line="240" w:lineRule="auto"/>
        <w:jc w:val="both"/>
        <w:rPr>
          <w:rStyle w:val="Strong"/>
          <w:rFonts w:eastAsia="SimHei"/>
          <w:snapToGrid w:val="0"/>
          <w:sz w:val="28"/>
          <w:szCs w:val="28"/>
          <w:lang w:val="zh-CN" w:eastAsia="zh-CN"/>
        </w:rPr>
      </w:pPr>
      <w:r>
        <w:rPr>
          <w:rFonts w:eastAsia="SimHei"/>
          <w:b/>
          <w:bCs/>
          <w:snapToGrid w:val="0"/>
          <w:sz w:val="32"/>
          <w:szCs w:val="32"/>
          <w:lang w:val="zh-CN" w:eastAsia="zh-CN"/>
        </w:rPr>
        <w:tab/>
      </w:r>
      <w:r w:rsidRPr="00AC6A64">
        <w:rPr>
          <w:rFonts w:eastAsia="SimHei"/>
          <w:b/>
          <w:bCs/>
          <w:snapToGrid w:val="0"/>
          <w:sz w:val="32"/>
          <w:szCs w:val="32"/>
          <w:lang w:val="zh-CN" w:eastAsia="zh-CN"/>
        </w:rPr>
        <w:t>兹达成如下谅解</w:t>
      </w:r>
      <w:r w:rsidRPr="00B66330">
        <w:rPr>
          <w:rFonts w:eastAsia="SimHei"/>
          <w:b/>
          <w:bCs/>
          <w:snapToGrid w:val="0"/>
          <w:sz w:val="28"/>
          <w:szCs w:val="28"/>
          <w:lang w:val="zh-CN" w:eastAsia="zh-CN"/>
        </w:rPr>
        <w:t>：</w:t>
      </w:r>
    </w:p>
    <w:p w14:paraId="0839ADC1" w14:textId="77777777" w:rsidR="00643D56" w:rsidRPr="00B66330" w:rsidRDefault="00643D56" w:rsidP="00643D56">
      <w:pPr>
        <w:pStyle w:val="CH1"/>
        <w:numPr>
          <w:ilvl w:val="0"/>
          <w:numId w:val="3"/>
        </w:numPr>
        <w:tabs>
          <w:tab w:val="clear" w:pos="1247"/>
          <w:tab w:val="clear" w:pos="1814"/>
          <w:tab w:val="clear" w:pos="2381"/>
          <w:tab w:val="clear" w:pos="2948"/>
          <w:tab w:val="clear" w:pos="3515"/>
          <w:tab w:val="clear" w:pos="4082"/>
        </w:tabs>
        <w:spacing w:line="240" w:lineRule="auto"/>
        <w:jc w:val="both"/>
        <w:rPr>
          <w:rStyle w:val="Strong"/>
          <w:rFonts w:eastAsia="SimHei"/>
          <w:b/>
          <w:i/>
          <w:snapToGrid w:val="0"/>
          <w:sz w:val="32"/>
          <w:szCs w:val="32"/>
          <w:lang w:eastAsia="zh-CN"/>
        </w:rPr>
      </w:pPr>
      <w:r w:rsidRPr="00B66330">
        <w:rPr>
          <w:rFonts w:eastAsia="SimHei"/>
          <w:bCs/>
          <w:snapToGrid w:val="0"/>
          <w:sz w:val="32"/>
          <w:szCs w:val="32"/>
          <w:lang w:val="zh-CN" w:eastAsia="zh-CN"/>
        </w:rPr>
        <w:t>基本原则</w:t>
      </w:r>
    </w:p>
    <w:p w14:paraId="27CB72F9"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执行主任履行《公约》第</w:t>
      </w:r>
      <w:r w:rsidRPr="00B66330">
        <w:rPr>
          <w:snapToGrid w:val="0"/>
          <w:sz w:val="24"/>
          <w:szCs w:val="24"/>
          <w:lang w:val="zh-CN" w:eastAsia="zh-CN"/>
        </w:rPr>
        <w:t>16</w:t>
      </w:r>
      <w:r w:rsidRPr="00B66330">
        <w:rPr>
          <w:snapToGrid w:val="0"/>
          <w:sz w:val="24"/>
          <w:szCs w:val="24"/>
          <w:lang w:val="zh-CN" w:eastAsia="zh-CN"/>
        </w:rPr>
        <w:t>条第</w:t>
      </w:r>
      <w:r w:rsidRPr="00B66330">
        <w:rPr>
          <w:snapToGrid w:val="0"/>
          <w:sz w:val="24"/>
          <w:szCs w:val="24"/>
          <w:lang w:val="zh-CN" w:eastAsia="zh-CN"/>
        </w:rPr>
        <w:t>1</w:t>
      </w:r>
      <w:r w:rsidRPr="00B66330">
        <w:rPr>
          <w:snapToGrid w:val="0"/>
          <w:sz w:val="24"/>
          <w:szCs w:val="24"/>
          <w:lang w:val="zh-CN" w:eastAsia="zh-CN"/>
        </w:rPr>
        <w:t>款规定的巴塞尔公约秘书处的职能，并为此目的，根据缔约方大会</w:t>
      </w:r>
      <w:r w:rsidRPr="00B66330">
        <w:rPr>
          <w:snapToGrid w:val="0"/>
          <w:sz w:val="24"/>
          <w:szCs w:val="24"/>
          <w:lang w:val="zh-CN" w:eastAsia="zh-CN"/>
        </w:rPr>
        <w:t>1992</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4</w:t>
      </w:r>
      <w:r w:rsidRPr="00B66330">
        <w:rPr>
          <w:snapToGrid w:val="0"/>
          <w:sz w:val="24"/>
          <w:szCs w:val="24"/>
          <w:lang w:val="zh-CN" w:eastAsia="zh-CN"/>
        </w:rPr>
        <w:t>日第</w:t>
      </w:r>
      <w:r w:rsidRPr="00B66330">
        <w:rPr>
          <w:snapToGrid w:val="0"/>
          <w:sz w:val="24"/>
          <w:szCs w:val="24"/>
          <w:lang w:val="zh-CN" w:eastAsia="zh-CN"/>
        </w:rPr>
        <w:t>I/7</w:t>
      </w:r>
      <w:r w:rsidRPr="00B66330">
        <w:rPr>
          <w:snapToGrid w:val="0"/>
          <w:sz w:val="24"/>
          <w:szCs w:val="24"/>
          <w:lang w:val="zh-CN" w:eastAsia="zh-CN"/>
        </w:rPr>
        <w:t>号决定，在环境署内部</w:t>
      </w:r>
      <w:proofErr w:type="gramStart"/>
      <w:r w:rsidRPr="00B66330">
        <w:rPr>
          <w:snapToGrid w:val="0"/>
          <w:sz w:val="24"/>
          <w:szCs w:val="24"/>
          <w:lang w:val="zh-CN" w:eastAsia="zh-CN"/>
        </w:rPr>
        <w:t>作出</w:t>
      </w:r>
      <w:proofErr w:type="gramEnd"/>
      <w:r w:rsidRPr="00B66330">
        <w:rPr>
          <w:snapToGrid w:val="0"/>
          <w:sz w:val="24"/>
          <w:szCs w:val="24"/>
          <w:lang w:val="zh-CN" w:eastAsia="zh-CN"/>
        </w:rPr>
        <w:t>必要的安排。执行主任藉此承认《公约》相对于环境署的法律自主权，以及秘书处作为《公约》的一个机构为《公约》及其缔约</w:t>
      </w:r>
      <w:proofErr w:type="gramStart"/>
      <w:r w:rsidRPr="00B66330">
        <w:rPr>
          <w:snapToGrid w:val="0"/>
          <w:sz w:val="24"/>
          <w:szCs w:val="24"/>
          <w:lang w:val="zh-CN" w:eastAsia="zh-CN"/>
        </w:rPr>
        <w:t>方服务</w:t>
      </w:r>
      <w:proofErr w:type="gramEnd"/>
      <w:r w:rsidRPr="00B66330">
        <w:rPr>
          <w:snapToGrid w:val="0"/>
          <w:sz w:val="24"/>
          <w:szCs w:val="24"/>
          <w:lang w:val="zh-CN" w:eastAsia="zh-CN"/>
        </w:rPr>
        <w:t>的作用和职能。</w:t>
      </w:r>
    </w:p>
    <w:p w14:paraId="4306743A"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缔约方大会确认，在提供巴塞尔公约秘书处的职能时，执行主任必须遵守联合国和环境署的相关规则、条例和程序，这些职能应符合《公约》及其缔约方的要求，并符合缔约方大会的相关决定。</w:t>
      </w:r>
    </w:p>
    <w:p w14:paraId="69A5B0A1"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缔约方大会和执行主任认识到，公约秘书处高效而具有成本效益的运行对于《公约》的有效运行至关重要。执行主任将在履行《公约》第</w:t>
      </w:r>
      <w:r w:rsidRPr="00B66330">
        <w:rPr>
          <w:snapToGrid w:val="0"/>
          <w:sz w:val="24"/>
          <w:szCs w:val="24"/>
          <w:lang w:val="zh-CN" w:eastAsia="zh-CN"/>
        </w:rPr>
        <w:t>16</w:t>
      </w:r>
      <w:r w:rsidRPr="00B66330">
        <w:rPr>
          <w:snapToGrid w:val="0"/>
          <w:sz w:val="24"/>
          <w:szCs w:val="24"/>
          <w:lang w:val="zh-CN" w:eastAsia="zh-CN"/>
        </w:rPr>
        <w:t>条所列的秘书处职能时遵循这一原则。</w:t>
      </w:r>
    </w:p>
    <w:p w14:paraId="14760F58"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和执行主任在各自任务范围内打算采取可能影响下列方面的任何重大行动时，将充分考虑到对方的意见：（一）公约缔约方、秘书处或环境署的利益；（二）《公约》或联合国和环境署规则和条例切实有效的施行。</w:t>
      </w:r>
    </w:p>
    <w:p w14:paraId="10376A4E"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w:t>
      </w:r>
      <w:r w:rsidRPr="00B66330">
        <w:rPr>
          <w:bCs/>
          <w:iCs/>
          <w:snapToGrid w:val="0"/>
          <w:sz w:val="24"/>
          <w:szCs w:val="24"/>
          <w:lang w:val="zh-CN" w:eastAsia="zh-CN"/>
        </w:rPr>
        <w:t>确认</w:t>
      </w:r>
      <w:r w:rsidRPr="00B66330">
        <w:rPr>
          <w:snapToGrid w:val="0"/>
          <w:sz w:val="24"/>
          <w:szCs w:val="24"/>
          <w:lang w:val="zh-CN" w:eastAsia="zh-CN"/>
        </w:rPr>
        <w:t>，在缔约方大会审议和决定一项行动方案时，执行主任或其指定的代表可能会出席；然而，在执行主任审议和决定一项行动方案时，缔约方大会却不一定出席。执行主任采取的行动或决定如果可能会对《公约》或其秘书处的运行产生政策影响或其他影响，则应向执行秘书和缔约方大会进行通报。在此情况下，执行主任务必让执行秘书参与</w:t>
      </w:r>
      <w:proofErr w:type="gramStart"/>
      <w:r w:rsidRPr="00B66330">
        <w:rPr>
          <w:snapToGrid w:val="0"/>
          <w:sz w:val="24"/>
          <w:szCs w:val="24"/>
          <w:lang w:val="zh-CN" w:eastAsia="zh-CN"/>
        </w:rPr>
        <w:t>作出</w:t>
      </w:r>
      <w:proofErr w:type="gramEnd"/>
      <w:r w:rsidRPr="00B66330">
        <w:rPr>
          <w:snapToGrid w:val="0"/>
          <w:sz w:val="24"/>
          <w:szCs w:val="24"/>
          <w:lang w:val="zh-CN" w:eastAsia="zh-CN"/>
        </w:rPr>
        <w:t>决策或采取行动的进程，并酌情与缔约方大会协商。如有不同意见，缔约方大会和执行主任应设法在采取行动之前制定一项双方均可接受的行动方案。</w:t>
      </w:r>
    </w:p>
    <w:p w14:paraId="38F5E2D1"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缔约方大会确认，大会主席应随时向《公约》的所有缔约方通报其代表缔约方大会与执行主任进行互动的情况。</w:t>
      </w:r>
    </w:p>
    <w:p w14:paraId="4C0B3368" w14:textId="77777777" w:rsidR="00643D56" w:rsidRPr="00B66330" w:rsidRDefault="00643D56" w:rsidP="00643D56">
      <w:pPr>
        <w:pStyle w:val="CH2"/>
        <w:tabs>
          <w:tab w:val="clear" w:pos="1247"/>
          <w:tab w:val="clear" w:pos="1814"/>
          <w:tab w:val="clear" w:pos="2381"/>
          <w:tab w:val="clear" w:pos="2948"/>
          <w:tab w:val="clear" w:pos="3515"/>
          <w:tab w:val="clear" w:pos="4082"/>
        </w:tabs>
        <w:spacing w:line="240" w:lineRule="auto"/>
        <w:ind w:hanging="617"/>
        <w:jc w:val="both"/>
        <w:rPr>
          <w:i/>
          <w:iCs/>
          <w:snapToGrid w:val="0"/>
          <w:sz w:val="28"/>
          <w:szCs w:val="28"/>
          <w:lang w:eastAsia="zh-CN"/>
        </w:rPr>
      </w:pPr>
      <w:r w:rsidRPr="00B66330">
        <w:rPr>
          <w:snapToGrid w:val="0"/>
          <w:sz w:val="28"/>
          <w:szCs w:val="28"/>
          <w:lang w:val="zh-CN" w:eastAsia="zh-CN"/>
        </w:rPr>
        <w:lastRenderedPageBreak/>
        <w:t>A.</w:t>
      </w:r>
      <w:r w:rsidRPr="00B66330">
        <w:rPr>
          <w:snapToGrid w:val="0"/>
          <w:sz w:val="28"/>
          <w:szCs w:val="28"/>
          <w:lang w:val="zh-CN" w:eastAsia="zh-CN"/>
        </w:rPr>
        <w:tab/>
      </w:r>
      <w:r w:rsidRPr="00B66330">
        <w:rPr>
          <w:rFonts w:eastAsia="SimHei"/>
          <w:bCs/>
          <w:snapToGrid w:val="0"/>
          <w:sz w:val="28"/>
          <w:szCs w:val="28"/>
          <w:lang w:val="zh-CN" w:eastAsia="zh-CN"/>
        </w:rPr>
        <w:t>秘书处执行秘书和工作人员</w:t>
      </w:r>
    </w:p>
    <w:p w14:paraId="64C0018F"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执行主任将根据缔约方大会相关决定中规定的秘书处结构来安排执行秘书的征聘工作，执行秘书将根据联合国工作人员细则和条例进行甄选。应</w:t>
      </w:r>
      <w:r w:rsidRPr="00B66330">
        <w:rPr>
          <w:bCs/>
          <w:iCs/>
          <w:snapToGrid w:val="0"/>
          <w:sz w:val="24"/>
          <w:szCs w:val="24"/>
          <w:lang w:val="zh-CN" w:eastAsia="zh-CN"/>
        </w:rPr>
        <w:t>指出</w:t>
      </w:r>
      <w:r>
        <w:rPr>
          <w:rFonts w:ascii="SimSun" w:hAnsi="SimSun" w:hint="eastAsia"/>
          <w:bCs/>
          <w:iCs/>
          <w:snapToGrid w:val="0"/>
          <w:sz w:val="24"/>
          <w:szCs w:val="24"/>
          <w:lang w:val="zh-CN" w:eastAsia="zh-CN"/>
        </w:rPr>
        <w:t>，</w:t>
      </w:r>
      <w:r w:rsidRPr="00B66330">
        <w:rPr>
          <w:snapToGrid w:val="0"/>
          <w:sz w:val="24"/>
          <w:szCs w:val="24"/>
          <w:lang w:val="zh-CN" w:eastAsia="zh-CN"/>
        </w:rPr>
        <w:t>根据适用于环境署的相关联合国工作人员甄选细则和条例，执行主任将向联合国秘书处高级审查小组提出甄选</w:t>
      </w:r>
      <w:r w:rsidRPr="00B66330">
        <w:rPr>
          <w:snapToGrid w:val="0"/>
          <w:sz w:val="24"/>
          <w:szCs w:val="24"/>
          <w:lang w:val="zh-CN" w:eastAsia="zh-CN"/>
        </w:rPr>
        <w:t>D-2</w:t>
      </w:r>
      <w:r w:rsidRPr="00B66330">
        <w:rPr>
          <w:snapToGrid w:val="0"/>
          <w:sz w:val="24"/>
          <w:szCs w:val="24"/>
          <w:lang w:val="zh-CN" w:eastAsia="zh-CN"/>
        </w:rPr>
        <w:t>级执行秘书职位人员的建议，以供审查。审查后，高级审查小组将向联合国秘书长提出建议，由秘书长</w:t>
      </w:r>
      <w:proofErr w:type="gramStart"/>
      <w:r w:rsidRPr="00B66330">
        <w:rPr>
          <w:snapToGrid w:val="0"/>
          <w:sz w:val="24"/>
          <w:szCs w:val="24"/>
          <w:lang w:val="zh-CN" w:eastAsia="zh-CN"/>
        </w:rPr>
        <w:t>作出</w:t>
      </w:r>
      <w:proofErr w:type="gramEnd"/>
      <w:r w:rsidRPr="00B66330">
        <w:rPr>
          <w:snapToGrid w:val="0"/>
          <w:sz w:val="24"/>
          <w:szCs w:val="24"/>
          <w:lang w:val="zh-CN" w:eastAsia="zh-CN"/>
        </w:rPr>
        <w:t>甄选决定。</w:t>
      </w:r>
    </w:p>
    <w:p w14:paraId="3508B08E"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铭记缔约方大会的相关决定，通过缔约方大会主席（或主席不在时指定的一名副主席）就执行秘书的征聘、甄选和任命与缔约方大会进行磋商，并将确保根据适用于环境署的联合国工作人员细则和条例来征聘、甄选和任命环境署秘书处所有工作人员，包括执行秘书。</w:t>
      </w:r>
    </w:p>
    <w:p w14:paraId="2969F6C1"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遵照上文第</w:t>
      </w:r>
      <w:r w:rsidRPr="00B66330">
        <w:rPr>
          <w:snapToGrid w:val="0"/>
          <w:sz w:val="24"/>
          <w:szCs w:val="24"/>
          <w:lang w:val="zh-CN" w:eastAsia="zh-CN"/>
        </w:rPr>
        <w:t>8</w:t>
      </w:r>
      <w:r w:rsidRPr="00B66330">
        <w:rPr>
          <w:snapToGrid w:val="0"/>
          <w:sz w:val="24"/>
          <w:szCs w:val="24"/>
          <w:lang w:val="zh-CN" w:eastAsia="zh-CN"/>
        </w:rPr>
        <w:t>段，执行主任可根据联合国规则和条例，延长或终止执行秘书的合同。在这一进程的所有阶段，执行主任都不妨在其职权允许范围内，酌情通过缔约方大会主席与缔约方大会进行磋商。</w:t>
      </w:r>
    </w:p>
    <w:p w14:paraId="612C024F"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在秘书处或公约的核定和现有财政资源范围内，执行主任将提供必要的行政和财政支持，以确保秘书处在运行时具备必要的人力资源。执行主任将确保秘书处工作人员中一旦出现任何空缺，都将按照适用于环境署的联合国工作人员细则和条例尽快填补，同时注意到这些员额所需的知识、经验和专长。根据适用于环境署的联合国规则和条例，执行主任可将对秘书处工作人员</w:t>
      </w:r>
      <w:proofErr w:type="gramStart"/>
      <w:r w:rsidRPr="00B66330">
        <w:rPr>
          <w:snapToGrid w:val="0"/>
          <w:sz w:val="24"/>
          <w:szCs w:val="24"/>
          <w:lang w:val="zh-CN" w:eastAsia="zh-CN"/>
        </w:rPr>
        <w:t>作出</w:t>
      </w:r>
      <w:proofErr w:type="gramEnd"/>
      <w:r w:rsidRPr="00B66330">
        <w:rPr>
          <w:snapToGrid w:val="0"/>
          <w:sz w:val="24"/>
          <w:szCs w:val="24"/>
          <w:lang w:val="zh-CN" w:eastAsia="zh-CN"/>
        </w:rPr>
        <w:t>任命决定的权力下放给执行秘书。</w:t>
      </w:r>
    </w:p>
    <w:p w14:paraId="70617361"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执行主任将确保秘书处对初级专业人员的需求充分列入环境署每年与支持初级专业人员的捐助国政府分享的清单，</w:t>
      </w:r>
      <w:r w:rsidRPr="00B66330">
        <w:rPr>
          <w:bCs/>
          <w:iCs/>
          <w:snapToGrid w:val="0"/>
          <w:sz w:val="24"/>
          <w:szCs w:val="24"/>
          <w:lang w:val="zh-CN" w:eastAsia="zh-CN"/>
        </w:rPr>
        <w:t>而无需环境署排出优先次序</w:t>
      </w:r>
      <w:r w:rsidRPr="00B66330">
        <w:rPr>
          <w:snapToGrid w:val="0"/>
          <w:sz w:val="24"/>
          <w:szCs w:val="24"/>
          <w:lang w:val="zh-CN" w:eastAsia="zh-CN"/>
        </w:rPr>
        <w:t>，除非捐助国政府另有规定。</w:t>
      </w:r>
    </w:p>
    <w:p w14:paraId="6594328B"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执行主任将向缔约方大会通报（</w:t>
      </w:r>
      <w:r w:rsidRPr="00B66330">
        <w:rPr>
          <w:bCs/>
          <w:iCs/>
          <w:snapToGrid w:val="0"/>
          <w:sz w:val="24"/>
          <w:szCs w:val="24"/>
          <w:lang w:val="zh-CN" w:eastAsia="zh-CN"/>
        </w:rPr>
        <w:t>包括酌情通过</w:t>
      </w:r>
      <w:r w:rsidRPr="00B66330">
        <w:rPr>
          <w:snapToGrid w:val="0"/>
          <w:sz w:val="24"/>
          <w:szCs w:val="24"/>
          <w:lang w:val="zh-CN" w:eastAsia="zh-CN"/>
        </w:rPr>
        <w:t>执行秘书通报）在填补任何员额、征聘免费提供的人员或初级专业人员、或与秘书处有关的其他人力资源事项方面出现的任何意外延误。执行主任理解向《公约》理事机构报告这类征聘工作情况的重要性。</w:t>
      </w:r>
    </w:p>
    <w:p w14:paraId="0163E454" w14:textId="77777777" w:rsidR="00643D56" w:rsidRPr="00B66330" w:rsidRDefault="00643D56" w:rsidP="00643D56">
      <w:pPr>
        <w:pStyle w:val="CH2"/>
        <w:tabs>
          <w:tab w:val="clear" w:pos="1247"/>
          <w:tab w:val="clear" w:pos="1814"/>
          <w:tab w:val="clear" w:pos="2381"/>
          <w:tab w:val="clear" w:pos="2948"/>
          <w:tab w:val="clear" w:pos="3515"/>
          <w:tab w:val="clear" w:pos="4082"/>
        </w:tabs>
        <w:spacing w:line="240" w:lineRule="auto"/>
        <w:ind w:hanging="647"/>
        <w:jc w:val="both"/>
        <w:rPr>
          <w:i/>
          <w:iCs/>
          <w:snapToGrid w:val="0"/>
          <w:sz w:val="28"/>
          <w:szCs w:val="28"/>
        </w:rPr>
      </w:pPr>
      <w:r w:rsidRPr="00B66330">
        <w:rPr>
          <w:snapToGrid w:val="0"/>
          <w:sz w:val="28"/>
          <w:szCs w:val="28"/>
          <w:lang w:val="zh-CN"/>
        </w:rPr>
        <w:t>B.</w:t>
      </w:r>
      <w:r w:rsidRPr="00B66330">
        <w:rPr>
          <w:snapToGrid w:val="0"/>
          <w:sz w:val="28"/>
          <w:szCs w:val="28"/>
          <w:lang w:eastAsia="zh-CN"/>
        </w:rPr>
        <w:t xml:space="preserve">    </w:t>
      </w:r>
      <w:proofErr w:type="spellStart"/>
      <w:r w:rsidRPr="00B66330">
        <w:rPr>
          <w:rFonts w:eastAsia="SimHei"/>
          <w:bCs/>
          <w:snapToGrid w:val="0"/>
          <w:sz w:val="28"/>
          <w:szCs w:val="28"/>
          <w:lang w:val="zh-CN"/>
        </w:rPr>
        <w:t>权力下放</w:t>
      </w:r>
      <w:proofErr w:type="spellEnd"/>
    </w:p>
    <w:p w14:paraId="703B1838"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执行主任在行政和财务事项上向执行秘书下放必要的权力，使执行秘书能够进行管理、</w:t>
      </w:r>
      <w:proofErr w:type="gramStart"/>
      <w:r w:rsidRPr="00B66330">
        <w:rPr>
          <w:snapToGrid w:val="0"/>
          <w:sz w:val="24"/>
          <w:szCs w:val="24"/>
          <w:lang w:val="zh-CN" w:eastAsia="zh-CN"/>
        </w:rPr>
        <w:t>作出</w:t>
      </w:r>
      <w:proofErr w:type="gramEnd"/>
      <w:r w:rsidRPr="00B66330">
        <w:rPr>
          <w:snapToGrid w:val="0"/>
          <w:sz w:val="24"/>
          <w:szCs w:val="24"/>
          <w:lang w:val="zh-CN" w:eastAsia="zh-CN"/>
        </w:rPr>
        <w:t>决定并代表秘书处行事，享有保持秘书处高效而有成本效益的运作所需的自主权。这种权力下放除其他外，涵盖方案管理、财务和实物资源管理、人力资源管理和任何其他有关事项；在这些方面，秘书处的有效运作可能需要执行秘书</w:t>
      </w:r>
      <w:proofErr w:type="gramStart"/>
      <w:r w:rsidRPr="00B66330">
        <w:rPr>
          <w:snapToGrid w:val="0"/>
          <w:sz w:val="24"/>
          <w:szCs w:val="24"/>
          <w:lang w:val="zh-CN" w:eastAsia="zh-CN"/>
        </w:rPr>
        <w:t>作出</w:t>
      </w:r>
      <w:proofErr w:type="gramEnd"/>
      <w:r w:rsidRPr="00B66330">
        <w:rPr>
          <w:snapToGrid w:val="0"/>
          <w:sz w:val="24"/>
          <w:szCs w:val="24"/>
          <w:lang w:val="zh-CN" w:eastAsia="zh-CN"/>
        </w:rPr>
        <w:t>决定。</w:t>
      </w:r>
    </w:p>
    <w:p w14:paraId="261D14E8"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执行秘书又可按照汇报关系将权力进一步下放，并（或）将权力下放给秘书处内部的一名管理人员，但有一个明确的前提，即其对下属的任何不当行为仍须完全负责。</w:t>
      </w:r>
    </w:p>
    <w:p w14:paraId="44B7D156"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环境署通过了针对多边环境协定秘书处管理和行政的权力下放政策与框架，于</w:t>
      </w:r>
      <w:r w:rsidRPr="00B66330">
        <w:rPr>
          <w:snapToGrid w:val="0"/>
          <w:sz w:val="24"/>
          <w:szCs w:val="24"/>
          <w:lang w:val="zh-CN" w:eastAsia="zh-CN"/>
        </w:rPr>
        <w:t>2016</w:t>
      </w:r>
      <w:r w:rsidRPr="00B66330">
        <w:rPr>
          <w:snapToGrid w:val="0"/>
          <w:sz w:val="24"/>
          <w:szCs w:val="24"/>
          <w:lang w:val="zh-CN" w:eastAsia="zh-CN"/>
        </w:rPr>
        <w:t>年</w:t>
      </w:r>
      <w:r w:rsidRPr="00B66330">
        <w:rPr>
          <w:snapToGrid w:val="0"/>
          <w:sz w:val="24"/>
          <w:szCs w:val="24"/>
          <w:lang w:val="zh-CN" w:eastAsia="zh-CN"/>
        </w:rPr>
        <w:t>11</w:t>
      </w:r>
      <w:r w:rsidRPr="00B66330">
        <w:rPr>
          <w:snapToGrid w:val="0"/>
          <w:sz w:val="24"/>
          <w:szCs w:val="24"/>
          <w:lang w:val="zh-CN" w:eastAsia="zh-CN"/>
        </w:rPr>
        <w:t>月</w:t>
      </w:r>
      <w:r w:rsidRPr="00B66330">
        <w:rPr>
          <w:snapToGrid w:val="0"/>
          <w:sz w:val="24"/>
          <w:szCs w:val="24"/>
          <w:lang w:val="zh-CN" w:eastAsia="zh-CN"/>
        </w:rPr>
        <w:t>1</w:t>
      </w:r>
      <w:r w:rsidRPr="00B66330">
        <w:rPr>
          <w:snapToGrid w:val="0"/>
          <w:sz w:val="24"/>
          <w:szCs w:val="24"/>
          <w:lang w:val="zh-CN" w:eastAsia="zh-CN"/>
        </w:rPr>
        <w:t>日生效。执行主任将确保执行秘书在行使任何此类授权时，均遵照联合国和环境署的相关规则和条例以及执行主任在本谅解备忘录中的承诺。如果执行主任打算就权力下放政策与框架采取的行动或</w:t>
      </w:r>
      <w:proofErr w:type="gramStart"/>
      <w:r w:rsidRPr="00B66330">
        <w:rPr>
          <w:snapToGrid w:val="0"/>
          <w:sz w:val="24"/>
          <w:szCs w:val="24"/>
          <w:lang w:val="zh-CN" w:eastAsia="zh-CN"/>
        </w:rPr>
        <w:t>作出</w:t>
      </w:r>
      <w:proofErr w:type="gramEnd"/>
      <w:r w:rsidRPr="00B66330">
        <w:rPr>
          <w:snapToGrid w:val="0"/>
          <w:sz w:val="24"/>
          <w:szCs w:val="24"/>
          <w:lang w:val="zh-CN" w:eastAsia="zh-CN"/>
        </w:rPr>
        <w:t>的决定对《公约》或其秘书处的运行有政策影响或其他影响，执行主任将让执行秘书参与决策或采取行动的进程，并在必要时与缔约方大会协商。</w:t>
      </w:r>
    </w:p>
    <w:p w14:paraId="5AE6ADE7" w14:textId="77777777" w:rsidR="00643D56" w:rsidRPr="00B66330" w:rsidRDefault="00643D56" w:rsidP="00643D56">
      <w:pPr>
        <w:pStyle w:val="CH2"/>
        <w:tabs>
          <w:tab w:val="clear" w:pos="1247"/>
          <w:tab w:val="clear" w:pos="1814"/>
          <w:tab w:val="clear" w:pos="2381"/>
          <w:tab w:val="clear" w:pos="2948"/>
          <w:tab w:val="clear" w:pos="3515"/>
          <w:tab w:val="clear" w:pos="4082"/>
        </w:tabs>
        <w:spacing w:line="240" w:lineRule="auto"/>
        <w:ind w:hanging="617"/>
        <w:jc w:val="both"/>
        <w:rPr>
          <w:rFonts w:eastAsia="SimHei"/>
          <w:i/>
          <w:iCs/>
          <w:snapToGrid w:val="0"/>
          <w:sz w:val="28"/>
          <w:szCs w:val="28"/>
          <w:lang w:eastAsia="zh-CN"/>
        </w:rPr>
      </w:pPr>
      <w:r w:rsidRPr="00B66330">
        <w:rPr>
          <w:snapToGrid w:val="0"/>
          <w:sz w:val="28"/>
          <w:szCs w:val="28"/>
          <w:lang w:val="zh-CN" w:eastAsia="zh-CN"/>
        </w:rPr>
        <w:lastRenderedPageBreak/>
        <w:t xml:space="preserve">C. </w:t>
      </w:r>
      <w:r w:rsidRPr="00B66330">
        <w:rPr>
          <w:snapToGrid w:val="0"/>
          <w:sz w:val="28"/>
          <w:szCs w:val="28"/>
          <w:lang w:eastAsia="zh-CN"/>
        </w:rPr>
        <w:t xml:space="preserve">  </w:t>
      </w:r>
      <w:r w:rsidRPr="00B66330">
        <w:rPr>
          <w:rFonts w:eastAsia="SimHei"/>
          <w:bCs/>
          <w:snapToGrid w:val="0"/>
          <w:sz w:val="28"/>
          <w:szCs w:val="28"/>
          <w:lang w:val="zh-CN" w:eastAsia="zh-CN"/>
        </w:rPr>
        <w:t>行政和方案支助费用</w:t>
      </w:r>
    </w:p>
    <w:p w14:paraId="5EAA52B4"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与执行秘书合作，确定《公约》的行政服务需求，并确定最有效的手段，以确保《公约》在现有财政资源范围内，根据联合国和环境署的规则和条例并按照缔约方大会的各项决定（特别是关于财务事项的</w:t>
      </w:r>
      <w:r w:rsidRPr="00B66330">
        <w:rPr>
          <w:snapToGrid w:val="0"/>
          <w:sz w:val="24"/>
          <w:szCs w:val="24"/>
          <w:lang w:val="zh-CN" w:eastAsia="zh-CN"/>
        </w:rPr>
        <w:t>BC-VI/41</w:t>
      </w:r>
      <w:r w:rsidRPr="00B66330">
        <w:rPr>
          <w:snapToGrid w:val="0"/>
          <w:sz w:val="24"/>
          <w:szCs w:val="24"/>
          <w:lang w:val="zh-CN" w:eastAsia="zh-CN"/>
        </w:rPr>
        <w:t>号决定，以及关于</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缔约方大会、其附属机构和公约秘书处财务细则</w:t>
      </w:r>
      <w:r w:rsidRPr="00682B39">
        <w:rPr>
          <w:rFonts w:ascii="SimSun" w:hAnsi="SimSun"/>
          <w:snapToGrid w:val="0"/>
          <w:sz w:val="24"/>
          <w:szCs w:val="24"/>
          <w:lang w:val="zh-CN" w:eastAsia="zh-CN"/>
        </w:rPr>
        <w:t>”</w:t>
      </w:r>
      <w:r w:rsidRPr="00B66330">
        <w:rPr>
          <w:snapToGrid w:val="0"/>
          <w:sz w:val="24"/>
          <w:szCs w:val="24"/>
          <w:lang w:val="zh-CN" w:eastAsia="zh-CN"/>
        </w:rPr>
        <w:t>的</w:t>
      </w:r>
      <w:r w:rsidRPr="00B66330">
        <w:rPr>
          <w:snapToGrid w:val="0"/>
          <w:sz w:val="24"/>
          <w:szCs w:val="24"/>
          <w:lang w:val="zh-CN" w:eastAsia="zh-CN"/>
        </w:rPr>
        <w:t>BC-10/28</w:t>
      </w:r>
      <w:r w:rsidRPr="00B66330">
        <w:rPr>
          <w:snapToGrid w:val="0"/>
          <w:sz w:val="24"/>
          <w:szCs w:val="24"/>
          <w:lang w:val="zh-CN" w:eastAsia="zh-CN"/>
        </w:rPr>
        <w:t>号决定），获得必要的行政和财政支持。</w:t>
      </w:r>
    </w:p>
    <w:p w14:paraId="4733B0C9"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特别是，执行主任将向秘书处分配一个适当的份额，最初不应少于《公约》所有信托基金年度方案支助费用收入的</w:t>
      </w:r>
      <w:r w:rsidRPr="00B66330">
        <w:rPr>
          <w:snapToGrid w:val="0"/>
          <w:sz w:val="24"/>
          <w:szCs w:val="24"/>
          <w:lang w:val="zh-CN" w:eastAsia="zh-CN"/>
        </w:rPr>
        <w:t>67%</w:t>
      </w:r>
      <w:r w:rsidRPr="00B66330">
        <w:rPr>
          <w:snapToGrid w:val="0"/>
          <w:sz w:val="24"/>
          <w:szCs w:val="24"/>
          <w:lang w:val="zh-CN" w:eastAsia="zh-CN"/>
        </w:rPr>
        <w:t>。拨款将以收到年度费用计划</w:t>
      </w:r>
      <w:r w:rsidRPr="00B66330">
        <w:rPr>
          <w:bCs/>
          <w:iCs/>
          <w:snapToGrid w:val="0"/>
          <w:sz w:val="24"/>
          <w:szCs w:val="24"/>
          <w:lang w:val="zh-CN" w:eastAsia="zh-CN"/>
        </w:rPr>
        <w:t>为基础</w:t>
      </w:r>
      <w:r w:rsidRPr="00B66330">
        <w:rPr>
          <w:snapToGrid w:val="0"/>
          <w:sz w:val="24"/>
          <w:szCs w:val="24"/>
          <w:lang w:val="zh-CN" w:eastAsia="zh-CN"/>
        </w:rPr>
        <w:t>，该计划</w:t>
      </w:r>
      <w:r w:rsidRPr="00B66330">
        <w:rPr>
          <w:bCs/>
          <w:iCs/>
          <w:snapToGrid w:val="0"/>
          <w:sz w:val="24"/>
          <w:szCs w:val="24"/>
          <w:lang w:val="zh-CN" w:eastAsia="zh-CN"/>
        </w:rPr>
        <w:t>须</w:t>
      </w:r>
      <w:r w:rsidRPr="00B66330">
        <w:rPr>
          <w:snapToGrid w:val="0"/>
          <w:sz w:val="24"/>
          <w:szCs w:val="24"/>
          <w:lang w:val="zh-CN" w:eastAsia="zh-CN"/>
        </w:rPr>
        <w:t>表明这些资金将切实有效地用于支持《公约》活动。</w:t>
      </w:r>
    </w:p>
    <w:p w14:paraId="2511F05A"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执行主任还将在《公约》所有信托基金的年度方案支助费用收入中拨出适当份额（最初不应超过</w:t>
      </w:r>
      <w:r w:rsidRPr="00B66330">
        <w:rPr>
          <w:snapToGrid w:val="0"/>
          <w:sz w:val="24"/>
          <w:szCs w:val="24"/>
          <w:lang w:val="zh-CN" w:eastAsia="zh-CN"/>
        </w:rPr>
        <w:t>33%</w:t>
      </w:r>
      <w:r w:rsidRPr="00B66330">
        <w:rPr>
          <w:snapToGrid w:val="0"/>
          <w:sz w:val="24"/>
          <w:szCs w:val="24"/>
          <w:lang w:val="zh-CN" w:eastAsia="zh-CN"/>
        </w:rPr>
        <w:t>），为环境</w:t>
      </w:r>
      <w:proofErr w:type="gramStart"/>
      <w:r w:rsidRPr="00B66330">
        <w:rPr>
          <w:snapToGrid w:val="0"/>
          <w:sz w:val="24"/>
          <w:szCs w:val="24"/>
          <w:lang w:val="zh-CN" w:eastAsia="zh-CN"/>
        </w:rPr>
        <w:t>署支持</w:t>
      </w:r>
      <w:proofErr w:type="gramEnd"/>
      <w:r w:rsidRPr="00B66330">
        <w:rPr>
          <w:snapToGrid w:val="0"/>
          <w:sz w:val="24"/>
          <w:szCs w:val="24"/>
          <w:lang w:val="zh-CN" w:eastAsia="zh-CN"/>
        </w:rPr>
        <w:t>《巴塞尔公约》的中央行政服务部门提供资金。中央行政服务的内容载于本谅解备忘录附件，仅有英文本，其中包括联合国内罗毕办事处和联合国日内瓦办事处代表环境署、联合国内部监督事务厅（监督厅）和审计委员会提供的服务。</w:t>
      </w:r>
    </w:p>
    <w:p w14:paraId="3C3E84A9"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1"/>
        <w:jc w:val="both"/>
        <w:rPr>
          <w:snapToGrid w:val="0"/>
          <w:sz w:val="24"/>
          <w:szCs w:val="24"/>
          <w:lang w:eastAsia="zh-CN"/>
        </w:rPr>
      </w:pPr>
      <w:r w:rsidRPr="00B66330">
        <w:rPr>
          <w:snapToGrid w:val="0"/>
          <w:sz w:val="24"/>
          <w:szCs w:val="24"/>
          <w:lang w:val="zh-CN" w:eastAsia="zh-CN"/>
        </w:rPr>
        <w:t>根据相关的联合国行政指示，</w:t>
      </w:r>
      <w:r w:rsidRPr="007E5DAB">
        <w:rPr>
          <w:rStyle w:val="FootnoteReference"/>
          <w:snapToGrid w:val="0"/>
          <w:sz w:val="24"/>
          <w:szCs w:val="24"/>
          <w:lang w:val="zh-CN" w:eastAsia="zh-CN"/>
        </w:rPr>
        <w:footnoteReference w:id="4"/>
      </w:r>
      <w:r w:rsidRPr="00B66330">
        <w:rPr>
          <w:snapToGrid w:val="0"/>
          <w:sz w:val="24"/>
          <w:szCs w:val="24"/>
          <w:lang w:val="zh-CN" w:eastAsia="zh-CN"/>
        </w:rPr>
        <w:t>方案支助账户报表将纳入环境署公布的财务报表。执行主任在秘书处和中央行政服务部门之间分配年度方案支助费用时将做到完全透明。</w:t>
      </w:r>
    </w:p>
    <w:p w14:paraId="45742AA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依照公约缔约方大会</w:t>
      </w:r>
      <w:r w:rsidRPr="00B66330">
        <w:rPr>
          <w:snapToGrid w:val="0"/>
          <w:sz w:val="24"/>
          <w:szCs w:val="24"/>
          <w:lang w:val="zh-CN" w:eastAsia="zh-CN"/>
        </w:rPr>
        <w:t>BC-10/28</w:t>
      </w:r>
      <w:r w:rsidRPr="00B66330">
        <w:rPr>
          <w:snapToGrid w:val="0"/>
          <w:sz w:val="24"/>
          <w:szCs w:val="24"/>
          <w:lang w:val="zh-CN" w:eastAsia="zh-CN"/>
        </w:rPr>
        <w:t>号决定所载的缔约方大会、其附属机构和公约秘书处财务细则第</w:t>
      </w:r>
      <w:r w:rsidRPr="00B66330">
        <w:rPr>
          <w:snapToGrid w:val="0"/>
          <w:sz w:val="24"/>
          <w:szCs w:val="24"/>
          <w:lang w:val="zh-CN" w:eastAsia="zh-CN"/>
        </w:rPr>
        <w:t>7</w:t>
      </w:r>
      <w:r w:rsidRPr="00B66330">
        <w:rPr>
          <w:snapToGrid w:val="0"/>
          <w:sz w:val="24"/>
          <w:szCs w:val="24"/>
          <w:lang w:val="zh-CN" w:eastAsia="zh-CN"/>
        </w:rPr>
        <w:t>条，对于环境署向缔约方大会、其附属机构和公约秘书处提供的服务，缔约方大会利</w:t>
      </w:r>
      <w:r w:rsidRPr="00B66330">
        <w:rPr>
          <w:bCs/>
          <w:iCs/>
          <w:snapToGrid w:val="0"/>
          <w:sz w:val="24"/>
          <w:szCs w:val="24"/>
          <w:lang w:val="zh-CN" w:eastAsia="zh-CN"/>
        </w:rPr>
        <w:t>用</w:t>
      </w:r>
      <w:r w:rsidRPr="00B66330">
        <w:rPr>
          <w:snapToGrid w:val="0"/>
          <w:sz w:val="24"/>
          <w:szCs w:val="24"/>
          <w:lang w:val="zh-CN" w:eastAsia="zh-CN"/>
        </w:rPr>
        <w:t>第</w:t>
      </w:r>
      <w:r w:rsidRPr="00B66330">
        <w:rPr>
          <w:snapToGrid w:val="0"/>
          <w:sz w:val="24"/>
          <w:szCs w:val="24"/>
          <w:lang w:val="zh-CN" w:eastAsia="zh-CN"/>
        </w:rPr>
        <w:t>4</w:t>
      </w:r>
      <w:r w:rsidRPr="00B66330">
        <w:rPr>
          <w:snapToGrid w:val="0"/>
          <w:sz w:val="24"/>
          <w:szCs w:val="24"/>
          <w:lang w:val="zh-CN" w:eastAsia="zh-CN"/>
        </w:rPr>
        <w:t>条第</w:t>
      </w:r>
      <w:r w:rsidRPr="00B66330">
        <w:rPr>
          <w:snapToGrid w:val="0"/>
          <w:sz w:val="24"/>
          <w:szCs w:val="24"/>
          <w:lang w:val="zh-CN" w:eastAsia="zh-CN"/>
        </w:rPr>
        <w:t>1</w:t>
      </w:r>
      <w:r w:rsidRPr="00B66330">
        <w:rPr>
          <w:snapToGrid w:val="0"/>
          <w:sz w:val="24"/>
          <w:szCs w:val="24"/>
          <w:lang w:val="zh-CN" w:eastAsia="zh-CN"/>
        </w:rPr>
        <w:t>、第</w:t>
      </w:r>
      <w:r w:rsidRPr="00B66330">
        <w:rPr>
          <w:snapToGrid w:val="0"/>
          <w:sz w:val="24"/>
          <w:szCs w:val="24"/>
          <w:lang w:val="zh-CN" w:eastAsia="zh-CN"/>
        </w:rPr>
        <w:t>3</w:t>
      </w:r>
      <w:r w:rsidRPr="00B66330">
        <w:rPr>
          <w:snapToGrid w:val="0"/>
          <w:sz w:val="24"/>
          <w:szCs w:val="24"/>
          <w:lang w:val="zh-CN" w:eastAsia="zh-CN"/>
        </w:rPr>
        <w:t>和第</w:t>
      </w:r>
      <w:r w:rsidRPr="00B66330">
        <w:rPr>
          <w:snapToGrid w:val="0"/>
          <w:sz w:val="24"/>
          <w:szCs w:val="24"/>
          <w:lang w:val="zh-CN" w:eastAsia="zh-CN"/>
        </w:rPr>
        <w:t>4</w:t>
      </w:r>
      <w:r w:rsidRPr="00B66330">
        <w:rPr>
          <w:snapToGrid w:val="0"/>
          <w:sz w:val="24"/>
          <w:szCs w:val="24"/>
          <w:lang w:val="zh-CN" w:eastAsia="zh-CN"/>
        </w:rPr>
        <w:t>款所述的资金</w:t>
      </w:r>
      <w:r w:rsidRPr="00B66330">
        <w:rPr>
          <w:bCs/>
          <w:iCs/>
          <w:snapToGrid w:val="0"/>
          <w:sz w:val="24"/>
          <w:szCs w:val="24"/>
          <w:lang w:val="zh-CN" w:eastAsia="zh-CN"/>
        </w:rPr>
        <w:t>进行补偿</w:t>
      </w:r>
      <w:r w:rsidRPr="00B66330">
        <w:rPr>
          <w:snapToGrid w:val="0"/>
          <w:sz w:val="24"/>
          <w:szCs w:val="24"/>
          <w:lang w:val="zh-CN" w:eastAsia="zh-CN"/>
        </w:rPr>
        <w:t>，依据的是缔约方大会和环境署之间不时以书面商定的条件，或在没有此种协议的情况下，按照联合国的一般政策进行。</w:t>
      </w:r>
    </w:p>
    <w:p w14:paraId="1495FC2D" w14:textId="77777777" w:rsidR="00643D56" w:rsidRPr="00B66330" w:rsidRDefault="00643D56" w:rsidP="00643D56">
      <w:pPr>
        <w:pStyle w:val="CH2"/>
        <w:tabs>
          <w:tab w:val="clear" w:pos="1247"/>
          <w:tab w:val="clear" w:pos="1814"/>
          <w:tab w:val="clear" w:pos="2381"/>
          <w:tab w:val="clear" w:pos="2948"/>
          <w:tab w:val="clear" w:pos="3515"/>
          <w:tab w:val="clear" w:pos="4082"/>
        </w:tabs>
        <w:spacing w:line="240" w:lineRule="auto"/>
        <w:ind w:hanging="767"/>
        <w:jc w:val="both"/>
        <w:rPr>
          <w:i/>
          <w:iCs/>
          <w:snapToGrid w:val="0"/>
          <w:sz w:val="28"/>
          <w:szCs w:val="28"/>
        </w:rPr>
      </w:pPr>
      <w:r w:rsidRPr="00B66330">
        <w:rPr>
          <w:snapToGrid w:val="0"/>
          <w:sz w:val="28"/>
          <w:szCs w:val="28"/>
          <w:lang w:eastAsia="zh-CN"/>
        </w:rPr>
        <w:t xml:space="preserve"> </w:t>
      </w:r>
      <w:r w:rsidRPr="00B66330">
        <w:rPr>
          <w:snapToGrid w:val="0"/>
          <w:sz w:val="28"/>
          <w:szCs w:val="28"/>
          <w:lang w:val="zh-CN"/>
        </w:rPr>
        <w:t>D.</w:t>
      </w:r>
      <w:r w:rsidRPr="00B66330">
        <w:rPr>
          <w:snapToGrid w:val="0"/>
          <w:sz w:val="28"/>
          <w:szCs w:val="28"/>
          <w:lang w:val="zh-CN"/>
        </w:rPr>
        <w:tab/>
      </w:r>
      <w:r w:rsidRPr="00B66330">
        <w:rPr>
          <w:snapToGrid w:val="0"/>
          <w:sz w:val="28"/>
          <w:szCs w:val="28"/>
        </w:rPr>
        <w:t xml:space="preserve">    </w:t>
      </w:r>
      <w:proofErr w:type="spellStart"/>
      <w:r w:rsidRPr="00B66330">
        <w:rPr>
          <w:rFonts w:eastAsia="SimHei"/>
          <w:bCs/>
          <w:snapToGrid w:val="0"/>
          <w:sz w:val="28"/>
          <w:szCs w:val="28"/>
          <w:lang w:val="zh-CN"/>
        </w:rPr>
        <w:t>财务事项和预算</w:t>
      </w:r>
      <w:proofErr w:type="spellEnd"/>
    </w:p>
    <w:p w14:paraId="58F80F35" w14:textId="77777777" w:rsidR="00643D56" w:rsidRPr="00682B39"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rFonts w:ascii="SimSun" w:hAnsi="SimSun"/>
          <w:snapToGrid w:val="0"/>
          <w:sz w:val="24"/>
          <w:szCs w:val="24"/>
          <w:lang w:eastAsia="zh-CN"/>
        </w:rPr>
      </w:pPr>
      <w:r w:rsidRPr="00B66330">
        <w:rPr>
          <w:snapToGrid w:val="0"/>
          <w:sz w:val="24"/>
          <w:szCs w:val="24"/>
          <w:lang w:val="zh-CN" w:eastAsia="zh-CN"/>
        </w:rPr>
        <w:t>《公约》的财务业务记录在根据</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联合国财务条例和细则</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环境署资金运作一般程序</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第五条设立的信托基</w:t>
      </w:r>
      <w:r w:rsidRPr="00B66330">
        <w:rPr>
          <w:snapToGrid w:val="0"/>
          <w:sz w:val="24"/>
          <w:szCs w:val="24"/>
          <w:lang w:val="zh-CN" w:eastAsia="zh-CN"/>
        </w:rPr>
        <w:t>金中，并符合关于财务事项的</w:t>
      </w:r>
      <w:r w:rsidRPr="00B66330">
        <w:rPr>
          <w:snapToGrid w:val="0"/>
          <w:sz w:val="24"/>
          <w:szCs w:val="24"/>
          <w:lang w:val="zh-CN" w:eastAsia="zh-CN"/>
        </w:rPr>
        <w:t>BC-VI/41</w:t>
      </w:r>
      <w:r w:rsidRPr="00B66330">
        <w:rPr>
          <w:snapToGrid w:val="0"/>
          <w:sz w:val="24"/>
          <w:szCs w:val="24"/>
          <w:lang w:val="zh-CN" w:eastAsia="zh-CN"/>
        </w:rPr>
        <w:t>号决定和</w:t>
      </w:r>
      <w:r w:rsidRPr="00B66330">
        <w:rPr>
          <w:snapToGrid w:val="0"/>
          <w:sz w:val="24"/>
          <w:szCs w:val="24"/>
          <w:lang w:val="zh-CN" w:eastAsia="zh-CN"/>
        </w:rPr>
        <w:t>BC-10/28</w:t>
      </w:r>
      <w:r w:rsidRPr="00B66330">
        <w:rPr>
          <w:snapToGrid w:val="0"/>
          <w:sz w:val="24"/>
          <w:szCs w:val="24"/>
          <w:lang w:val="zh-CN" w:eastAsia="zh-CN"/>
        </w:rPr>
        <w:t>号决定所载的缔约方大会、其附属机构和《公约》秘书处财务细则。对于这些决定所载细则未具体规定的事项，</w:t>
      </w:r>
      <w:r w:rsidRPr="00682B39">
        <w:rPr>
          <w:rFonts w:ascii="SimSun" w:hAnsi="SimSun" w:hint="eastAsia"/>
          <w:snapToGrid w:val="0"/>
          <w:sz w:val="24"/>
          <w:szCs w:val="24"/>
          <w:lang w:val="zh-CN" w:eastAsia="zh-CN"/>
        </w:rPr>
        <w:t>应适用</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联合国财务条例和细则</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；若缔约方大会的决定与</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联合国财务条例和细则</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有任何矛盾，应以</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联合国财务条例和细则</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为准。</w:t>
      </w:r>
    </w:p>
    <w:p w14:paraId="3F6C3B52"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依照巴塞尔公约缔约方大会通过的关于</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财务事项</w:t>
      </w:r>
      <w:r w:rsidRPr="00682B39">
        <w:rPr>
          <w:rFonts w:ascii="SimSun" w:hAnsi="SimSun"/>
          <w:snapToGrid w:val="0"/>
          <w:sz w:val="24"/>
          <w:szCs w:val="24"/>
          <w:lang w:val="zh-CN" w:eastAsia="zh-CN"/>
        </w:rPr>
        <w:t>”</w:t>
      </w:r>
      <w:r w:rsidRPr="00B66330">
        <w:rPr>
          <w:snapToGrid w:val="0"/>
          <w:sz w:val="24"/>
          <w:szCs w:val="24"/>
          <w:lang w:val="zh-CN" w:eastAsia="zh-CN"/>
        </w:rPr>
        <w:t>的</w:t>
      </w:r>
      <w:r w:rsidRPr="00B66330">
        <w:rPr>
          <w:snapToGrid w:val="0"/>
          <w:sz w:val="24"/>
          <w:szCs w:val="24"/>
          <w:lang w:val="zh-CN" w:eastAsia="zh-CN"/>
        </w:rPr>
        <w:t>BC-VI/41</w:t>
      </w:r>
      <w:r w:rsidRPr="00B66330">
        <w:rPr>
          <w:snapToGrid w:val="0"/>
          <w:sz w:val="24"/>
          <w:szCs w:val="24"/>
          <w:lang w:val="zh-CN" w:eastAsia="zh-CN"/>
        </w:rPr>
        <w:t>号决定和关于</w:t>
      </w:r>
      <w:r w:rsidRPr="00682B39">
        <w:rPr>
          <w:rFonts w:ascii="SimSun" w:hAnsi="SimSun"/>
          <w:snapToGrid w:val="0"/>
          <w:sz w:val="24"/>
          <w:szCs w:val="24"/>
          <w:lang w:val="zh-CN" w:eastAsia="zh-CN"/>
        </w:rPr>
        <w:t>“</w:t>
      </w:r>
      <w:r w:rsidRPr="00682B39">
        <w:rPr>
          <w:rFonts w:ascii="SimSun" w:hAnsi="SimSun" w:hint="eastAsia"/>
          <w:snapToGrid w:val="0"/>
          <w:sz w:val="24"/>
          <w:szCs w:val="24"/>
          <w:lang w:val="zh-CN" w:eastAsia="zh-CN"/>
        </w:rPr>
        <w:t>缔约方大会、其附属机构和公约秘书处财务细则</w:t>
      </w:r>
      <w:r w:rsidRPr="00682B39">
        <w:rPr>
          <w:rFonts w:ascii="SimSun" w:hAnsi="SimSun"/>
          <w:snapToGrid w:val="0"/>
          <w:sz w:val="24"/>
          <w:szCs w:val="24"/>
          <w:lang w:val="zh-CN" w:eastAsia="zh-CN"/>
        </w:rPr>
        <w:t>”</w:t>
      </w:r>
      <w:r w:rsidRPr="00B66330">
        <w:rPr>
          <w:snapToGrid w:val="0"/>
          <w:sz w:val="24"/>
          <w:szCs w:val="24"/>
          <w:lang w:val="zh-CN" w:eastAsia="zh-CN"/>
        </w:rPr>
        <w:t>的</w:t>
      </w:r>
      <w:r w:rsidRPr="00B66330">
        <w:rPr>
          <w:snapToGrid w:val="0"/>
          <w:sz w:val="24"/>
          <w:szCs w:val="24"/>
          <w:lang w:val="zh-CN" w:eastAsia="zh-CN"/>
        </w:rPr>
        <w:t>BC-10/28</w:t>
      </w:r>
      <w:r w:rsidRPr="00B66330">
        <w:rPr>
          <w:snapToGrid w:val="0"/>
          <w:sz w:val="24"/>
          <w:szCs w:val="24"/>
          <w:lang w:val="zh-CN" w:eastAsia="zh-CN"/>
        </w:rPr>
        <w:t>号决定，受这些细则约束的所有基金的账目和财务管理均须接受联合国的内部和外部审计。财务周期第一年的临时账目报表应在财务周期的第二年提交缔约方大会，整个财务周期的最后已审计账目报表应在财务周期账目截止后尽快提交缔约方大会。应将联合国审计委员会关于环境署财务报表的报告中的任何相关意见通知缔约方大会。</w:t>
      </w:r>
    </w:p>
    <w:p w14:paraId="362C952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公约缔约方大会（</w:t>
      </w:r>
      <w:r w:rsidRPr="00B66330">
        <w:rPr>
          <w:bCs/>
          <w:iCs/>
          <w:snapToGrid w:val="0"/>
          <w:sz w:val="24"/>
          <w:szCs w:val="24"/>
          <w:lang w:val="zh-CN" w:eastAsia="zh-CN"/>
        </w:rPr>
        <w:t>包括</w:t>
      </w:r>
      <w:r w:rsidRPr="00B66330">
        <w:rPr>
          <w:snapToGrid w:val="0"/>
          <w:sz w:val="24"/>
          <w:szCs w:val="24"/>
          <w:lang w:val="zh-CN" w:eastAsia="zh-CN"/>
        </w:rPr>
        <w:t>通过其主席）负责监督由秘书处管理的、</w:t>
      </w:r>
      <w:r w:rsidRPr="00B66330">
        <w:rPr>
          <w:bCs/>
          <w:iCs/>
          <w:snapToGrid w:val="0"/>
          <w:sz w:val="24"/>
          <w:szCs w:val="24"/>
          <w:lang w:val="zh-CN" w:eastAsia="zh-CN"/>
        </w:rPr>
        <w:t>来自</w:t>
      </w:r>
      <w:r w:rsidRPr="00B66330">
        <w:rPr>
          <w:snapToGrid w:val="0"/>
          <w:sz w:val="24"/>
          <w:szCs w:val="24"/>
          <w:lang w:val="zh-CN" w:eastAsia="zh-CN"/>
        </w:rPr>
        <w:t>《公约》各信托基金的预算的编制和执行。</w:t>
      </w:r>
    </w:p>
    <w:p w14:paraId="6763B7C3"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lastRenderedPageBreak/>
        <w:t>执行主任将确保执行秘书遵守缔约方大会每次会议通过的具体决定，包括在与秘书处筹资和编制预算有关的事项</w:t>
      </w:r>
      <w:r w:rsidRPr="00B66330">
        <w:rPr>
          <w:bCs/>
          <w:iCs/>
          <w:snapToGrid w:val="0"/>
          <w:sz w:val="24"/>
          <w:szCs w:val="24"/>
          <w:lang w:val="zh-CN" w:eastAsia="zh-CN"/>
        </w:rPr>
        <w:t>方面</w:t>
      </w:r>
      <w:r w:rsidRPr="00B66330">
        <w:rPr>
          <w:snapToGrid w:val="0"/>
          <w:sz w:val="24"/>
          <w:szCs w:val="24"/>
          <w:lang w:val="zh-CN" w:eastAsia="zh-CN"/>
        </w:rPr>
        <w:t>，</w:t>
      </w:r>
      <w:r w:rsidRPr="00B66330">
        <w:rPr>
          <w:bCs/>
          <w:iCs/>
          <w:snapToGrid w:val="0"/>
          <w:sz w:val="24"/>
          <w:szCs w:val="24"/>
          <w:lang w:val="zh-CN" w:eastAsia="zh-CN"/>
        </w:rPr>
        <w:t>同时考虑到可用资源情况，并遵照适用于环境署的联合国财务条例和细则</w:t>
      </w:r>
      <w:r w:rsidRPr="00B66330">
        <w:rPr>
          <w:snapToGrid w:val="0"/>
          <w:sz w:val="24"/>
          <w:szCs w:val="24"/>
          <w:lang w:val="zh-CN" w:eastAsia="zh-CN"/>
        </w:rPr>
        <w:t>。</w:t>
      </w:r>
    </w:p>
    <w:p w14:paraId="778D9A90"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缔约方大会了解，在执行秘书将最后拟议预算提交缔约方大会下一次会议审议之前，将向执行主任提供一份秘书处预算草案，供其审查和提出意见。</w:t>
      </w:r>
    </w:p>
    <w:p w14:paraId="0E6F87A4" w14:textId="77777777" w:rsidR="00643D56" w:rsidRPr="00B66330" w:rsidRDefault="00643D56" w:rsidP="00643D56">
      <w:pPr>
        <w:pStyle w:val="CH2"/>
        <w:tabs>
          <w:tab w:val="clear" w:pos="1247"/>
          <w:tab w:val="clear" w:pos="1814"/>
          <w:tab w:val="clear" w:pos="2381"/>
          <w:tab w:val="clear" w:pos="2948"/>
          <w:tab w:val="clear" w:pos="3515"/>
          <w:tab w:val="clear" w:pos="4082"/>
        </w:tabs>
        <w:spacing w:line="240" w:lineRule="auto"/>
        <w:ind w:hanging="767"/>
        <w:jc w:val="both"/>
        <w:rPr>
          <w:rFonts w:eastAsia="SimHei"/>
          <w:i/>
          <w:iCs/>
          <w:snapToGrid w:val="0"/>
          <w:sz w:val="28"/>
          <w:szCs w:val="28"/>
          <w:lang w:eastAsia="zh-CN"/>
        </w:rPr>
      </w:pPr>
      <w:r w:rsidRPr="00B66330">
        <w:rPr>
          <w:snapToGrid w:val="0"/>
          <w:sz w:val="28"/>
          <w:szCs w:val="28"/>
          <w:lang w:eastAsia="zh-CN"/>
        </w:rPr>
        <w:t xml:space="preserve"> </w:t>
      </w:r>
      <w:r w:rsidRPr="00B66330">
        <w:rPr>
          <w:snapToGrid w:val="0"/>
          <w:sz w:val="28"/>
          <w:szCs w:val="28"/>
          <w:lang w:val="zh-CN" w:eastAsia="zh-CN"/>
        </w:rPr>
        <w:t xml:space="preserve">E. </w:t>
      </w:r>
      <w:r w:rsidRPr="00B66330">
        <w:rPr>
          <w:snapToGrid w:val="0"/>
          <w:sz w:val="28"/>
          <w:szCs w:val="28"/>
          <w:lang w:eastAsia="zh-CN"/>
        </w:rPr>
        <w:t xml:space="preserve">   </w:t>
      </w:r>
      <w:r w:rsidRPr="00B66330">
        <w:rPr>
          <w:rFonts w:eastAsia="SimHei"/>
          <w:bCs/>
          <w:snapToGrid w:val="0"/>
          <w:sz w:val="28"/>
          <w:szCs w:val="28"/>
          <w:lang w:val="zh-CN" w:eastAsia="zh-CN"/>
        </w:rPr>
        <w:t>业绩考评和管理审查</w:t>
      </w:r>
    </w:p>
    <w:p w14:paraId="67B365D5"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秘书处工作人员和其他有关人员的业绩考评是根据适用于环境署的联合国有关规则和条例进行的。</w:t>
      </w:r>
    </w:p>
    <w:p w14:paraId="6856929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通过上文</w:t>
      </w:r>
      <w:r w:rsidRPr="00B66330">
        <w:rPr>
          <w:snapToGrid w:val="0"/>
          <w:sz w:val="24"/>
          <w:szCs w:val="24"/>
          <w:lang w:val="zh-CN" w:eastAsia="zh-CN"/>
        </w:rPr>
        <w:t>B</w:t>
      </w:r>
      <w:r w:rsidRPr="00B66330">
        <w:rPr>
          <w:snapToGrid w:val="0"/>
          <w:sz w:val="24"/>
          <w:szCs w:val="24"/>
          <w:lang w:val="zh-CN" w:eastAsia="zh-CN"/>
        </w:rPr>
        <w:t>节所述的权力下放，执行秘书将管理除其本人以外的秘书处所有工作人员的业绩。执行主任或其副执行主任将考评执行秘书的业绩。考绩将通过目前使用的联合国业绩管理和考评系统进行。</w:t>
      </w:r>
    </w:p>
    <w:p w14:paraId="5C438300"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执行主任将确保缔约方大会能够获得关于联合国业绩管理和考评制度下适用的考绩标准的信息。</w:t>
      </w:r>
    </w:p>
    <w:p w14:paraId="25057B68"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就考核执行秘书及其下属工作人员的方案业绩而言，执行主任确认，秘书处的实质性工作方案是</w:t>
      </w:r>
      <w:r w:rsidRPr="00B66330">
        <w:rPr>
          <w:bCs/>
          <w:iCs/>
          <w:snapToGrid w:val="0"/>
          <w:sz w:val="24"/>
          <w:szCs w:val="24"/>
          <w:lang w:val="zh-CN" w:eastAsia="zh-CN"/>
        </w:rPr>
        <w:t>专由</w:t>
      </w:r>
      <w:r w:rsidRPr="00B66330">
        <w:rPr>
          <w:snapToGrid w:val="0"/>
          <w:sz w:val="24"/>
          <w:szCs w:val="24"/>
          <w:lang w:val="zh-CN" w:eastAsia="zh-CN"/>
        </w:rPr>
        <w:t>缔约方大会及其附属机构确定的。</w:t>
      </w:r>
    </w:p>
    <w:p w14:paraId="5E5C078A"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执行主任将确保执行秘书的行为符合《公约》的各项规定，特别是第</w:t>
      </w:r>
      <w:r w:rsidRPr="00B66330">
        <w:rPr>
          <w:snapToGrid w:val="0"/>
          <w:sz w:val="24"/>
          <w:szCs w:val="24"/>
          <w:lang w:val="zh-CN" w:eastAsia="zh-CN"/>
        </w:rPr>
        <w:t>15</w:t>
      </w:r>
      <w:r w:rsidRPr="00B66330">
        <w:rPr>
          <w:snapToGrid w:val="0"/>
          <w:sz w:val="24"/>
          <w:szCs w:val="24"/>
          <w:lang w:val="zh-CN" w:eastAsia="zh-CN"/>
        </w:rPr>
        <w:t>条和第</w:t>
      </w:r>
      <w:r w:rsidRPr="00B66330">
        <w:rPr>
          <w:snapToGrid w:val="0"/>
          <w:sz w:val="24"/>
          <w:szCs w:val="24"/>
          <w:lang w:val="zh-CN" w:eastAsia="zh-CN"/>
        </w:rPr>
        <w:t>16</w:t>
      </w:r>
      <w:r w:rsidRPr="00B66330">
        <w:rPr>
          <w:snapToGrid w:val="0"/>
          <w:sz w:val="24"/>
          <w:szCs w:val="24"/>
          <w:lang w:val="zh-CN" w:eastAsia="zh-CN"/>
        </w:rPr>
        <w:t>条，并符合关于这些以及公约缔约方可能委托秘书处履行的其他实质性职能的联合国规则和条例。</w:t>
      </w:r>
    </w:p>
    <w:p w14:paraId="0B9A3345"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执行主任将确保执行秘书在缔约方大会会议期间和闭会期间执行缔约方大会的各项决定和结论。</w:t>
      </w:r>
    </w:p>
    <w:p w14:paraId="35AD9464"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执行主任将就与执行秘书的业绩有关的任何事项与缔约方大会进行磋商。在开始对执行秘书进行考绩之前，执行主任将通过缔约方大会主席邀请缔约方大会就其业绩提出评论意见。</w:t>
      </w:r>
    </w:p>
    <w:p w14:paraId="5F228E41"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应执行主任的请求或在其本人的倡议下，执行秘书可与缔约方大会协商，或应缔约方大会的请求，委托对秘书处及其职能进行独立的管理审查，以期提高成本效率、透明度及推动实施《公约》和实现其目标。这种审查不是审计或调查，因此不会侵犯审计委员会、监督厅和联合国信息披露政策的特权。执行秘书将向缔约方大会和执行主任完整通报所进行的任何此类审查。</w:t>
      </w:r>
    </w:p>
    <w:p w14:paraId="4BB829DB" w14:textId="77777777" w:rsidR="00643D56" w:rsidRPr="00B66330" w:rsidRDefault="00643D56" w:rsidP="00643D56">
      <w:pPr>
        <w:pStyle w:val="CH1"/>
        <w:tabs>
          <w:tab w:val="clear" w:pos="1247"/>
          <w:tab w:val="clear" w:pos="1814"/>
          <w:tab w:val="clear" w:pos="2381"/>
          <w:tab w:val="clear" w:pos="2948"/>
          <w:tab w:val="clear" w:pos="3515"/>
          <w:tab w:val="clear" w:pos="4082"/>
          <w:tab w:val="left" w:pos="1080"/>
        </w:tabs>
        <w:spacing w:line="240" w:lineRule="auto"/>
        <w:ind w:hanging="1007"/>
        <w:jc w:val="both"/>
        <w:rPr>
          <w:rFonts w:eastAsia="SimHei"/>
          <w:b w:val="0"/>
          <w:snapToGrid w:val="0"/>
          <w:sz w:val="32"/>
          <w:szCs w:val="32"/>
        </w:rPr>
      </w:pPr>
      <w:r w:rsidRPr="00B66330">
        <w:rPr>
          <w:rFonts w:eastAsia="SimHei"/>
          <w:bCs/>
          <w:snapToGrid w:val="0"/>
          <w:sz w:val="32"/>
          <w:szCs w:val="32"/>
          <w:lang w:val="zh-CN"/>
        </w:rPr>
        <w:t>二、</w:t>
      </w:r>
      <w:r w:rsidRPr="00B66330">
        <w:rPr>
          <w:rFonts w:eastAsia="SimHei"/>
          <w:snapToGrid w:val="0"/>
          <w:sz w:val="32"/>
          <w:szCs w:val="32"/>
          <w:lang w:val="zh-CN" w:eastAsia="zh-CN"/>
        </w:rPr>
        <w:tab/>
      </w:r>
      <w:proofErr w:type="spellStart"/>
      <w:r w:rsidRPr="00B66330">
        <w:rPr>
          <w:rFonts w:eastAsia="SimHei"/>
          <w:bCs/>
          <w:snapToGrid w:val="0"/>
          <w:sz w:val="32"/>
          <w:szCs w:val="32"/>
          <w:lang w:val="zh-CN"/>
        </w:rPr>
        <w:t>报告</w:t>
      </w:r>
      <w:proofErr w:type="spellEnd"/>
    </w:p>
    <w:p w14:paraId="732A9304"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执行主任将在缔约方大会每次常会召开之前提前九十天提交一份关于本谅解备忘录执行情况的报告。</w:t>
      </w:r>
    </w:p>
    <w:p w14:paraId="43570633"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该报告将向公约缔约方提供关于环境署向《公约》提供的行政服务的详细资料，并列入一份财务报表，说明年度方案支助费用在秘书处与中央行政服务部门之间的分配情况，基于理解是，详细程度将符合公约缔约方的需要，并符合适用于环境署的程序。</w:t>
      </w:r>
    </w:p>
    <w:p w14:paraId="7C95B534" w14:textId="77777777" w:rsidR="00643D56" w:rsidRPr="00B66330" w:rsidRDefault="00643D56" w:rsidP="00643D56">
      <w:pPr>
        <w:pStyle w:val="CH1"/>
        <w:tabs>
          <w:tab w:val="clear" w:pos="1247"/>
          <w:tab w:val="clear" w:pos="1814"/>
          <w:tab w:val="clear" w:pos="2381"/>
          <w:tab w:val="clear" w:pos="2948"/>
          <w:tab w:val="clear" w:pos="3515"/>
          <w:tab w:val="clear" w:pos="4082"/>
          <w:tab w:val="left" w:pos="1080"/>
        </w:tabs>
        <w:spacing w:line="240" w:lineRule="auto"/>
        <w:ind w:hanging="1007"/>
        <w:jc w:val="both"/>
        <w:rPr>
          <w:rStyle w:val="Strong"/>
          <w:rFonts w:eastAsia="SimHei"/>
          <w:bCs w:val="0"/>
          <w:snapToGrid w:val="0"/>
          <w:sz w:val="32"/>
          <w:szCs w:val="32"/>
        </w:rPr>
      </w:pPr>
      <w:r w:rsidRPr="00B66330">
        <w:rPr>
          <w:rFonts w:eastAsia="SimHei"/>
          <w:bCs/>
          <w:snapToGrid w:val="0"/>
          <w:sz w:val="32"/>
          <w:szCs w:val="32"/>
          <w:lang w:val="zh-CN"/>
        </w:rPr>
        <w:t>三、</w:t>
      </w:r>
      <w:r w:rsidRPr="00B66330">
        <w:rPr>
          <w:rFonts w:eastAsia="SimHei"/>
          <w:snapToGrid w:val="0"/>
          <w:sz w:val="32"/>
          <w:szCs w:val="32"/>
          <w:lang w:val="zh-CN"/>
        </w:rPr>
        <w:tab/>
      </w:r>
      <w:proofErr w:type="spellStart"/>
      <w:r w:rsidRPr="00B66330">
        <w:rPr>
          <w:rFonts w:eastAsia="SimHei"/>
          <w:bCs/>
          <w:iCs/>
          <w:snapToGrid w:val="0"/>
          <w:sz w:val="32"/>
          <w:szCs w:val="32"/>
          <w:lang w:val="zh-CN"/>
        </w:rPr>
        <w:t>方案关系</w:t>
      </w:r>
      <w:proofErr w:type="spellEnd"/>
    </w:p>
    <w:p w14:paraId="16559490"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缔约方大会了解，可在《公约》下通过已计算成本的工作方案、</w:t>
      </w:r>
      <w:r w:rsidRPr="00B66330">
        <w:rPr>
          <w:bCs/>
          <w:iCs/>
          <w:snapToGrid w:val="0"/>
          <w:sz w:val="24"/>
          <w:szCs w:val="24"/>
          <w:lang w:val="zh-CN" w:eastAsia="zh-CN"/>
        </w:rPr>
        <w:t>订正战略框架</w:t>
      </w:r>
      <w:r w:rsidRPr="00B66330">
        <w:rPr>
          <w:snapToGrid w:val="0"/>
          <w:sz w:val="24"/>
          <w:szCs w:val="24"/>
          <w:lang w:val="zh-CN" w:eastAsia="zh-CN"/>
        </w:rPr>
        <w:t>促进执行环境</w:t>
      </w:r>
      <w:proofErr w:type="gramStart"/>
      <w:r w:rsidRPr="00B66330">
        <w:rPr>
          <w:snapToGrid w:val="0"/>
          <w:sz w:val="24"/>
          <w:szCs w:val="24"/>
          <w:lang w:val="zh-CN" w:eastAsia="zh-CN"/>
        </w:rPr>
        <w:t>署中期</w:t>
      </w:r>
      <w:proofErr w:type="gramEnd"/>
      <w:r w:rsidRPr="00B66330">
        <w:rPr>
          <w:snapToGrid w:val="0"/>
          <w:sz w:val="24"/>
          <w:szCs w:val="24"/>
          <w:lang w:val="zh-CN" w:eastAsia="zh-CN"/>
        </w:rPr>
        <w:t>战略和工作方案的某些方面，反之亦然，但须经缔约方大会批准，并在符合《公约》的范围内进行。</w:t>
      </w:r>
    </w:p>
    <w:p w14:paraId="6C3117C6"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lastRenderedPageBreak/>
        <w:t>执行主任将就环境署在向《公约》提供方案支助方面可能开展的活动与执行秘书进行磋商。执行秘书将就在《公约》框架和任务范围内、为执行环境</w:t>
      </w:r>
      <w:proofErr w:type="gramStart"/>
      <w:r w:rsidRPr="00B66330">
        <w:rPr>
          <w:snapToGrid w:val="0"/>
          <w:sz w:val="24"/>
          <w:szCs w:val="24"/>
          <w:lang w:val="zh-CN" w:eastAsia="zh-CN"/>
        </w:rPr>
        <w:t>署中期</w:t>
      </w:r>
      <w:proofErr w:type="gramEnd"/>
      <w:r w:rsidRPr="00B66330">
        <w:rPr>
          <w:snapToGrid w:val="0"/>
          <w:sz w:val="24"/>
          <w:szCs w:val="24"/>
          <w:lang w:val="zh-CN" w:eastAsia="zh-CN"/>
        </w:rPr>
        <w:t>战略和工作方案的某些方面而可能开展的活动与执行主任进行磋商。</w:t>
      </w:r>
    </w:p>
    <w:p w14:paraId="326A015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执行主任和执行秘书将相互磋商，以规划、制定和实施与为执行《公约》提供支助有关的任何项目和方案，并商讨为执行《公约》而与</w:t>
      </w:r>
      <w:r w:rsidRPr="00B66330">
        <w:rPr>
          <w:bCs/>
          <w:iCs/>
          <w:snapToGrid w:val="0"/>
          <w:sz w:val="24"/>
          <w:szCs w:val="24"/>
          <w:lang w:val="zh-CN" w:eastAsia="zh-CN"/>
        </w:rPr>
        <w:t>捐助方</w:t>
      </w:r>
      <w:proofErr w:type="gramStart"/>
      <w:r w:rsidRPr="00B66330">
        <w:rPr>
          <w:bCs/>
          <w:iCs/>
          <w:snapToGrid w:val="0"/>
          <w:sz w:val="24"/>
          <w:szCs w:val="24"/>
          <w:lang w:val="zh-CN" w:eastAsia="zh-CN"/>
        </w:rPr>
        <w:t>作出</w:t>
      </w:r>
      <w:proofErr w:type="gramEnd"/>
      <w:r w:rsidRPr="00B66330">
        <w:rPr>
          <w:bCs/>
          <w:iCs/>
          <w:snapToGrid w:val="0"/>
          <w:sz w:val="24"/>
          <w:szCs w:val="24"/>
          <w:lang w:val="zh-CN" w:eastAsia="zh-CN"/>
        </w:rPr>
        <w:t>或拟议</w:t>
      </w:r>
      <w:proofErr w:type="gramStart"/>
      <w:r w:rsidRPr="00B66330">
        <w:rPr>
          <w:bCs/>
          <w:iCs/>
          <w:snapToGrid w:val="0"/>
          <w:sz w:val="24"/>
          <w:szCs w:val="24"/>
          <w:lang w:val="zh-CN" w:eastAsia="zh-CN"/>
        </w:rPr>
        <w:t>作出</w:t>
      </w:r>
      <w:proofErr w:type="gramEnd"/>
      <w:r w:rsidRPr="00B66330">
        <w:rPr>
          <w:snapToGrid w:val="0"/>
          <w:sz w:val="24"/>
          <w:szCs w:val="24"/>
          <w:lang w:val="zh-CN" w:eastAsia="zh-CN"/>
        </w:rPr>
        <w:t>的任何联合供资安排。</w:t>
      </w:r>
    </w:p>
    <w:p w14:paraId="27C31F22"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执行主任可召集多边环境协定秘书处的会议，以及通过环境署聘用的所有高级工作人员的联席会议，并邀请执行秘书参加这些会议。执行主任可支付与执行秘书参加任何此类会议有关的旅费和其他费用。</w:t>
      </w:r>
    </w:p>
    <w:p w14:paraId="038E26BC"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执行秘书将向缔约方大会通报与第</w:t>
      </w:r>
      <w:r w:rsidRPr="00B66330">
        <w:rPr>
          <w:snapToGrid w:val="0"/>
          <w:sz w:val="24"/>
          <w:szCs w:val="24"/>
          <w:lang w:val="zh-CN" w:eastAsia="zh-CN"/>
        </w:rPr>
        <w:t>37</w:t>
      </w:r>
      <w:r w:rsidRPr="00B66330">
        <w:rPr>
          <w:snapToGrid w:val="0"/>
          <w:sz w:val="24"/>
          <w:szCs w:val="24"/>
          <w:lang w:val="zh-CN" w:eastAsia="zh-CN"/>
        </w:rPr>
        <w:t>段中所述的方案支助有关的所有提案，以及第</w:t>
      </w:r>
      <w:r w:rsidRPr="00B66330">
        <w:rPr>
          <w:snapToGrid w:val="0"/>
          <w:sz w:val="24"/>
          <w:szCs w:val="24"/>
          <w:lang w:val="zh-CN" w:eastAsia="zh-CN"/>
        </w:rPr>
        <w:t>39</w:t>
      </w:r>
      <w:r w:rsidRPr="00B66330">
        <w:rPr>
          <w:snapToGrid w:val="0"/>
          <w:sz w:val="24"/>
          <w:szCs w:val="24"/>
          <w:lang w:val="zh-CN" w:eastAsia="zh-CN"/>
        </w:rPr>
        <w:t>段所述会议的结果。</w:t>
      </w:r>
    </w:p>
    <w:p w14:paraId="7F70A36E" w14:textId="77777777" w:rsidR="00643D56" w:rsidRPr="00B66330" w:rsidRDefault="00643D56" w:rsidP="00643D56">
      <w:pPr>
        <w:pStyle w:val="CH1"/>
        <w:tabs>
          <w:tab w:val="clear" w:pos="1247"/>
          <w:tab w:val="clear" w:pos="1814"/>
          <w:tab w:val="clear" w:pos="2381"/>
          <w:tab w:val="clear" w:pos="2948"/>
          <w:tab w:val="clear" w:pos="3515"/>
          <w:tab w:val="clear" w:pos="4082"/>
          <w:tab w:val="left" w:pos="1080"/>
        </w:tabs>
        <w:spacing w:line="240" w:lineRule="auto"/>
        <w:ind w:left="1242" w:hanging="958"/>
        <w:jc w:val="both"/>
        <w:rPr>
          <w:rStyle w:val="Strong"/>
          <w:rFonts w:eastAsia="SimHei"/>
          <w:b/>
          <w:bCs w:val="0"/>
          <w:snapToGrid w:val="0"/>
          <w:sz w:val="32"/>
          <w:szCs w:val="32"/>
        </w:rPr>
      </w:pPr>
      <w:r w:rsidRPr="00B66330">
        <w:rPr>
          <w:rFonts w:eastAsia="SimHei"/>
          <w:bCs/>
          <w:snapToGrid w:val="0"/>
          <w:sz w:val="32"/>
          <w:szCs w:val="32"/>
          <w:lang w:val="zh-CN"/>
        </w:rPr>
        <w:t>四、</w:t>
      </w:r>
      <w:r w:rsidRPr="00B66330">
        <w:rPr>
          <w:rFonts w:eastAsia="SimHei"/>
          <w:snapToGrid w:val="0"/>
          <w:sz w:val="32"/>
          <w:szCs w:val="32"/>
          <w:lang w:val="zh-CN"/>
        </w:rPr>
        <w:tab/>
      </w:r>
      <w:r w:rsidRPr="00B66330">
        <w:rPr>
          <w:rFonts w:eastAsia="SimHei"/>
          <w:bCs/>
          <w:snapToGrid w:val="0"/>
          <w:sz w:val="32"/>
          <w:szCs w:val="32"/>
          <w:lang w:val="zh-CN"/>
        </w:rPr>
        <w:t>协</w:t>
      </w:r>
      <w:r w:rsidRPr="00B66330">
        <w:rPr>
          <w:rFonts w:eastAsia="SimHei"/>
          <w:bCs/>
          <w:snapToGrid w:val="0"/>
          <w:sz w:val="32"/>
          <w:szCs w:val="32"/>
          <w:lang w:val="zh-CN" w:eastAsia="zh-CN"/>
        </w:rPr>
        <w:t>议</w:t>
      </w:r>
      <w:proofErr w:type="spellStart"/>
      <w:r w:rsidRPr="00B66330">
        <w:rPr>
          <w:rFonts w:eastAsia="SimHei"/>
          <w:bCs/>
          <w:snapToGrid w:val="0"/>
          <w:sz w:val="32"/>
          <w:szCs w:val="32"/>
          <w:lang w:val="zh-CN"/>
        </w:rPr>
        <w:t>的执行</w:t>
      </w:r>
      <w:proofErr w:type="spellEnd"/>
    </w:p>
    <w:p w14:paraId="1F3AA873"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缔约方大会和执行主任随时向执行秘书通报情况，将定期并视需要就与执行本谅解备忘录有关的所有问题举行磋商。此类磋商将通过缔约方大会主席进行，主席将征求公约缔约方的意见，并在磋商期间予以反映；或者也可根据缔约方大会和执行主任共同决定的其他方式进行磋商。</w:t>
      </w:r>
    </w:p>
    <w:p w14:paraId="285D166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关于具体问题，主席可指定缔约方大会副主席进行此类磋商。在执行主任缺席的情况下，可由指定的高级代表</w:t>
      </w:r>
      <w:r w:rsidRPr="00B66330">
        <w:rPr>
          <w:bCs/>
          <w:iCs/>
          <w:snapToGrid w:val="0"/>
          <w:sz w:val="24"/>
          <w:szCs w:val="24"/>
          <w:lang w:val="zh-CN" w:eastAsia="zh-CN"/>
        </w:rPr>
        <w:t>代为行事</w:t>
      </w:r>
      <w:r w:rsidRPr="00B66330">
        <w:rPr>
          <w:snapToGrid w:val="0"/>
          <w:sz w:val="24"/>
          <w:szCs w:val="24"/>
          <w:lang w:val="zh-CN" w:eastAsia="zh-CN"/>
        </w:rPr>
        <w:t>，或者也可根据缔约方大会和执行主任共同决定的其他方式进行磋商。</w:t>
      </w:r>
    </w:p>
    <w:p w14:paraId="1632147D"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如果对本谅解备忘录的执行或解释有任何意见分歧，执行主任和缔约方大会将通过大会主席进行磋商，并尽一切努力达成双方都能接受的结果。</w:t>
      </w:r>
    </w:p>
    <w:p w14:paraId="1A48BE6D" w14:textId="77777777" w:rsidR="00643D56" w:rsidRPr="00B66330" w:rsidRDefault="00643D56" w:rsidP="00643D56">
      <w:pPr>
        <w:pStyle w:val="CH1"/>
        <w:tabs>
          <w:tab w:val="clear" w:pos="1247"/>
          <w:tab w:val="clear" w:pos="1814"/>
          <w:tab w:val="clear" w:pos="2381"/>
          <w:tab w:val="clear" w:pos="2948"/>
          <w:tab w:val="clear" w:pos="3515"/>
          <w:tab w:val="clear" w:pos="4082"/>
          <w:tab w:val="left" w:pos="1080"/>
        </w:tabs>
        <w:spacing w:line="240" w:lineRule="auto"/>
        <w:ind w:left="1242" w:hanging="958"/>
        <w:jc w:val="both"/>
        <w:rPr>
          <w:rFonts w:eastAsia="SimHei"/>
          <w:snapToGrid w:val="0"/>
          <w:sz w:val="32"/>
          <w:szCs w:val="32"/>
          <w:lang w:val="zh-CN"/>
        </w:rPr>
      </w:pPr>
      <w:r w:rsidRPr="00B66330">
        <w:rPr>
          <w:rFonts w:eastAsia="SimHei"/>
          <w:bCs/>
          <w:snapToGrid w:val="0"/>
          <w:sz w:val="32"/>
          <w:szCs w:val="32"/>
          <w:lang w:val="zh-CN"/>
        </w:rPr>
        <w:t>五、</w:t>
      </w:r>
      <w:r w:rsidRPr="00B66330">
        <w:rPr>
          <w:rFonts w:eastAsia="SimHei"/>
          <w:bCs/>
          <w:snapToGrid w:val="0"/>
          <w:sz w:val="32"/>
          <w:szCs w:val="32"/>
          <w:lang w:val="zh-CN"/>
        </w:rPr>
        <w:tab/>
      </w:r>
      <w:proofErr w:type="spellStart"/>
      <w:r w:rsidRPr="00B66330">
        <w:rPr>
          <w:rFonts w:eastAsia="SimHei"/>
          <w:bCs/>
          <w:snapToGrid w:val="0"/>
          <w:sz w:val="32"/>
          <w:szCs w:val="32"/>
          <w:lang w:val="zh-CN"/>
        </w:rPr>
        <w:t>最后条款</w:t>
      </w:r>
      <w:proofErr w:type="spellEnd"/>
    </w:p>
    <w:p w14:paraId="73BE2C38"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本谅解备忘录没有强加，也无意强加任何具有法律约束力的承诺。</w:t>
      </w:r>
    </w:p>
    <w:p w14:paraId="61B34B44"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订立本谅解备忘录，并不妨碍环境署与《巴塞尔公约》或今后任何其他相关多边环境协定之间可能商定的任何行政安排。</w:t>
      </w:r>
    </w:p>
    <w:p w14:paraId="365B5156"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本谅解备忘录自由缔约方大会主席代表的缔约方大会和执行主任双方签署之日起生效。</w:t>
      </w:r>
    </w:p>
    <w:p w14:paraId="684C1DB7"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本谅解备忘录经双方签署后，将取代双方以前的任何协议。</w:t>
      </w:r>
    </w:p>
    <w:p w14:paraId="4B1CEEA4" w14:textId="77777777" w:rsidR="00643D56" w:rsidRPr="00B66330" w:rsidRDefault="00643D56" w:rsidP="00643D56">
      <w:pPr>
        <w:pStyle w:val="Normal-pool"/>
        <w:numPr>
          <w:ilvl w:val="0"/>
          <w:numId w:val="4"/>
        </w:numPr>
        <w:tabs>
          <w:tab w:val="clear" w:pos="1247"/>
          <w:tab w:val="clear" w:pos="1814"/>
          <w:tab w:val="clear" w:pos="2381"/>
          <w:tab w:val="clear" w:pos="2948"/>
          <w:tab w:val="clear" w:pos="3515"/>
          <w:tab w:val="clear" w:pos="4082"/>
          <w:tab w:val="left" w:pos="1701"/>
        </w:tabs>
        <w:spacing w:after="120" w:line="240" w:lineRule="auto"/>
        <w:ind w:left="1134" w:hanging="13"/>
        <w:jc w:val="both"/>
        <w:rPr>
          <w:snapToGrid w:val="0"/>
          <w:sz w:val="24"/>
          <w:szCs w:val="24"/>
          <w:lang w:eastAsia="zh-CN"/>
        </w:rPr>
      </w:pPr>
      <w:r w:rsidRPr="00B66330">
        <w:rPr>
          <w:snapToGrid w:val="0"/>
          <w:sz w:val="24"/>
          <w:szCs w:val="24"/>
          <w:lang w:val="zh-CN" w:eastAsia="zh-CN"/>
        </w:rPr>
        <w:t>可应双方请求随时对本谅解备忘录进行审查，包括为修正或终止本谅解备忘录而进行审查。在不影响缔约方大会会议议事规则的情况下，由主席团代表缔约方大会或由执行主任提出的此种请求将至少提前四个月提出，然后在缔约方大会下一次会议上讨论。对本谅解备忘录作任何修改，包括其终止，将由其双方书面相互商定。</w:t>
      </w:r>
    </w:p>
    <w:p w14:paraId="2FFBD867" w14:textId="77777777" w:rsidR="00643D56" w:rsidRPr="00B66330" w:rsidRDefault="00643D56" w:rsidP="00643D56">
      <w:pPr>
        <w:pStyle w:val="Normal-pool"/>
        <w:tabs>
          <w:tab w:val="clear" w:pos="1247"/>
        </w:tabs>
        <w:spacing w:before="360" w:after="120" w:line="240" w:lineRule="auto"/>
        <w:ind w:left="1134"/>
        <w:jc w:val="both"/>
        <w:rPr>
          <w:snapToGrid w:val="0"/>
          <w:sz w:val="24"/>
          <w:szCs w:val="24"/>
          <w:lang w:eastAsia="zh-CN"/>
        </w:rPr>
      </w:pPr>
      <w:proofErr w:type="gramStart"/>
      <w:r w:rsidRPr="00B66330">
        <w:rPr>
          <w:snapToGrid w:val="0"/>
          <w:sz w:val="24"/>
          <w:szCs w:val="24"/>
          <w:lang w:val="zh-CN" w:eastAsia="zh-CN"/>
        </w:rPr>
        <w:t>兹由本</w:t>
      </w:r>
      <w:proofErr w:type="gramEnd"/>
      <w:r w:rsidRPr="00B66330">
        <w:rPr>
          <w:snapToGrid w:val="0"/>
          <w:sz w:val="24"/>
          <w:szCs w:val="24"/>
          <w:lang w:val="zh-CN" w:eastAsia="zh-CN"/>
        </w:rPr>
        <w:t>谅解备忘录双方经正式授权的代表签字如下，以昭信守。</w:t>
      </w:r>
    </w:p>
    <w:p w14:paraId="6BA9C48D" w14:textId="77777777" w:rsidR="00643D56" w:rsidRPr="00B66330" w:rsidRDefault="00643D56" w:rsidP="00643D56">
      <w:pPr>
        <w:pStyle w:val="Normal-pool"/>
        <w:spacing w:after="120" w:line="240" w:lineRule="auto"/>
        <w:ind w:left="1247"/>
        <w:rPr>
          <w:snapToGrid w:val="0"/>
          <w:lang w:eastAsia="zh-CN"/>
        </w:rPr>
      </w:pPr>
    </w:p>
    <w:tbl>
      <w:tblPr>
        <w:tblW w:w="8614" w:type="dxa"/>
        <w:tblInd w:w="1134" w:type="dxa"/>
        <w:tblLayout w:type="fixed"/>
        <w:tblLook w:val="04A0" w:firstRow="1" w:lastRow="0" w:firstColumn="1" w:lastColumn="0" w:noHBand="0" w:noVBand="1"/>
      </w:tblPr>
      <w:tblGrid>
        <w:gridCol w:w="2987"/>
        <w:gridCol w:w="5627"/>
      </w:tblGrid>
      <w:tr w:rsidR="00643D56" w:rsidRPr="00B66330" w14:paraId="4C215B78" w14:textId="77777777" w:rsidTr="00DF12BF">
        <w:tc>
          <w:tcPr>
            <w:tcW w:w="2987" w:type="dxa"/>
          </w:tcPr>
          <w:p w14:paraId="6AE64CF5" w14:textId="77777777" w:rsidR="00643D56" w:rsidRPr="00B66330" w:rsidRDefault="00643D56" w:rsidP="00DF12BF">
            <w:pPr>
              <w:spacing w:line="240" w:lineRule="auto"/>
              <w:rPr>
                <w:rFonts w:eastAsia="SimHei"/>
                <w:b/>
                <w:snapToGrid w:val="0"/>
                <w:sz w:val="24"/>
                <w:szCs w:val="24"/>
              </w:rPr>
            </w:pPr>
            <w:r w:rsidRPr="00B66330">
              <w:rPr>
                <w:rFonts w:eastAsia="SimHei"/>
                <w:b/>
                <w:bCs/>
                <w:snapToGrid w:val="0"/>
                <w:sz w:val="24"/>
                <w:szCs w:val="24"/>
                <w:lang w:val="zh-CN"/>
              </w:rPr>
              <w:t>代表联合国</w:t>
            </w:r>
          </w:p>
          <w:p w14:paraId="20233709" w14:textId="77777777" w:rsidR="00643D56" w:rsidRPr="00B66330" w:rsidRDefault="00643D56" w:rsidP="00DF12BF">
            <w:pPr>
              <w:spacing w:line="240" w:lineRule="auto"/>
              <w:rPr>
                <w:rFonts w:eastAsia="SimHei"/>
                <w:b/>
                <w:snapToGrid w:val="0"/>
                <w:sz w:val="24"/>
                <w:szCs w:val="24"/>
              </w:rPr>
            </w:pPr>
            <w:r w:rsidRPr="00B66330">
              <w:rPr>
                <w:rFonts w:eastAsia="SimHei"/>
                <w:b/>
                <w:bCs/>
                <w:snapToGrid w:val="0"/>
                <w:sz w:val="24"/>
                <w:szCs w:val="24"/>
                <w:lang w:val="zh-CN"/>
              </w:rPr>
              <w:t>环境规划署：</w:t>
            </w:r>
          </w:p>
        </w:tc>
        <w:tc>
          <w:tcPr>
            <w:tcW w:w="5627" w:type="dxa"/>
          </w:tcPr>
          <w:p w14:paraId="02031AA2" w14:textId="77777777" w:rsidR="00643D56" w:rsidRPr="00B66330" w:rsidRDefault="00643D56" w:rsidP="00DF12BF">
            <w:pPr>
              <w:spacing w:line="240" w:lineRule="auto"/>
              <w:ind w:left="1350"/>
              <w:rPr>
                <w:rFonts w:eastAsia="SimHei"/>
                <w:b/>
                <w:snapToGrid w:val="0"/>
                <w:sz w:val="24"/>
                <w:szCs w:val="24"/>
              </w:rPr>
            </w:pPr>
            <w:r w:rsidRPr="00B66330">
              <w:rPr>
                <w:rFonts w:eastAsia="SimHei"/>
                <w:b/>
                <w:bCs/>
                <w:snapToGrid w:val="0"/>
                <w:sz w:val="24"/>
                <w:szCs w:val="24"/>
                <w:lang w:val="zh-CN"/>
              </w:rPr>
              <w:t>代表控制危险废物越境转移及其处置巴塞尔公约缔约方大会：</w:t>
            </w:r>
          </w:p>
        </w:tc>
      </w:tr>
      <w:tr w:rsidR="00643D56" w:rsidRPr="00B66330" w14:paraId="251AA2FE" w14:textId="77777777" w:rsidTr="00DF12BF">
        <w:tc>
          <w:tcPr>
            <w:tcW w:w="2987" w:type="dxa"/>
          </w:tcPr>
          <w:p w14:paraId="36BEE14A" w14:textId="77777777" w:rsidR="00643D56" w:rsidRPr="00B66330" w:rsidRDefault="00643D56" w:rsidP="00DF12BF">
            <w:pPr>
              <w:spacing w:line="240" w:lineRule="auto"/>
              <w:rPr>
                <w:snapToGrid w:val="0"/>
                <w:sz w:val="24"/>
                <w:szCs w:val="24"/>
              </w:rPr>
            </w:pPr>
          </w:p>
          <w:p w14:paraId="53D5A46E" w14:textId="77777777" w:rsidR="00643D56" w:rsidRPr="00B66330" w:rsidRDefault="00643D56" w:rsidP="00DF12BF">
            <w:pPr>
              <w:spacing w:line="240" w:lineRule="auto"/>
              <w:rPr>
                <w:snapToGrid w:val="0"/>
                <w:sz w:val="24"/>
                <w:szCs w:val="24"/>
              </w:rPr>
            </w:pPr>
          </w:p>
          <w:p w14:paraId="4611F3EA" w14:textId="77777777" w:rsidR="00643D56" w:rsidRPr="00B66330" w:rsidRDefault="00643D56" w:rsidP="00DF12BF">
            <w:pPr>
              <w:spacing w:line="240" w:lineRule="auto"/>
              <w:rPr>
                <w:snapToGrid w:val="0"/>
                <w:sz w:val="24"/>
                <w:szCs w:val="24"/>
              </w:rPr>
            </w:pPr>
          </w:p>
          <w:p w14:paraId="39C73DB0" w14:textId="77777777" w:rsidR="00643D56" w:rsidRPr="00B66330" w:rsidRDefault="00643D56" w:rsidP="00DF12BF">
            <w:pPr>
              <w:spacing w:line="240" w:lineRule="auto"/>
              <w:rPr>
                <w:snapToGrid w:val="0"/>
                <w:sz w:val="24"/>
                <w:szCs w:val="24"/>
              </w:rPr>
            </w:pPr>
            <w:r w:rsidRPr="00B66330">
              <w:rPr>
                <w:snapToGrid w:val="0"/>
                <w:sz w:val="24"/>
                <w:szCs w:val="24"/>
                <w:lang w:val="zh-CN"/>
              </w:rPr>
              <w:t>_______________________</w:t>
            </w:r>
          </w:p>
          <w:p w14:paraId="2B964F12" w14:textId="77777777" w:rsidR="00643D56" w:rsidRPr="00B66330" w:rsidRDefault="00643D56" w:rsidP="00DF12BF">
            <w:pPr>
              <w:keepNext/>
              <w:tabs>
                <w:tab w:val="left" w:pos="4962"/>
              </w:tabs>
              <w:spacing w:before="120" w:line="240" w:lineRule="auto"/>
              <w:rPr>
                <w:snapToGrid w:val="0"/>
                <w:sz w:val="24"/>
                <w:szCs w:val="24"/>
                <w:lang w:val="zh-CN"/>
              </w:rPr>
            </w:pPr>
            <w:r w:rsidRPr="00B66330">
              <w:rPr>
                <w:snapToGrid w:val="0"/>
                <w:sz w:val="24"/>
                <w:szCs w:val="24"/>
                <w:lang w:val="zh-CN"/>
              </w:rPr>
              <w:t>代理执行主任</w:t>
            </w:r>
          </w:p>
          <w:p w14:paraId="40643FFA" w14:textId="77777777" w:rsidR="00643D56" w:rsidRPr="00B66330" w:rsidRDefault="00643D56" w:rsidP="00DF12BF">
            <w:pPr>
              <w:keepNext/>
              <w:tabs>
                <w:tab w:val="left" w:pos="4962"/>
              </w:tabs>
              <w:spacing w:before="120" w:line="240" w:lineRule="auto"/>
              <w:rPr>
                <w:b/>
                <w:snapToGrid w:val="0"/>
                <w:sz w:val="24"/>
                <w:szCs w:val="24"/>
              </w:rPr>
            </w:pPr>
            <w:r w:rsidRPr="00B66330">
              <w:rPr>
                <w:snapToGrid w:val="0"/>
                <w:sz w:val="24"/>
                <w:szCs w:val="24"/>
                <w:lang w:val="zh-CN"/>
              </w:rPr>
              <w:t xml:space="preserve">Joyce Msuya </w:t>
            </w:r>
            <w:r w:rsidRPr="00B66330">
              <w:rPr>
                <w:snapToGrid w:val="0"/>
                <w:sz w:val="24"/>
                <w:szCs w:val="24"/>
                <w:lang w:val="zh-CN"/>
              </w:rPr>
              <w:t>女士</w:t>
            </w:r>
          </w:p>
          <w:p w14:paraId="60F73CE0" w14:textId="77777777" w:rsidR="00643D56" w:rsidRPr="00B66330" w:rsidRDefault="00643D56" w:rsidP="00DF12BF">
            <w:pPr>
              <w:spacing w:line="240" w:lineRule="auto"/>
              <w:rPr>
                <w:snapToGrid w:val="0"/>
                <w:sz w:val="24"/>
                <w:szCs w:val="24"/>
              </w:rPr>
            </w:pPr>
          </w:p>
        </w:tc>
        <w:tc>
          <w:tcPr>
            <w:tcW w:w="5627" w:type="dxa"/>
          </w:tcPr>
          <w:p w14:paraId="07E73C2A" w14:textId="77777777" w:rsidR="00643D56" w:rsidRPr="00B66330" w:rsidRDefault="00643D56" w:rsidP="00DF12BF">
            <w:pPr>
              <w:spacing w:line="240" w:lineRule="auto"/>
              <w:ind w:left="1350"/>
              <w:rPr>
                <w:snapToGrid w:val="0"/>
                <w:sz w:val="24"/>
                <w:szCs w:val="24"/>
                <w:lang w:val="es-ES"/>
              </w:rPr>
            </w:pPr>
          </w:p>
          <w:p w14:paraId="4CFBC21E" w14:textId="77777777" w:rsidR="00643D56" w:rsidRPr="00B66330" w:rsidRDefault="00643D56" w:rsidP="00DF12BF">
            <w:pPr>
              <w:spacing w:line="240" w:lineRule="auto"/>
              <w:ind w:left="1350"/>
              <w:rPr>
                <w:snapToGrid w:val="0"/>
                <w:sz w:val="24"/>
                <w:szCs w:val="24"/>
                <w:lang w:val="es-ES"/>
              </w:rPr>
            </w:pPr>
          </w:p>
          <w:p w14:paraId="7152CED7" w14:textId="77777777" w:rsidR="00643D56" w:rsidRPr="00B66330" w:rsidRDefault="00643D56" w:rsidP="00DF12BF">
            <w:pPr>
              <w:spacing w:line="240" w:lineRule="auto"/>
              <w:ind w:left="1350"/>
              <w:rPr>
                <w:snapToGrid w:val="0"/>
                <w:sz w:val="24"/>
                <w:szCs w:val="24"/>
                <w:lang w:val="es-ES"/>
              </w:rPr>
            </w:pPr>
          </w:p>
          <w:p w14:paraId="10D5F50F" w14:textId="77777777" w:rsidR="00643D56" w:rsidRPr="00B66330" w:rsidRDefault="00643D56" w:rsidP="00DF12BF">
            <w:pPr>
              <w:spacing w:line="240" w:lineRule="auto"/>
              <w:ind w:left="1350"/>
              <w:rPr>
                <w:snapToGrid w:val="0"/>
                <w:sz w:val="24"/>
                <w:szCs w:val="24"/>
                <w:lang w:val="es-ES"/>
              </w:rPr>
            </w:pPr>
            <w:r w:rsidRPr="00B66330">
              <w:rPr>
                <w:snapToGrid w:val="0"/>
                <w:sz w:val="24"/>
                <w:szCs w:val="24"/>
                <w:lang w:val="es-ES"/>
              </w:rPr>
              <w:t>_____________________________</w:t>
            </w:r>
          </w:p>
          <w:p w14:paraId="7B270A1A" w14:textId="77777777" w:rsidR="00643D56" w:rsidRPr="00B66330" w:rsidRDefault="00643D56" w:rsidP="00DF12BF">
            <w:pPr>
              <w:spacing w:line="240" w:lineRule="auto"/>
              <w:ind w:left="1350"/>
              <w:rPr>
                <w:snapToGrid w:val="0"/>
                <w:sz w:val="24"/>
                <w:szCs w:val="24"/>
                <w:lang w:val="zh-CN"/>
              </w:rPr>
            </w:pPr>
            <w:r w:rsidRPr="00B66330">
              <w:rPr>
                <w:snapToGrid w:val="0"/>
                <w:sz w:val="24"/>
                <w:szCs w:val="24"/>
                <w:lang w:val="zh-CN"/>
              </w:rPr>
              <w:t>主席</w:t>
            </w:r>
          </w:p>
          <w:p w14:paraId="23BB767E" w14:textId="77777777" w:rsidR="00643D56" w:rsidRPr="00B66330" w:rsidRDefault="00643D56" w:rsidP="00DF12BF">
            <w:pPr>
              <w:spacing w:line="240" w:lineRule="auto"/>
              <w:ind w:left="1350"/>
              <w:rPr>
                <w:snapToGrid w:val="0"/>
                <w:sz w:val="24"/>
                <w:szCs w:val="24"/>
                <w:lang w:val="es-ES"/>
              </w:rPr>
            </w:pPr>
            <w:r w:rsidRPr="00B66330">
              <w:rPr>
                <w:snapToGrid w:val="0"/>
                <w:sz w:val="24"/>
                <w:szCs w:val="24"/>
                <w:lang w:val="es-ES"/>
              </w:rPr>
              <w:t xml:space="preserve">Abraham </w:t>
            </w:r>
            <w:proofErr w:type="spellStart"/>
            <w:r w:rsidRPr="00B66330">
              <w:rPr>
                <w:snapToGrid w:val="0"/>
                <w:sz w:val="24"/>
                <w:szCs w:val="24"/>
                <w:lang w:val="es-ES"/>
              </w:rPr>
              <w:t>Zivayi</w:t>
            </w:r>
            <w:proofErr w:type="spellEnd"/>
            <w:r w:rsidRPr="00B66330">
              <w:rPr>
                <w:snapToGrid w:val="0"/>
                <w:sz w:val="24"/>
                <w:szCs w:val="24"/>
                <w:lang w:val="es-ES"/>
              </w:rPr>
              <w:t xml:space="preserve"> Matiza</w:t>
            </w:r>
            <w:r w:rsidRPr="00B66330">
              <w:rPr>
                <w:snapToGrid w:val="0"/>
                <w:sz w:val="24"/>
                <w:szCs w:val="24"/>
                <w:lang w:val="zh-CN"/>
              </w:rPr>
              <w:t>先生</w:t>
            </w:r>
          </w:p>
          <w:p w14:paraId="69BD7ABD" w14:textId="77777777" w:rsidR="00643D56" w:rsidRPr="00B66330" w:rsidRDefault="00643D56" w:rsidP="00DF12BF">
            <w:pPr>
              <w:spacing w:line="240" w:lineRule="auto"/>
              <w:ind w:left="1350"/>
              <w:rPr>
                <w:snapToGrid w:val="0"/>
                <w:sz w:val="24"/>
                <w:szCs w:val="24"/>
                <w:lang w:val="es-ES"/>
              </w:rPr>
            </w:pPr>
          </w:p>
        </w:tc>
      </w:tr>
      <w:tr w:rsidR="00643D56" w:rsidRPr="00B66330" w14:paraId="1CF80376" w14:textId="77777777" w:rsidTr="00DF12BF">
        <w:tc>
          <w:tcPr>
            <w:tcW w:w="2987" w:type="dxa"/>
          </w:tcPr>
          <w:p w14:paraId="09EBA732" w14:textId="77777777" w:rsidR="00643D56" w:rsidRPr="00B66330" w:rsidRDefault="00643D56" w:rsidP="00DF12BF">
            <w:pPr>
              <w:spacing w:line="240" w:lineRule="auto"/>
              <w:jc w:val="left"/>
              <w:rPr>
                <w:snapToGrid w:val="0"/>
                <w:sz w:val="24"/>
                <w:szCs w:val="24"/>
                <w:lang w:val="es-ES"/>
              </w:rPr>
            </w:pPr>
          </w:p>
          <w:p w14:paraId="3079D021" w14:textId="77777777" w:rsidR="00643D56" w:rsidRPr="00B66330" w:rsidRDefault="00643D56" w:rsidP="00DF12BF">
            <w:pPr>
              <w:spacing w:line="240" w:lineRule="auto"/>
              <w:jc w:val="left"/>
              <w:rPr>
                <w:snapToGrid w:val="0"/>
                <w:sz w:val="24"/>
                <w:szCs w:val="24"/>
              </w:rPr>
            </w:pPr>
            <w:r w:rsidRPr="00B66330">
              <w:rPr>
                <w:snapToGrid w:val="0"/>
                <w:sz w:val="24"/>
                <w:szCs w:val="24"/>
                <w:lang w:val="zh-CN"/>
              </w:rPr>
              <w:t>日期：</w:t>
            </w:r>
            <w:r w:rsidRPr="00B66330">
              <w:rPr>
                <w:snapToGrid w:val="0"/>
                <w:sz w:val="24"/>
                <w:szCs w:val="24"/>
                <w:lang w:val="zh-CN"/>
              </w:rPr>
              <w:t>_________________</w:t>
            </w:r>
          </w:p>
        </w:tc>
        <w:tc>
          <w:tcPr>
            <w:tcW w:w="5627" w:type="dxa"/>
          </w:tcPr>
          <w:p w14:paraId="4C3246D9" w14:textId="77777777" w:rsidR="00643D56" w:rsidRPr="00B66330" w:rsidRDefault="00643D56" w:rsidP="00DF12BF">
            <w:pPr>
              <w:spacing w:line="240" w:lineRule="auto"/>
              <w:ind w:left="1350"/>
              <w:rPr>
                <w:snapToGrid w:val="0"/>
                <w:sz w:val="24"/>
                <w:szCs w:val="24"/>
              </w:rPr>
            </w:pPr>
          </w:p>
          <w:p w14:paraId="3FD4C9E6" w14:textId="77777777" w:rsidR="00643D56" w:rsidRPr="00B66330" w:rsidRDefault="00643D56" w:rsidP="00DF12BF">
            <w:pPr>
              <w:spacing w:line="240" w:lineRule="auto"/>
              <w:ind w:left="1350"/>
              <w:rPr>
                <w:snapToGrid w:val="0"/>
                <w:sz w:val="24"/>
                <w:szCs w:val="24"/>
              </w:rPr>
            </w:pPr>
          </w:p>
          <w:p w14:paraId="615258F1" w14:textId="77777777" w:rsidR="00643D56" w:rsidRPr="00B66330" w:rsidRDefault="00643D56" w:rsidP="00DF12BF">
            <w:pPr>
              <w:spacing w:line="240" w:lineRule="auto"/>
              <w:ind w:left="1350"/>
              <w:rPr>
                <w:snapToGrid w:val="0"/>
                <w:sz w:val="24"/>
                <w:szCs w:val="24"/>
              </w:rPr>
            </w:pPr>
            <w:r w:rsidRPr="00B66330">
              <w:rPr>
                <w:snapToGrid w:val="0"/>
                <w:sz w:val="24"/>
                <w:szCs w:val="24"/>
                <w:lang w:val="zh-CN"/>
              </w:rPr>
              <w:t>日期：</w:t>
            </w:r>
            <w:r w:rsidRPr="00B66330">
              <w:rPr>
                <w:snapToGrid w:val="0"/>
                <w:sz w:val="24"/>
                <w:szCs w:val="24"/>
                <w:lang w:val="zh-CN"/>
              </w:rPr>
              <w:t>_________________</w:t>
            </w:r>
          </w:p>
          <w:p w14:paraId="2F2AEDF8" w14:textId="77777777" w:rsidR="00643D56" w:rsidRPr="00B66330" w:rsidRDefault="00643D56" w:rsidP="00DF12BF">
            <w:pPr>
              <w:spacing w:line="240" w:lineRule="auto"/>
              <w:ind w:left="1350"/>
              <w:rPr>
                <w:snapToGrid w:val="0"/>
                <w:sz w:val="24"/>
                <w:szCs w:val="24"/>
              </w:rPr>
            </w:pPr>
          </w:p>
        </w:tc>
      </w:tr>
    </w:tbl>
    <w:p w14:paraId="71A97A77" w14:textId="77777777" w:rsidR="00643D56" w:rsidRPr="00B66330" w:rsidRDefault="00643D56" w:rsidP="00643D56">
      <w:pPr>
        <w:pStyle w:val="Normal-pool"/>
        <w:spacing w:after="120" w:line="240" w:lineRule="auto"/>
        <w:rPr>
          <w:snapToGrid w:val="0"/>
          <w:sz w:val="18"/>
          <w:szCs w:val="18"/>
        </w:rPr>
      </w:pPr>
    </w:p>
    <w:p w14:paraId="0DCC14B4" w14:textId="77777777" w:rsidR="00643D56" w:rsidRPr="00B66330" w:rsidRDefault="00643D56" w:rsidP="00643D56">
      <w:pPr>
        <w:pStyle w:val="Normal-pool"/>
        <w:spacing w:after="120" w:line="240" w:lineRule="auto"/>
        <w:rPr>
          <w:snapToGrid w:val="0"/>
        </w:rPr>
        <w:sectPr w:rsidR="00643D56" w:rsidRPr="00B66330">
          <w:footnotePr>
            <w:numRestart w:val="eachSect"/>
          </w:footnotePr>
          <w:type w:val="continuous"/>
          <w:pgSz w:w="11906" w:h="16838"/>
          <w:pgMar w:top="907" w:right="992" w:bottom="1418" w:left="1418" w:header="539" w:footer="975" w:gutter="0"/>
          <w:cols w:space="539"/>
          <w:titlePg/>
          <w:docGrid w:linePitch="360"/>
        </w:sectPr>
      </w:pPr>
    </w:p>
    <w:p w14:paraId="6942FF66" w14:textId="77777777" w:rsidR="00643D56" w:rsidRPr="00B66330" w:rsidRDefault="00643D56" w:rsidP="00643D56">
      <w:pPr>
        <w:tabs>
          <w:tab w:val="clear" w:pos="1247"/>
          <w:tab w:val="clear" w:pos="1814"/>
          <w:tab w:val="clear" w:pos="2381"/>
          <w:tab w:val="clear" w:pos="2948"/>
          <w:tab w:val="clear" w:pos="3515"/>
        </w:tabs>
        <w:spacing w:line="240" w:lineRule="auto"/>
        <w:rPr>
          <w:rFonts w:eastAsia="SimHei"/>
          <w:snapToGrid w:val="0"/>
          <w:sz w:val="32"/>
          <w:szCs w:val="28"/>
        </w:rPr>
      </w:pPr>
      <w:r w:rsidRPr="00B66330">
        <w:rPr>
          <w:snapToGrid w:val="0"/>
        </w:rPr>
        <w:lastRenderedPageBreak/>
        <w:tab/>
      </w:r>
      <w:r w:rsidRPr="00B66330">
        <w:rPr>
          <w:snapToGrid w:val="0"/>
        </w:rPr>
        <w:tab/>
      </w:r>
      <w:r w:rsidRPr="00B66330">
        <w:rPr>
          <w:rFonts w:eastAsia="SimHei"/>
          <w:b/>
          <w:bCs/>
          <w:snapToGrid w:val="0"/>
          <w:sz w:val="32"/>
          <w:szCs w:val="28"/>
          <w:lang w:val="zh-CN"/>
        </w:rPr>
        <w:t>谅解备忘录附件</w:t>
      </w:r>
    </w:p>
    <w:p w14:paraId="4A4CED3B" w14:textId="77777777" w:rsidR="00643D56" w:rsidRPr="00B66330" w:rsidRDefault="00643D56" w:rsidP="00643D56">
      <w:pPr>
        <w:pStyle w:val="Normal-pool"/>
        <w:tabs>
          <w:tab w:val="clear" w:pos="4082"/>
        </w:tabs>
        <w:spacing w:after="120" w:line="240" w:lineRule="auto"/>
        <w:jc w:val="right"/>
        <w:rPr>
          <w:snapToGrid w:val="0"/>
          <w:sz w:val="24"/>
          <w:lang w:eastAsia="zh-CN"/>
        </w:rPr>
      </w:pPr>
      <w:r w:rsidRPr="00B66330">
        <w:rPr>
          <w:snapToGrid w:val="0"/>
          <w:sz w:val="24"/>
          <w:lang w:val="zh-CN" w:eastAsia="zh-CN"/>
        </w:rPr>
        <w:t>[</w:t>
      </w:r>
      <w:r w:rsidRPr="00B66330">
        <w:rPr>
          <w:snapToGrid w:val="0"/>
          <w:sz w:val="24"/>
          <w:lang w:val="zh-CN" w:eastAsia="zh-CN"/>
        </w:rPr>
        <w:t>仅有英文本</w:t>
      </w:r>
      <w:r w:rsidRPr="00B66330">
        <w:rPr>
          <w:snapToGrid w:val="0"/>
          <w:sz w:val="24"/>
          <w:lang w:val="zh-CN" w:eastAsia="zh-CN"/>
        </w:rPr>
        <w:t>]</w:t>
      </w:r>
    </w:p>
    <w:p w14:paraId="0435CFF9" w14:textId="77777777" w:rsidR="00643D56" w:rsidRPr="00B66330" w:rsidRDefault="00643D56" w:rsidP="00643D56">
      <w:pPr>
        <w:pStyle w:val="ZZAnxtitle"/>
        <w:spacing w:line="240" w:lineRule="auto"/>
        <w:rPr>
          <w:snapToGrid w:val="0"/>
        </w:rPr>
      </w:pPr>
      <w:r w:rsidRPr="00B66330">
        <w:rPr>
          <w:snapToGrid w:val="0"/>
        </w:rPr>
        <w:t>UNEP’s core services in support of the Basel, Rotterdam and Stockholm conventions</w:t>
      </w:r>
    </w:p>
    <w:p w14:paraId="1F782746" w14:textId="77777777" w:rsidR="00643D56" w:rsidRPr="00B66330" w:rsidRDefault="00643D56" w:rsidP="00643D56">
      <w:pPr>
        <w:pStyle w:val="Normal-pool"/>
        <w:tabs>
          <w:tab w:val="clear" w:pos="1247"/>
          <w:tab w:val="left" w:pos="180"/>
        </w:tabs>
        <w:spacing w:before="120" w:after="120" w:line="240" w:lineRule="auto"/>
        <w:ind w:left="1247"/>
        <w:rPr>
          <w:snapToGrid w:val="0"/>
        </w:rPr>
      </w:pPr>
      <w:r w:rsidRPr="00B66330">
        <w:rPr>
          <w:snapToGrid w:val="0"/>
        </w:rPr>
        <w:t xml:space="preserve">The table below provides the list of core administrative and support services provided by United Nations Environment Programme (UNEP) in support of the Basel, Rotterdam and Stockholm (BRS) conventions. Core administrative and support services are those services provided by UNEP against the 33% share of the programme support costs income attributable to </w:t>
      </w:r>
      <w:proofErr w:type="gramStart"/>
      <w:r w:rsidRPr="00B66330">
        <w:rPr>
          <w:snapToGrid w:val="0"/>
        </w:rPr>
        <w:t>all of</w:t>
      </w:r>
      <w:proofErr w:type="gramEnd"/>
      <w:r w:rsidRPr="00B66330">
        <w:rPr>
          <w:snapToGrid w:val="0"/>
        </w:rPr>
        <w:t xml:space="preserve"> the trust funds of the BRS conventions. The list of core services is not exhaustive and may include additional core services, as mutually agreed from time to time between UNEP and the Secretariat of the BRS conventions. The table below is without prejudice to the delegation of authority from the Executive Director of UNEP to the Executive Secretary of the BRS conventions.</w:t>
      </w:r>
    </w:p>
    <w:tbl>
      <w:tblPr>
        <w:tblW w:w="836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21"/>
        <w:gridCol w:w="6042"/>
      </w:tblGrid>
      <w:tr w:rsidR="00643D56" w:rsidRPr="00B66330" w14:paraId="28208BE4" w14:textId="77777777" w:rsidTr="00DF12BF">
        <w:trPr>
          <w:trHeight w:val="412"/>
          <w:tblHeader/>
          <w:jc w:val="right"/>
        </w:trPr>
        <w:tc>
          <w:tcPr>
            <w:tcW w:w="2321" w:type="dxa"/>
            <w:shd w:val="clear" w:color="auto" w:fill="BFBFBF" w:themeFill="background1" w:themeFillShade="BF"/>
          </w:tcPr>
          <w:p w14:paraId="5F877B86" w14:textId="77777777" w:rsidR="00643D56" w:rsidRPr="00B66330" w:rsidRDefault="00643D56" w:rsidP="00DF12BF">
            <w:pPr>
              <w:pStyle w:val="TableParagraph"/>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Service Category</w:t>
            </w:r>
          </w:p>
        </w:tc>
        <w:tc>
          <w:tcPr>
            <w:tcW w:w="6042" w:type="dxa"/>
            <w:shd w:val="clear" w:color="auto" w:fill="BFBFBF" w:themeFill="background1" w:themeFillShade="BF"/>
          </w:tcPr>
          <w:p w14:paraId="6B9AAE60" w14:textId="77777777" w:rsidR="00643D56" w:rsidRPr="00B66330" w:rsidRDefault="00643D56" w:rsidP="00DF12BF">
            <w:pPr>
              <w:pStyle w:val="TableParagraph"/>
              <w:widowControl/>
              <w:spacing w:before="40" w:line="240" w:lineRule="auto"/>
              <w:ind w:left="57" w:right="57"/>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Description</w:t>
            </w:r>
          </w:p>
        </w:tc>
      </w:tr>
      <w:tr w:rsidR="00643D56" w:rsidRPr="00B66330" w14:paraId="5227DCBD" w14:textId="77777777" w:rsidTr="00DF12BF">
        <w:trPr>
          <w:trHeight w:val="3847"/>
          <w:jc w:val="right"/>
        </w:trPr>
        <w:tc>
          <w:tcPr>
            <w:tcW w:w="2321" w:type="dxa"/>
            <w:shd w:val="clear" w:color="auto" w:fill="FFFFFF" w:themeFill="background1"/>
          </w:tcPr>
          <w:p w14:paraId="03A37CC7" w14:textId="77777777" w:rsidR="00643D56" w:rsidRPr="00B66330" w:rsidRDefault="00643D56" w:rsidP="00DF12BF">
            <w:pPr>
              <w:pStyle w:val="TableParagraph"/>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Policy, guidelines and procedure</w:t>
            </w:r>
            <w:bookmarkStart w:id="2" w:name="_bookmark0"/>
            <w:bookmarkEnd w:id="2"/>
            <w:r w:rsidRPr="00B66330">
              <w:rPr>
                <w:rFonts w:ascii="Times New Roman" w:hAnsi="Times New Roman" w:cs="Times New Roman"/>
                <w:b/>
                <w:snapToGrid w:val="0"/>
                <w:sz w:val="18"/>
                <w:szCs w:val="18"/>
                <w:lang w:val="en-GB"/>
              </w:rPr>
              <w:t>s</w:t>
            </w:r>
          </w:p>
        </w:tc>
        <w:tc>
          <w:tcPr>
            <w:tcW w:w="6042" w:type="dxa"/>
            <w:shd w:val="clear" w:color="auto" w:fill="FFFFFF" w:themeFill="background1"/>
          </w:tcPr>
          <w:p w14:paraId="31F694B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14:paraId="5BB31F3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01C0934A"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United Nations Staff Regulations and Rules set the framework within which United Nations Environment Programme’s personnel, including different categories of staff members, consultants and independent contractors, are recruited and administered.</w:t>
            </w:r>
          </w:p>
          <w:p w14:paraId="53DF345B"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34E862ED" w14:textId="77777777" w:rsidR="00643D56" w:rsidRPr="00B66330" w:rsidRDefault="00643D56" w:rsidP="00DF12BF">
            <w:pPr>
              <w:pStyle w:val="TableParagraph"/>
              <w:widowControl/>
              <w:spacing w:before="40" w:line="240" w:lineRule="auto"/>
              <w:ind w:left="57" w:right="57"/>
              <w:rPr>
                <w:rFonts w:ascii="Times New Roman" w:hAnsi="Times New Roman" w:cs="Times New Roman"/>
                <w:b/>
                <w:snapToGrid w:val="0"/>
                <w:sz w:val="18"/>
                <w:szCs w:val="18"/>
                <w:lang w:val="en-GB"/>
              </w:rPr>
            </w:pPr>
            <w:r w:rsidRPr="00B66330">
              <w:rPr>
                <w:rFonts w:ascii="Times New Roman" w:hAnsi="Times New Roman" w:cs="Times New Roman"/>
                <w:bCs/>
                <w:snapToGrid w:val="0"/>
                <w:sz w:val="18"/>
                <w:szCs w:val="18"/>
                <w:lang w:val="en-GB"/>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643D56" w:rsidRPr="00B66330" w14:paraId="1842D9B0" w14:textId="77777777" w:rsidTr="00DF12BF">
        <w:trPr>
          <w:trHeight w:val="55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E4C12CE" w14:textId="77777777" w:rsidR="00643D56" w:rsidRPr="00B66330" w:rsidRDefault="00643D56" w:rsidP="00DF12BF">
            <w:pPr>
              <w:pStyle w:val="TableParagraph"/>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Human Resources</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7A420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
                <w:snapToGrid w:val="0"/>
                <w:sz w:val="18"/>
                <w:szCs w:val="18"/>
                <w:lang w:val="en-GB"/>
              </w:rPr>
              <w:t>Recruitment, staff administration, training, performance management and medical and counselling services</w:t>
            </w:r>
            <w:r w:rsidRPr="00B66330">
              <w:rPr>
                <w:rFonts w:ascii="Times New Roman" w:hAnsi="Times New Roman" w:cs="Times New Roman"/>
                <w:bCs/>
                <w:snapToGrid w:val="0"/>
                <w:sz w:val="18"/>
                <w:szCs w:val="18"/>
                <w:lang w:val="en-GB"/>
              </w:rPr>
              <w:t>.</w:t>
            </w:r>
          </w:p>
        </w:tc>
      </w:tr>
      <w:tr w:rsidR="00643D56" w:rsidRPr="00B66330" w14:paraId="3470C69E" w14:textId="77777777" w:rsidTr="00DF12BF">
        <w:trPr>
          <w:trHeight w:val="512"/>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A5E6B0"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Talent Acquisition and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8FDF28"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Developing staffing plans and implementing related recruitment activities namely classification, vacancy announcement, assessments, evaluation, review and selection.</w:t>
            </w:r>
          </w:p>
        </w:tc>
      </w:tr>
      <w:tr w:rsidR="00643D56" w:rsidRPr="00B66330" w14:paraId="397DF44A" w14:textId="77777777" w:rsidTr="00DF12BF">
        <w:trPr>
          <w:trHeight w:val="98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806101"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Staff Administration</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1659C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On-boarding staff, administering contracts, processing entitlements and benefits, review and update of dependency status, leave records, lateral move, separation from service etc. Administering end-of-service and post-retirement benefits including pension fund deductions and After Service Health Insurance scheme.</w:t>
            </w:r>
          </w:p>
        </w:tc>
      </w:tr>
      <w:tr w:rsidR="00643D56" w:rsidRPr="00B66330" w14:paraId="0A9F3D40" w14:textId="77777777" w:rsidTr="00DF12BF">
        <w:trPr>
          <w:trHeight w:val="183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11970C"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lastRenderedPageBreak/>
              <w:t>Staff development and training</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DC6ADF"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Mandatory training of personnel on issues such as security, ethics and integrity, competency based interviewing skills, management development programme etc.</w:t>
            </w:r>
          </w:p>
          <w:p w14:paraId="7BFCB9BC"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296E618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643D56" w:rsidRPr="00B66330" w14:paraId="4FF8B866" w14:textId="77777777" w:rsidTr="00DF12BF">
        <w:trPr>
          <w:trHeight w:val="1040"/>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FD7A3F"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Performance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478CFE"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Implementing and monitoring compliance with performance management policies, process and tools (INSPIRA) to reward/recognize/retain staff and address underperformance. Supporting rebuttal process guidance and conducting training on writing workplans and performance assessments. Managing the Financial Disclosure programme.</w:t>
            </w:r>
          </w:p>
        </w:tc>
      </w:tr>
      <w:tr w:rsidR="00643D56" w:rsidRPr="00B66330" w14:paraId="4F49C2D9" w14:textId="77777777" w:rsidTr="00DF12BF">
        <w:trPr>
          <w:trHeight w:val="1268"/>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C70FE0"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Medical and Counselling Services</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B8D0A7"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Providing occupational health services with emphasis on preventive health care and emergency response. Also includes professional counselling service to address issues such as stress, burnout, depression etc. </w:t>
            </w:r>
          </w:p>
          <w:p w14:paraId="0B296D1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UN Cares, the UN system-wide program on HIV, is designed to reduce the impact of HIV in the UN workplace.</w:t>
            </w:r>
          </w:p>
        </w:tc>
      </w:tr>
      <w:tr w:rsidR="00643D56" w:rsidRPr="00B66330" w14:paraId="39C6C3DC" w14:textId="77777777" w:rsidTr="00DF12BF">
        <w:trPr>
          <w:trHeight w:val="569"/>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C4D5F9" w14:textId="77777777" w:rsidR="00643D56" w:rsidRPr="00B66330" w:rsidRDefault="00643D56" w:rsidP="00DF12BF">
            <w:pPr>
              <w:pStyle w:val="TableParagraph"/>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Budget and Finance</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5194D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
                <w:snapToGrid w:val="0"/>
                <w:sz w:val="18"/>
                <w:szCs w:val="18"/>
                <w:lang w:val="en-GB"/>
              </w:rPr>
              <w:t>Preparation, management, oversight and reporting of budgets and financial resources of the governing bodies and donors</w:t>
            </w:r>
            <w:r w:rsidRPr="00B66330">
              <w:rPr>
                <w:rFonts w:ascii="Times New Roman" w:hAnsi="Times New Roman" w:cs="Times New Roman"/>
                <w:bCs/>
                <w:snapToGrid w:val="0"/>
                <w:sz w:val="18"/>
                <w:szCs w:val="18"/>
                <w:lang w:val="en-GB"/>
              </w:rPr>
              <w:t>.</w:t>
            </w:r>
          </w:p>
        </w:tc>
      </w:tr>
      <w:tr w:rsidR="00643D56" w:rsidRPr="00B66330" w14:paraId="73BEB648" w14:textId="77777777" w:rsidTr="00DF12BF">
        <w:trPr>
          <w:trHeight w:val="116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548FAA"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Budgeting / Fund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181DD6"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Preparation, presentation and justification of budgets to the governing bodies. Processing budgetary authorizations and financial transactions. Advising staff, management and governing bodies on the use of financial resources.</w:t>
            </w:r>
          </w:p>
          <w:p w14:paraId="243D739C"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6488EB7B"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Creating, maintaining and closing Trust Funds</w:t>
            </w:r>
            <w:hyperlink w:anchor="_bookmark0" w:history="1">
              <w:r w:rsidRPr="00B66330">
                <w:rPr>
                  <w:rStyle w:val="Hyperlink"/>
                  <w:rFonts w:cs="Times New Roman"/>
                  <w:bCs/>
                  <w:snapToGrid w:val="0"/>
                  <w:sz w:val="18"/>
                  <w:szCs w:val="18"/>
                  <w:lang w:val="en-GB"/>
                </w:rPr>
                <w:t>.</w:t>
              </w:r>
            </w:hyperlink>
          </w:p>
        </w:tc>
      </w:tr>
      <w:tr w:rsidR="00643D56" w:rsidRPr="00B66330" w14:paraId="615A9417" w14:textId="77777777" w:rsidTr="00DF12BF">
        <w:trPr>
          <w:trHeight w:val="1469"/>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63D7DF"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General Accounting / Financial</w:t>
            </w:r>
          </w:p>
          <w:p w14:paraId="6F5D7F9E" w14:textId="77777777" w:rsidR="00643D56" w:rsidRPr="00B66330" w:rsidRDefault="00643D56" w:rsidP="00DF12BF">
            <w:pPr>
              <w:pStyle w:val="TableParagraph"/>
              <w:widowControl/>
              <w:spacing w:before="40" w:line="240" w:lineRule="auto"/>
              <w:ind w:left="103"/>
              <w:rPr>
                <w:rFonts w:ascii="Times New Roman" w:hAnsi="Times New Roman" w:cs="Times New Roman"/>
                <w:bCs/>
                <w:snapToGrid w:val="0"/>
                <w:sz w:val="18"/>
                <w:szCs w:val="18"/>
                <w:lang w:val="en-GB"/>
              </w:rPr>
            </w:pPr>
            <w:r w:rsidRPr="00B66330">
              <w:rPr>
                <w:rFonts w:ascii="Times New Roman" w:hAnsi="Times New Roman" w:cs="Times New Roman"/>
                <w:bCs/>
                <w:i/>
                <w:iCs/>
                <w:snapToGrid w:val="0"/>
                <w:sz w:val="18"/>
                <w:szCs w:val="18"/>
                <w:lang w:val="en-GB"/>
              </w:rPr>
              <w:t>Statements</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F5C91B"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Authority to sign the consolidated financial statements rests with the Executive Director. Extracts from the consolidated statements are signed by UNON.</w:t>
            </w:r>
          </w:p>
          <w:p w14:paraId="203102A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133E8AAC"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Maintenance of accounts and preparation of Financial Statements including the Programme Support account. Processing accounting entries/adjustments including donor refunds; year-end accruals; statutory reporting and support to the annual external audit.</w:t>
            </w:r>
          </w:p>
        </w:tc>
      </w:tr>
      <w:tr w:rsidR="00643D56" w:rsidRPr="00B66330" w14:paraId="403F921D" w14:textId="77777777" w:rsidTr="00DF12BF">
        <w:trPr>
          <w:trHeight w:val="710"/>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F02B9E"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Payments / Expenditure</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C6308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Processing payments to Implementing Partners, consultants, vendors and meeting participants. Monitoring advances and recording expenditures from financial reports received from Implementing Partners.</w:t>
            </w:r>
          </w:p>
        </w:tc>
      </w:tr>
      <w:tr w:rsidR="00643D56" w:rsidRPr="00B66330" w14:paraId="5FAF530D" w14:textId="77777777" w:rsidTr="00DF12BF">
        <w:trPr>
          <w:trHeight w:val="551"/>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1D546CA"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Payroll</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098E92"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Processing payment of salaries, entitlements and related advances and maintenance of payroll accounts.</w:t>
            </w:r>
          </w:p>
        </w:tc>
      </w:tr>
      <w:tr w:rsidR="00643D56" w:rsidRPr="00B66330" w14:paraId="7F92A597" w14:textId="77777777" w:rsidTr="00DF12BF">
        <w:trPr>
          <w:trHeight w:val="1395"/>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11F5A8"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Contributions /Cash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0A295E"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Authority to accept contributions from the Parties rests with the United Nations Environment Programme Executive Director.</w:t>
            </w:r>
          </w:p>
          <w:p w14:paraId="40E1ADE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2CD84317"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Issuing invoices to Parties, recording and monitoring contribution receivables, processing contributions upon receipt of payments; reconciling applied deposit accounts.</w:t>
            </w:r>
          </w:p>
        </w:tc>
      </w:tr>
      <w:tr w:rsidR="00643D56" w:rsidRPr="00B66330" w14:paraId="274F41CF" w14:textId="77777777" w:rsidTr="00DF12BF">
        <w:trPr>
          <w:trHeight w:val="901"/>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7E782B3"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Treasury/Banking/ Investment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8DD5C8"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Receipt and disbursement of funds, House Bank management, bank reconciliations. Maintenance of banking details for staff, vendors, implementing partners and consultants. Investment of United Nations Environment Programme funds in the right products is managed by UNHQ Treasury.</w:t>
            </w:r>
          </w:p>
        </w:tc>
      </w:tr>
      <w:tr w:rsidR="00643D56" w:rsidRPr="00B66330" w14:paraId="56914BCF" w14:textId="77777777" w:rsidTr="00DF12BF">
        <w:trPr>
          <w:trHeight w:val="337"/>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9C681C"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lastRenderedPageBreak/>
              <w:t>Oversight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52BFB4"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Coordinate internal audit, investigation, inspection and external audit.</w:t>
            </w:r>
          </w:p>
        </w:tc>
      </w:tr>
      <w:tr w:rsidR="00643D56" w:rsidRPr="00B66330" w14:paraId="25DC9D27" w14:textId="77777777" w:rsidTr="00DF12BF">
        <w:trPr>
          <w:trHeight w:val="412"/>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1621DD" w14:textId="77777777" w:rsidR="00643D56" w:rsidRPr="00B66330" w:rsidRDefault="00643D56" w:rsidP="00DF12BF">
            <w:pPr>
              <w:pStyle w:val="TableParagraph"/>
              <w:keepNext/>
              <w:keepLines/>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Legal</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1DD0B6" w14:textId="77777777" w:rsidR="00643D56" w:rsidRPr="00B66330" w:rsidRDefault="00643D56" w:rsidP="00DF12BF">
            <w:pPr>
              <w:pStyle w:val="TableParagraph"/>
              <w:keepNext/>
              <w:keepLines/>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
                <w:snapToGrid w:val="0"/>
                <w:sz w:val="18"/>
                <w:szCs w:val="18"/>
                <w:lang w:val="en-GB"/>
              </w:rPr>
              <w:t>Legal advice, opinions and representation in the Internal Justice System</w:t>
            </w:r>
            <w:r w:rsidRPr="00B66330">
              <w:rPr>
                <w:rFonts w:ascii="Times New Roman" w:hAnsi="Times New Roman" w:cs="Times New Roman"/>
                <w:bCs/>
                <w:snapToGrid w:val="0"/>
                <w:sz w:val="18"/>
                <w:szCs w:val="18"/>
                <w:lang w:val="en-GB"/>
              </w:rPr>
              <w:t>.</w:t>
            </w:r>
          </w:p>
        </w:tc>
      </w:tr>
      <w:tr w:rsidR="00643D56" w:rsidRPr="00B66330" w14:paraId="1530E289" w14:textId="77777777" w:rsidTr="00DF12BF">
        <w:trPr>
          <w:trHeight w:val="5662"/>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859C24" w14:textId="77777777" w:rsidR="00643D56" w:rsidRPr="00B66330" w:rsidRDefault="00643D56" w:rsidP="00DF12BF">
            <w:pPr>
              <w:pStyle w:val="TableParagraph"/>
              <w:widowControl/>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Advisory and Representation</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C3C2AE"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Provision of corporate legal advice and institutional support.</w:t>
            </w:r>
          </w:p>
          <w:p w14:paraId="4410707E"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45B85F2D"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14:paraId="4D280D2D"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148E4A4C"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Negotiating settlements of claims; provision of legal support and advice in mediation, conciliation and arbitration.</w:t>
            </w:r>
          </w:p>
          <w:p w14:paraId="31C4FC02"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6D04AD9E"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Legal and institutional support in disciplinary procedures; provision of legal advice in cases of alleged misconduct and relevant investigations.</w:t>
            </w:r>
          </w:p>
          <w:p w14:paraId="67857EE2"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076180F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Reviewing and clearing Host Country Agreements and legal instruments in accordance with the Delegation of Authority Policy and Framework for the Management and Administration of Multilateral Environmental Agreements.</w:t>
            </w:r>
          </w:p>
          <w:p w14:paraId="429C530D"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022AE7BA"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Provision of legal advice on human resources issues e.g., interpretation of the Staff Regulations and Rules, advise on outside activities, separation from employment, settlements.</w:t>
            </w:r>
          </w:p>
          <w:p w14:paraId="4308816B"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3859BE37"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Coordinating audits, inspections and evaluations undertaken by the Office of Internal Oversight Services.</w:t>
            </w:r>
          </w:p>
          <w:p w14:paraId="65E31460"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p>
          <w:p w14:paraId="5391A341" w14:textId="77777777" w:rsidR="00643D56" w:rsidRPr="00B66330" w:rsidRDefault="00643D56" w:rsidP="00DF12BF">
            <w:pPr>
              <w:pStyle w:val="TableParagraph"/>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Providing advice on engaging with implementing partners, provision of templates for this purpose.</w:t>
            </w:r>
          </w:p>
        </w:tc>
      </w:tr>
      <w:tr w:rsidR="00643D56" w:rsidRPr="00B66330" w14:paraId="6EEBDA34" w14:textId="77777777" w:rsidTr="00DF12BF">
        <w:trPr>
          <w:trHeight w:val="559"/>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6F6728" w14:textId="77777777" w:rsidR="00643D56" w:rsidRPr="00B66330" w:rsidRDefault="00643D56" w:rsidP="00DF12BF">
            <w:pPr>
              <w:pStyle w:val="TableParagraph"/>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Support Services</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D524A6" w14:textId="77777777" w:rsidR="00643D56" w:rsidRPr="00B66330" w:rsidRDefault="00643D56" w:rsidP="00DF12BF">
            <w:pPr>
              <w:pStyle w:val="TableParagraph"/>
              <w:spacing w:before="40" w:line="240" w:lineRule="auto"/>
              <w:ind w:left="57" w:right="57"/>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Services to support operations including office space, premises, host country arrangements and protocols.</w:t>
            </w:r>
          </w:p>
        </w:tc>
      </w:tr>
      <w:tr w:rsidR="00643D56" w:rsidRPr="00B66330" w14:paraId="71557AD6" w14:textId="77777777" w:rsidTr="00DF12BF">
        <w:trPr>
          <w:trHeight w:val="1803"/>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1EFE4A"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Contracts and Procurement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0E5165"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w:t>
            </w:r>
            <w:proofErr w:type="gramStart"/>
            <w:r w:rsidRPr="00B66330">
              <w:rPr>
                <w:rFonts w:ascii="Times New Roman" w:hAnsi="Times New Roman" w:cs="Times New Roman"/>
                <w:bCs/>
                <w:snapToGrid w:val="0"/>
                <w:sz w:val="18"/>
                <w:szCs w:val="18"/>
                <w:lang w:val="en-GB"/>
              </w:rPr>
              <w:t>High Level</w:t>
            </w:r>
            <w:proofErr w:type="gramEnd"/>
            <w:r w:rsidRPr="00B66330">
              <w:rPr>
                <w:rFonts w:ascii="Times New Roman" w:hAnsi="Times New Roman" w:cs="Times New Roman"/>
                <w:bCs/>
                <w:snapToGrid w:val="0"/>
                <w:sz w:val="18"/>
                <w:szCs w:val="18"/>
                <w:lang w:val="en-GB"/>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643D56" w:rsidRPr="00B66330" w14:paraId="1C41CA0B" w14:textId="77777777" w:rsidTr="00DF12BF">
        <w:trPr>
          <w:trHeight w:val="656"/>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565A33"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Inventory / Asset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CF5D79"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Provision of services to manage inventory of equipment items and assets including bar coding, maintain records and track movement of items; conduct physical inventories; process the disposal of obsolete and unserviceable items.</w:t>
            </w:r>
          </w:p>
        </w:tc>
      </w:tr>
      <w:tr w:rsidR="00643D56" w:rsidRPr="00B66330" w14:paraId="703761C7" w14:textId="77777777" w:rsidTr="00DF12BF">
        <w:trPr>
          <w:trHeight w:val="901"/>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F0CEBB"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Travel, Shipping and Visa</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37A165"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w:t>
            </w:r>
            <w:r w:rsidRPr="00B66330">
              <w:rPr>
                <w:rFonts w:ascii="Times New Roman" w:hAnsi="Times New Roman" w:cs="Times New Roman"/>
                <w:bCs/>
                <w:snapToGrid w:val="0"/>
                <w:sz w:val="18"/>
                <w:szCs w:val="18"/>
                <w:lang w:val="en-GB"/>
              </w:rPr>
              <w:lastRenderedPageBreak/>
              <w:t>shipments of organizational goods and property as well as staff members' personal effects during recruitment, transfer and separation.</w:t>
            </w:r>
          </w:p>
        </w:tc>
      </w:tr>
      <w:tr w:rsidR="00643D56" w:rsidRPr="00B66330" w14:paraId="53D06AD9" w14:textId="77777777" w:rsidTr="00DF12BF">
        <w:trPr>
          <w:trHeight w:val="1190"/>
          <w:jc w:val="right"/>
        </w:trPr>
        <w:tc>
          <w:tcPr>
            <w:tcW w:w="2321" w:type="dxa"/>
            <w:tcBorders>
              <w:top w:val="single" w:sz="4" w:space="0" w:color="000000"/>
              <w:left w:val="single" w:sz="4" w:space="0" w:color="000000"/>
              <w:right w:val="single" w:sz="4" w:space="0" w:color="000000"/>
            </w:tcBorders>
            <w:shd w:val="clear" w:color="auto" w:fill="FFFFFF" w:themeFill="background1"/>
          </w:tcPr>
          <w:p w14:paraId="17AEF114"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lastRenderedPageBreak/>
              <w:t>Host Country Relations</w:t>
            </w:r>
          </w:p>
        </w:tc>
        <w:tc>
          <w:tcPr>
            <w:tcW w:w="6042" w:type="dxa"/>
            <w:tcBorders>
              <w:top w:val="single" w:sz="4" w:space="0" w:color="000000"/>
              <w:left w:val="single" w:sz="4" w:space="0" w:color="000000"/>
              <w:right w:val="single" w:sz="4" w:space="0" w:color="000000"/>
            </w:tcBorders>
            <w:shd w:val="clear" w:color="auto" w:fill="FFFFFF" w:themeFill="background1"/>
          </w:tcPr>
          <w:p w14:paraId="2D634164"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In addition to administering the hosting agreement with the country of duty station, the services include re-entry 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643D56" w:rsidRPr="00B66330" w14:paraId="55934D15" w14:textId="77777777" w:rsidTr="00DF12BF">
        <w:trPr>
          <w:trHeight w:val="77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9FF8A5"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Facilities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12CEC5"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Provision of comfortable and efficient working environment for the staff well as for the visitors by maintaining office premises including gardening and parking areas; utilities’ supply and maintenance of security systems.</w:t>
            </w:r>
          </w:p>
        </w:tc>
      </w:tr>
      <w:tr w:rsidR="00643D56" w:rsidRPr="00B66330" w14:paraId="68F7F098" w14:textId="77777777" w:rsidTr="00DF12BF">
        <w:trPr>
          <w:trHeight w:val="1125"/>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00FFAA"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Mail Pouch</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5CD8DA"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Providing mail, diplomatic pouch and international courier services; dispatching outbound mail; sorting and delivering all incoming mail; advising on different mail services </w:t>
            </w:r>
            <w:proofErr w:type="spellStart"/>
            <w:r w:rsidRPr="00B66330">
              <w:rPr>
                <w:rFonts w:ascii="Times New Roman" w:hAnsi="Times New Roman" w:cs="Times New Roman"/>
                <w:bCs/>
                <w:snapToGrid w:val="0"/>
                <w:sz w:val="18"/>
                <w:szCs w:val="18"/>
                <w:lang w:val="en-GB"/>
              </w:rPr>
              <w:t>i.e</w:t>
            </w:r>
            <w:proofErr w:type="spellEnd"/>
            <w:r w:rsidRPr="00B66330">
              <w:rPr>
                <w:rFonts w:ascii="Times New Roman" w:hAnsi="Times New Roman" w:cs="Times New Roman"/>
                <w:bCs/>
                <w:snapToGrid w:val="0"/>
                <w:sz w:val="18"/>
                <w:szCs w:val="18"/>
                <w:lang w:val="en-GB"/>
              </w:rPr>
              <w:t xml:space="preserve"> postal, international express courier and diplomatic pouch, including but not limited to cost, transit days, document preparation, etc.</w:t>
            </w:r>
          </w:p>
        </w:tc>
      </w:tr>
      <w:tr w:rsidR="00643D56" w:rsidRPr="00B66330" w14:paraId="7B926FF0" w14:textId="77777777" w:rsidTr="00DF12BF">
        <w:trPr>
          <w:trHeight w:val="985"/>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D5E96A"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Archives/Document Management</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683417"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Advising on and overseeing the implementation of policies for the management of archives in accordance with established archival standards and practices</w:t>
            </w:r>
            <w:hyperlink w:anchor="_bookmark0" w:history="1">
              <w:r w:rsidRPr="00B66330">
                <w:rPr>
                  <w:rStyle w:val="Hyperlink"/>
                  <w:rFonts w:cs="Times New Roman"/>
                  <w:snapToGrid w:val="0"/>
                  <w:sz w:val="18"/>
                  <w:szCs w:val="18"/>
                  <w:lang w:val="en-GB"/>
                </w:rPr>
                <w:t>.</w:t>
              </w:r>
            </w:hyperlink>
          </w:p>
          <w:p w14:paraId="77A3331D"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p>
          <w:p w14:paraId="4AECDACB"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Maintaining and managing archives.</w:t>
            </w:r>
          </w:p>
        </w:tc>
      </w:tr>
      <w:tr w:rsidR="00643D56" w:rsidRPr="00B66330" w14:paraId="75B0CCD8" w14:textId="77777777" w:rsidTr="00DF12BF">
        <w:trPr>
          <w:trHeight w:val="532"/>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BDD545B"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Security and Safety</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F9FECD"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Protection of UN personnel and property by providing a safe and secure work environment and regular security advisories; issuance of IDs for staff and visitors to the UN offices. </w:t>
            </w:r>
          </w:p>
        </w:tc>
      </w:tr>
      <w:tr w:rsidR="00643D56" w:rsidRPr="00B66330" w14:paraId="457D4A96" w14:textId="77777777" w:rsidTr="00DF12BF">
        <w:trPr>
          <w:trHeight w:val="1408"/>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AF7A86"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Enterprise Resource Programme (ERP) – Umoja***</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8FC2A7D"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Advising on all aspects of workflow analysis, business process reengineering and organizational transformation</w:t>
            </w:r>
            <w:hyperlink w:anchor="_bookmark0" w:history="1">
              <w:r w:rsidRPr="00B66330">
                <w:rPr>
                  <w:rStyle w:val="Hyperlink"/>
                  <w:rFonts w:cs="Times New Roman"/>
                  <w:snapToGrid w:val="0"/>
                  <w:sz w:val="18"/>
                  <w:szCs w:val="18"/>
                  <w:lang w:val="en-GB"/>
                </w:rPr>
                <w:t>.</w:t>
              </w:r>
            </w:hyperlink>
          </w:p>
          <w:p w14:paraId="5CF6E602"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p>
          <w:p w14:paraId="06E2CA73"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Managing core transformational activities connected to the Umoja implementation and system life cycle. Providing training and guidance on Umoja functionality, access and modality for the execution of administrative processes.</w:t>
            </w:r>
          </w:p>
        </w:tc>
      </w:tr>
      <w:tr w:rsidR="00643D56" w:rsidRPr="00B66330" w14:paraId="7825B7D2" w14:textId="77777777" w:rsidTr="00DF12BF">
        <w:trPr>
          <w:trHeight w:val="100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A327CB"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Enterprise Risk Management (ERM) and Internal Controls</w:t>
            </w:r>
          </w:p>
        </w:tc>
        <w:tc>
          <w:tcPr>
            <w:tcW w:w="6042"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3A85A3"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643D56" w:rsidRPr="00B66330" w14:paraId="6DEC439B" w14:textId="77777777" w:rsidTr="00DF12BF">
        <w:trPr>
          <w:trHeight w:val="559"/>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9EBFF" w14:textId="77777777" w:rsidR="00643D56" w:rsidRPr="00B66330" w:rsidRDefault="00643D56" w:rsidP="00DF12BF">
            <w:pPr>
              <w:pStyle w:val="TableParagraph"/>
              <w:keepNext/>
              <w:keepLines/>
              <w:widowControl/>
              <w:spacing w:before="40" w:line="240" w:lineRule="auto"/>
              <w:ind w:left="103"/>
              <w:rPr>
                <w:rFonts w:ascii="Times New Roman" w:hAnsi="Times New Roman" w:cs="Times New Roman"/>
                <w:b/>
                <w:snapToGrid w:val="0"/>
                <w:sz w:val="18"/>
                <w:szCs w:val="18"/>
                <w:lang w:val="en-GB"/>
              </w:rPr>
            </w:pPr>
            <w:r w:rsidRPr="00B66330">
              <w:rPr>
                <w:rFonts w:ascii="Times New Roman" w:hAnsi="Times New Roman" w:cs="Times New Roman"/>
                <w:b/>
                <w:snapToGrid w:val="0"/>
                <w:sz w:val="18"/>
                <w:szCs w:val="18"/>
                <w:lang w:val="en-GB"/>
              </w:rPr>
              <w:t>Information and Communications Technology</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AF8774" w14:textId="77777777" w:rsidR="00643D56" w:rsidRPr="00B66330" w:rsidRDefault="00643D56" w:rsidP="00DF12BF">
            <w:pPr>
              <w:pStyle w:val="TableParagraph"/>
              <w:keepNext/>
              <w:keepLines/>
              <w:widowControl/>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
                <w:snapToGrid w:val="0"/>
                <w:sz w:val="18"/>
                <w:szCs w:val="18"/>
                <w:lang w:val="en-GB"/>
              </w:rPr>
              <w:t>Computing, telecommunications, office automation, infrastructure support including electronic mail as well as consulting, advisory and help desk services</w:t>
            </w:r>
            <w:r w:rsidRPr="00B66330">
              <w:rPr>
                <w:rFonts w:ascii="Times New Roman" w:hAnsi="Times New Roman" w:cs="Times New Roman"/>
                <w:bCs/>
                <w:snapToGrid w:val="0"/>
                <w:sz w:val="18"/>
                <w:szCs w:val="18"/>
                <w:lang w:val="en-GB"/>
              </w:rPr>
              <w:t>.</w:t>
            </w:r>
          </w:p>
        </w:tc>
      </w:tr>
      <w:tr w:rsidR="00643D56" w:rsidRPr="00B66330" w14:paraId="68268CC9" w14:textId="77777777" w:rsidTr="00DF12BF">
        <w:trPr>
          <w:trHeight w:val="1694"/>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EA82AD"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ICT Infrastructure and services</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A3F9F2"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 xml:space="preserve">Provision of secure infrastructure services such as internet connectivity and </w:t>
            </w:r>
            <w:proofErr w:type="spellStart"/>
            <w:r w:rsidRPr="00B66330">
              <w:rPr>
                <w:rFonts w:ascii="Times New Roman" w:hAnsi="Times New Roman" w:cs="Times New Roman"/>
                <w:bCs/>
                <w:snapToGrid w:val="0"/>
                <w:sz w:val="18"/>
                <w:szCs w:val="18"/>
                <w:lang w:val="en-GB"/>
              </w:rPr>
              <w:t>WiFi</w:t>
            </w:r>
            <w:proofErr w:type="spellEnd"/>
            <w:r w:rsidRPr="00B66330">
              <w:rPr>
                <w:rFonts w:ascii="Times New Roman" w:hAnsi="Times New Roman" w:cs="Times New Roman"/>
                <w:bCs/>
                <w:snapToGrid w:val="0"/>
                <w:sz w:val="18"/>
                <w:szCs w:val="18"/>
                <w:lang w:val="en-GB"/>
              </w:rPr>
              <w:t xml:space="preserve">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43B87D40"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p>
          <w:p w14:paraId="17A9CCE8"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Access to corporate internet/intranet and mail systems</w:t>
            </w:r>
            <w:hyperlink w:anchor="_bookmark0" w:history="1">
              <w:r w:rsidRPr="00B66330">
                <w:rPr>
                  <w:rStyle w:val="Hyperlink"/>
                  <w:rFonts w:cs="Times New Roman"/>
                  <w:snapToGrid w:val="0"/>
                  <w:sz w:val="18"/>
                  <w:szCs w:val="18"/>
                  <w:lang w:val="en-GB"/>
                </w:rPr>
                <w:t>.</w:t>
              </w:r>
            </w:hyperlink>
          </w:p>
        </w:tc>
      </w:tr>
      <w:tr w:rsidR="00643D56" w:rsidRPr="00B66330" w14:paraId="308A8B88" w14:textId="77777777" w:rsidTr="00DF12BF">
        <w:trPr>
          <w:trHeight w:val="980"/>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F3F72D"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lastRenderedPageBreak/>
              <w:t>Software development and maintenance</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5E525E"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Providing advice from tactical, operational and strategic aspects with consideration to the specific needs of the office. Making recommendations on cost effective options e.g. outsourcing or in-house IT services. Provision of customised / off the shelf software applications to support the specific needs of office.</w:t>
            </w:r>
          </w:p>
        </w:tc>
      </w:tr>
      <w:tr w:rsidR="00643D56" w:rsidRPr="00B66330" w14:paraId="54E547D3" w14:textId="77777777" w:rsidTr="00DF12BF">
        <w:trPr>
          <w:trHeight w:val="549"/>
          <w:jc w:val="right"/>
        </w:trPr>
        <w:tc>
          <w:tcPr>
            <w:tcW w:w="23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17C0C3" w14:textId="77777777" w:rsidR="00643D56" w:rsidRPr="00B66330" w:rsidRDefault="00643D56" w:rsidP="00DF12BF">
            <w:pPr>
              <w:pStyle w:val="TableParagraph"/>
              <w:spacing w:before="40" w:line="240" w:lineRule="auto"/>
              <w:ind w:left="103"/>
              <w:rPr>
                <w:rFonts w:ascii="Times New Roman" w:hAnsi="Times New Roman" w:cs="Times New Roman"/>
                <w:bCs/>
                <w:i/>
                <w:iCs/>
                <w:snapToGrid w:val="0"/>
                <w:sz w:val="18"/>
                <w:szCs w:val="18"/>
                <w:lang w:val="en-GB"/>
              </w:rPr>
            </w:pPr>
            <w:r w:rsidRPr="00B66330">
              <w:rPr>
                <w:rFonts w:ascii="Times New Roman" w:hAnsi="Times New Roman" w:cs="Times New Roman"/>
                <w:bCs/>
                <w:i/>
                <w:iCs/>
                <w:snapToGrid w:val="0"/>
                <w:sz w:val="18"/>
                <w:szCs w:val="18"/>
                <w:lang w:val="en-GB"/>
              </w:rPr>
              <w:t>Help desk services</w:t>
            </w:r>
          </w:p>
        </w:tc>
        <w:tc>
          <w:tcPr>
            <w:tcW w:w="604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4AE950" w14:textId="77777777" w:rsidR="00643D56" w:rsidRPr="00B66330" w:rsidRDefault="00643D56" w:rsidP="00DF12BF">
            <w:pPr>
              <w:pStyle w:val="TableParagraph"/>
              <w:spacing w:before="40" w:line="240" w:lineRule="auto"/>
              <w:ind w:left="57" w:right="57"/>
              <w:rPr>
                <w:rFonts w:ascii="Times New Roman" w:hAnsi="Times New Roman" w:cs="Times New Roman"/>
                <w:bCs/>
                <w:snapToGrid w:val="0"/>
                <w:sz w:val="18"/>
                <w:szCs w:val="18"/>
                <w:lang w:val="en-GB"/>
              </w:rPr>
            </w:pPr>
            <w:r w:rsidRPr="00B66330">
              <w:rPr>
                <w:rFonts w:ascii="Times New Roman" w:hAnsi="Times New Roman" w:cs="Times New Roman"/>
                <w:bCs/>
                <w:snapToGrid w:val="0"/>
                <w:sz w:val="18"/>
                <w:szCs w:val="18"/>
                <w:lang w:val="en-GB"/>
              </w:rPr>
              <w:t>Provision of local and global services to staff in resolving various IT related issues for the UN enterprise applications.</w:t>
            </w:r>
          </w:p>
        </w:tc>
      </w:tr>
    </w:tbl>
    <w:p w14:paraId="41D15080" w14:textId="385C4B1A" w:rsidR="00F935A6" w:rsidRDefault="00643D56" w:rsidP="00643D56">
      <w:pPr>
        <w:pStyle w:val="Normal-pool"/>
        <w:tabs>
          <w:tab w:val="clear" w:pos="1247"/>
        </w:tabs>
        <w:spacing w:before="40" w:after="120" w:line="240" w:lineRule="auto"/>
        <w:ind w:left="1247"/>
      </w:pPr>
      <w:r w:rsidRPr="00B66330">
        <w:rPr>
          <w:snapToGrid w:val="0"/>
          <w:sz w:val="16"/>
          <w:szCs w:val="16"/>
        </w:rPr>
        <w:t xml:space="preserve">*** Umoja project and maintenance costs are apportioned based on expenditure incurred and met by respective divisions and MEAs as common costs. These include service fees and costs associated with Umoja (such as license fees), requests raised through </w:t>
      </w:r>
      <w:proofErr w:type="spellStart"/>
      <w:r>
        <w:rPr>
          <w:snapToGrid w:val="0"/>
          <w:sz w:val="16"/>
          <w:szCs w:val="16"/>
        </w:rPr>
        <w:t>iN</w:t>
      </w:r>
      <w:r w:rsidRPr="00B66330">
        <w:rPr>
          <w:snapToGrid w:val="0"/>
          <w:sz w:val="16"/>
          <w:szCs w:val="16"/>
        </w:rPr>
        <w:t>eed</w:t>
      </w:r>
      <w:proofErr w:type="spellEnd"/>
      <w:r w:rsidRPr="00B66330">
        <w:rPr>
          <w:snapToGrid w:val="0"/>
          <w:sz w:val="16"/>
          <w:szCs w:val="16"/>
        </w:rPr>
        <w:t xml:space="preserve"> and any administrative costs associated with services provided by UNON and UNOG especially those that were delivered through OSC (travel, payment of invoices, HR/consultant services)</w:t>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96219" w14:textId="77777777" w:rsidR="0020305B" w:rsidRDefault="0020305B" w:rsidP="00643D56">
      <w:pPr>
        <w:spacing w:after="0" w:line="240" w:lineRule="auto"/>
      </w:pPr>
      <w:r>
        <w:separator/>
      </w:r>
    </w:p>
  </w:endnote>
  <w:endnote w:type="continuationSeparator" w:id="0">
    <w:p w14:paraId="0F182048" w14:textId="77777777" w:rsidR="0020305B" w:rsidRDefault="0020305B" w:rsidP="00643D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62275" w14:textId="77777777" w:rsidR="0020305B" w:rsidRDefault="0020305B" w:rsidP="00643D56">
      <w:pPr>
        <w:spacing w:after="0" w:line="240" w:lineRule="auto"/>
      </w:pPr>
      <w:r>
        <w:separator/>
      </w:r>
    </w:p>
  </w:footnote>
  <w:footnote w:type="continuationSeparator" w:id="0">
    <w:p w14:paraId="3D3F296E" w14:textId="77777777" w:rsidR="0020305B" w:rsidRDefault="0020305B" w:rsidP="00643D56">
      <w:pPr>
        <w:spacing w:after="0" w:line="240" w:lineRule="auto"/>
      </w:pPr>
      <w:r>
        <w:continuationSeparator/>
      </w:r>
    </w:p>
  </w:footnote>
  <w:footnote w:id="1">
    <w:p w14:paraId="48D44982" w14:textId="77777777" w:rsidR="00643D56" w:rsidRPr="00682B39" w:rsidRDefault="00643D56" w:rsidP="00643D56">
      <w:pPr>
        <w:pStyle w:val="FootnoteText"/>
        <w:tabs>
          <w:tab w:val="left" w:pos="624"/>
        </w:tabs>
        <w:spacing w:after="40" w:line="240" w:lineRule="auto"/>
        <w:ind w:left="476" w:right="57" w:firstLine="584"/>
        <w:rPr>
          <w:spacing w:val="0"/>
          <w:w w:val="100"/>
          <w:kern w:val="0"/>
          <w:sz w:val="20"/>
          <w:lang w:val="en-US"/>
        </w:rPr>
      </w:pPr>
      <w:r w:rsidRPr="00682B39">
        <w:rPr>
          <w:rStyle w:val="FootnoteReference"/>
          <w:spacing w:val="0"/>
          <w:w w:val="100"/>
          <w:kern w:val="0"/>
          <w:lang w:val="zh-CN"/>
        </w:rPr>
        <w:footnoteRef/>
      </w:r>
      <w:r w:rsidRPr="00682B39">
        <w:rPr>
          <w:spacing w:val="0"/>
          <w:w w:val="100"/>
          <w:kern w:val="0"/>
          <w:sz w:val="20"/>
          <w:lang w:val="en-US"/>
        </w:rPr>
        <w:t xml:space="preserve"> UNEP/CHW.14/INF/50–UNEP/FAO/RC/COP.9/INF/43–UNEP/POPS/COP.9/INF/55</w:t>
      </w:r>
      <w:r w:rsidRPr="00682B39">
        <w:rPr>
          <w:rFonts w:hint="eastAsia"/>
          <w:spacing w:val="0"/>
          <w:w w:val="100"/>
          <w:kern w:val="0"/>
          <w:sz w:val="20"/>
          <w:lang w:val="zh-CN"/>
        </w:rPr>
        <w:t>。</w:t>
      </w:r>
    </w:p>
  </w:footnote>
  <w:footnote w:id="2">
    <w:p w14:paraId="1314E0AA" w14:textId="77777777" w:rsidR="00643D56" w:rsidRPr="004E6E14" w:rsidRDefault="00643D56" w:rsidP="00643D56">
      <w:pPr>
        <w:pStyle w:val="FootnoteText"/>
        <w:tabs>
          <w:tab w:val="left" w:pos="624"/>
        </w:tabs>
        <w:spacing w:after="40" w:line="240" w:lineRule="auto"/>
        <w:ind w:left="476" w:right="57" w:firstLine="584"/>
        <w:rPr>
          <w:szCs w:val="18"/>
          <w:lang w:val="en-US"/>
        </w:rPr>
      </w:pPr>
      <w:r w:rsidRPr="00682B39">
        <w:rPr>
          <w:rStyle w:val="FootnoteReference"/>
          <w:spacing w:val="0"/>
          <w:w w:val="100"/>
          <w:kern w:val="0"/>
          <w:lang w:val="zh-CN"/>
        </w:rPr>
        <w:footnoteRef/>
      </w:r>
      <w:r w:rsidRPr="00682B39">
        <w:rPr>
          <w:spacing w:val="0"/>
          <w:w w:val="100"/>
          <w:kern w:val="0"/>
          <w:sz w:val="20"/>
          <w:lang w:val="en-US"/>
        </w:rPr>
        <w:t xml:space="preserve"> UNEP/CHW.14/INF/49–UNEP/FAO/RC/COP.9/INF/42–UNEP/POPS/COP.9/INF/54</w:t>
      </w:r>
      <w:r w:rsidRPr="00682B39">
        <w:rPr>
          <w:rFonts w:hint="eastAsia"/>
          <w:spacing w:val="0"/>
          <w:w w:val="100"/>
          <w:kern w:val="0"/>
          <w:sz w:val="20"/>
          <w:lang w:val="zh-CN"/>
        </w:rPr>
        <w:t>。</w:t>
      </w:r>
    </w:p>
  </w:footnote>
  <w:footnote w:id="3">
    <w:p w14:paraId="22FB8478" w14:textId="77777777" w:rsidR="00643D56" w:rsidRPr="00682B39" w:rsidRDefault="00643D56" w:rsidP="00643D56">
      <w:pPr>
        <w:pStyle w:val="FootnoteText"/>
        <w:tabs>
          <w:tab w:val="left" w:pos="624"/>
        </w:tabs>
        <w:spacing w:after="40" w:line="240" w:lineRule="auto"/>
        <w:ind w:left="476" w:right="57" w:firstLine="782"/>
        <w:rPr>
          <w:spacing w:val="0"/>
          <w:w w:val="100"/>
          <w:kern w:val="0"/>
          <w:sz w:val="20"/>
          <w:lang w:eastAsia="zh-CN"/>
        </w:rPr>
      </w:pPr>
      <w:r w:rsidRPr="00682B39">
        <w:rPr>
          <w:rStyle w:val="FootnoteReference"/>
          <w:spacing w:val="0"/>
          <w:w w:val="100"/>
          <w:kern w:val="0"/>
          <w:lang w:val="zh-CN"/>
        </w:rPr>
        <w:footnoteRef/>
      </w:r>
      <w:r w:rsidRPr="00682B39">
        <w:rPr>
          <w:spacing w:val="0"/>
          <w:w w:val="100"/>
          <w:kern w:val="0"/>
          <w:sz w:val="20"/>
          <w:lang w:val="zh-CN" w:eastAsia="zh-CN"/>
        </w:rPr>
        <w:t xml:space="preserve"> </w:t>
      </w:r>
      <w:r w:rsidRPr="00682B39">
        <w:rPr>
          <w:rFonts w:hint="eastAsia"/>
          <w:spacing w:val="0"/>
          <w:w w:val="100"/>
          <w:kern w:val="0"/>
          <w:sz w:val="20"/>
          <w:lang w:val="zh-CN" w:eastAsia="zh-CN"/>
        </w:rPr>
        <w:t>本附件按提交的原文印发，未经正式编辑。</w:t>
      </w:r>
    </w:p>
  </w:footnote>
  <w:footnote w:id="4">
    <w:p w14:paraId="2615B79A" w14:textId="77777777" w:rsidR="00643D56" w:rsidRPr="00B119E9" w:rsidRDefault="00643D56" w:rsidP="00643D56">
      <w:pPr>
        <w:pStyle w:val="FootnoteText"/>
        <w:spacing w:after="40" w:line="240" w:lineRule="auto"/>
        <w:ind w:left="476" w:firstLine="658"/>
        <w:rPr>
          <w:spacing w:val="0"/>
          <w:w w:val="100"/>
          <w:lang w:val="en-US" w:eastAsia="zh-CN"/>
        </w:rPr>
      </w:pPr>
      <w:r w:rsidRPr="007E5DAB">
        <w:rPr>
          <w:rStyle w:val="FootnoteReference"/>
          <w:spacing w:val="0"/>
          <w:w w:val="100"/>
        </w:rPr>
        <w:footnoteRef/>
      </w:r>
      <w:r w:rsidRPr="00B119E9">
        <w:rPr>
          <w:spacing w:val="0"/>
          <w:w w:val="100"/>
          <w:lang w:val="en-US"/>
        </w:rPr>
        <w:t xml:space="preserve"> </w:t>
      </w:r>
      <w:r w:rsidRPr="007E5DAB">
        <w:rPr>
          <w:spacing w:val="0"/>
          <w:w w:val="100"/>
          <w:kern w:val="0"/>
          <w:sz w:val="20"/>
          <w:lang w:val="en-US"/>
        </w:rPr>
        <w:t>ST/AI /286</w:t>
      </w:r>
      <w:r w:rsidRPr="007E5DAB">
        <w:rPr>
          <w:spacing w:val="0"/>
          <w:w w:val="100"/>
          <w:kern w:val="0"/>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669F7"/>
    <w:multiLevelType w:val="multilevel"/>
    <w:tmpl w:val="105669F7"/>
    <w:lvl w:ilvl="0">
      <w:start w:val="1"/>
      <w:numFmt w:val="japaneseCounting"/>
      <w:lvlText w:val="%1、"/>
      <w:lvlJc w:val="left"/>
      <w:pPr>
        <w:ind w:left="1080" w:hanging="72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2A66A9D"/>
    <w:multiLevelType w:val="multilevel"/>
    <w:tmpl w:val="B46AE4B0"/>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sz w:val="24"/>
        <w:szCs w:val="24"/>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2" w15:restartNumberingAfterBreak="0">
    <w:nsid w:val="60154FF5"/>
    <w:multiLevelType w:val="multilevel"/>
    <w:tmpl w:val="60154FF5"/>
    <w:lvl w:ilvl="0">
      <w:start w:val="1"/>
      <w:numFmt w:val="decimal"/>
      <w:lvlText w:val="%1."/>
      <w:lvlJc w:val="left"/>
      <w:pPr>
        <w:tabs>
          <w:tab w:val="left" w:pos="720"/>
        </w:tabs>
        <w:ind w:left="720" w:hanging="360"/>
      </w:pPr>
    </w:lvl>
    <w:lvl w:ilvl="1">
      <w:start w:val="1"/>
      <w:numFmt w:val="bullet"/>
      <w:lvlText w:val=""/>
      <w:lvlJc w:val="left"/>
      <w:pPr>
        <w:tabs>
          <w:tab w:val="left" w:pos="1440"/>
        </w:tabs>
        <w:ind w:left="1440" w:hanging="360"/>
      </w:pPr>
      <w:rPr>
        <w:rFonts w:ascii="Symbol" w:hAnsi="Symbol" w:hint="default"/>
      </w:rPr>
    </w:lvl>
    <w:lvl w:ilvl="2">
      <w:start w:val="2"/>
      <w:numFmt w:val="lowerLetter"/>
      <w:lvlText w:val="(%3)"/>
      <w:lvlJc w:val="left"/>
      <w:pPr>
        <w:tabs>
          <w:tab w:val="left" w:pos="2340"/>
        </w:tabs>
        <w:ind w:left="2340" w:hanging="360"/>
      </w:pPr>
      <w:rPr>
        <w:rFonts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6C5D7207"/>
    <w:multiLevelType w:val="multilevel"/>
    <w:tmpl w:val="6C5D7207"/>
    <w:lvl w:ilvl="0">
      <w:start w:val="1"/>
      <w:numFmt w:val="decimal"/>
      <w:lvlText w:val="%1."/>
      <w:lvlJc w:val="left"/>
      <w:pPr>
        <w:ind w:left="3215" w:hanging="360"/>
      </w:pPr>
    </w:lvl>
    <w:lvl w:ilvl="1">
      <w:start w:val="1"/>
      <w:numFmt w:val="lowerLetter"/>
      <w:lvlText w:val="%2."/>
      <w:lvlJc w:val="left"/>
      <w:pPr>
        <w:ind w:left="3935" w:hanging="360"/>
      </w:pPr>
    </w:lvl>
    <w:lvl w:ilvl="2">
      <w:start w:val="1"/>
      <w:numFmt w:val="lowerRoman"/>
      <w:lvlText w:val="%3."/>
      <w:lvlJc w:val="right"/>
      <w:pPr>
        <w:ind w:left="4655" w:hanging="180"/>
      </w:pPr>
    </w:lvl>
    <w:lvl w:ilvl="3">
      <w:start w:val="1"/>
      <w:numFmt w:val="decimal"/>
      <w:lvlText w:val="%4."/>
      <w:lvlJc w:val="left"/>
      <w:pPr>
        <w:ind w:left="5375" w:hanging="360"/>
      </w:pPr>
    </w:lvl>
    <w:lvl w:ilvl="4">
      <w:start w:val="1"/>
      <w:numFmt w:val="lowerLetter"/>
      <w:lvlText w:val="%5."/>
      <w:lvlJc w:val="left"/>
      <w:pPr>
        <w:ind w:left="6095" w:hanging="360"/>
      </w:pPr>
    </w:lvl>
    <w:lvl w:ilvl="5">
      <w:start w:val="1"/>
      <w:numFmt w:val="lowerRoman"/>
      <w:lvlText w:val="%6."/>
      <w:lvlJc w:val="right"/>
      <w:pPr>
        <w:ind w:left="6815" w:hanging="180"/>
      </w:pPr>
    </w:lvl>
    <w:lvl w:ilvl="6">
      <w:start w:val="1"/>
      <w:numFmt w:val="decimal"/>
      <w:lvlText w:val="%7."/>
      <w:lvlJc w:val="left"/>
      <w:pPr>
        <w:ind w:left="7535" w:hanging="360"/>
      </w:pPr>
    </w:lvl>
    <w:lvl w:ilvl="7">
      <w:start w:val="1"/>
      <w:numFmt w:val="lowerLetter"/>
      <w:lvlText w:val="%8."/>
      <w:lvlJc w:val="left"/>
      <w:pPr>
        <w:ind w:left="8255" w:hanging="360"/>
      </w:pPr>
    </w:lvl>
    <w:lvl w:ilvl="8">
      <w:start w:val="1"/>
      <w:numFmt w:val="lowerRoman"/>
      <w:lvlText w:val="%9."/>
      <w:lvlJc w:val="right"/>
      <w:pPr>
        <w:ind w:left="8975" w:hanging="180"/>
      </w:pPr>
    </w:lvl>
  </w:abstractNum>
  <w:num w:numId="1">
    <w:abstractNumId w:val="1"/>
    <w:lvlOverride w:ilvl="0">
      <w:lvl w:ilvl="0">
        <w:start w:val="1"/>
        <w:numFmt w:val="decimal"/>
        <w:pStyle w:val="Normalnumber"/>
        <w:lvlText w:val="%1."/>
        <w:lvlJc w:val="left"/>
        <w:pPr>
          <w:tabs>
            <w:tab w:val="left" w:pos="1134"/>
          </w:tabs>
          <w:ind w:left="1247" w:firstLine="0"/>
        </w:pPr>
        <w:rPr>
          <w:rFonts w:hint="default"/>
          <w:sz w:val="24"/>
          <w:szCs w:val="24"/>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
    <w:abstractNumId w:val="3"/>
    <w:lvlOverride w:ilvl="0">
      <w:lvl w:ilvl="0">
        <w:start w:val="1"/>
        <w:numFmt w:val="decimal"/>
        <w:lvlText w:val="%1."/>
        <w:lvlJc w:val="left"/>
        <w:pPr>
          <w:ind w:left="3215" w:hanging="360"/>
        </w:pPr>
      </w:lvl>
    </w:lvlOverride>
  </w:num>
  <w:num w:numId="3">
    <w:abstractNumId w:val="0"/>
  </w:num>
  <w:num w:numId="4">
    <w:abstractNumId w:val="2"/>
    <w:lvlOverride w:ilvl="0">
      <w:lvl w:ilvl="0">
        <w:start w:val="1"/>
        <w:numFmt w:val="decimal"/>
        <w:lvlText w:val="%1."/>
        <w:lvlJc w:val="left"/>
        <w:pPr>
          <w:tabs>
            <w:tab w:val="left" w:pos="720"/>
          </w:tabs>
          <w:ind w:left="720" w:hanging="36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3D56"/>
    <w:rsid w:val="0020305B"/>
    <w:rsid w:val="00643D5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FC1E5"/>
  <w15:chartTrackingRefBased/>
  <w15:docId w15:val="{2B3253FB-6F68-4A01-9803-7079ACA1C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43D56"/>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paragraph" w:styleId="Heading1">
    <w:name w:val="heading 1"/>
    <w:basedOn w:val="Normal"/>
    <w:next w:val="Normalnumber"/>
    <w:link w:val="Heading1Char"/>
    <w:qFormat/>
    <w:rsid w:val="00643D56"/>
    <w:pPr>
      <w:keepNext/>
      <w:spacing w:before="240"/>
      <w:ind w:left="1247" w:hanging="68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43D56"/>
    <w:rPr>
      <w:rFonts w:ascii="Times New Roman" w:eastAsia="SimSun" w:hAnsi="Times New Roman" w:cs="Times New Roman"/>
      <w:b/>
      <w:sz w:val="28"/>
      <w:szCs w:val="10"/>
    </w:rPr>
  </w:style>
  <w:style w:type="paragraph" w:customStyle="1" w:styleId="Normalnumber">
    <w:name w:val="Normal_number"/>
    <w:basedOn w:val="Normal"/>
    <w:link w:val="NormalnumberChar"/>
    <w:qFormat/>
    <w:rsid w:val="00643D56"/>
    <w:pPr>
      <w:numPr>
        <w:numId w:val="1"/>
      </w:numPr>
      <w:tabs>
        <w:tab w:val="clear" w:pos="1134"/>
        <w:tab w:val="left" w:pos="624"/>
        <w:tab w:val="left" w:pos="4082"/>
      </w:tabs>
      <w:spacing w:line="259" w:lineRule="auto"/>
      <w:jc w:val="left"/>
    </w:pPr>
    <w:rPr>
      <w:sz w:val="20"/>
      <w:szCs w:val="20"/>
      <w:lang w:val="en-GB" w:eastAsia="en-US"/>
    </w:rPr>
  </w:style>
  <w:style w:type="paragraph" w:styleId="FootnoteText">
    <w:name w:val="footnote text"/>
    <w:basedOn w:val="Normal"/>
    <w:link w:val="FootnoteTextChar"/>
    <w:qFormat/>
    <w:rsid w:val="00643D56"/>
    <w:pPr>
      <w:spacing w:before="20" w:after="0" w:line="210" w:lineRule="exact"/>
      <w:ind w:left="475" w:hanging="475"/>
      <w:jc w:val="left"/>
    </w:pPr>
    <w:rPr>
      <w:spacing w:val="5"/>
      <w:w w:val="104"/>
      <w:kern w:val="14"/>
      <w:sz w:val="18"/>
      <w:szCs w:val="20"/>
      <w:lang w:val="fr-FR" w:eastAsia="en-US"/>
    </w:rPr>
  </w:style>
  <w:style w:type="character" w:customStyle="1" w:styleId="FootnoteTextChar">
    <w:name w:val="Footnote Text Char"/>
    <w:basedOn w:val="DefaultParagraphFont"/>
    <w:link w:val="FootnoteText"/>
    <w:rsid w:val="00643D56"/>
    <w:rPr>
      <w:rFonts w:ascii="Times New Roman" w:eastAsia="SimSun" w:hAnsi="Times New Roman" w:cs="Times New Roman"/>
      <w:spacing w:val="5"/>
      <w:w w:val="104"/>
      <w:kern w:val="14"/>
      <w:sz w:val="18"/>
      <w:szCs w:val="20"/>
      <w:lang w:val="fr-FR" w:eastAsia="en-US"/>
    </w:rPr>
  </w:style>
  <w:style w:type="character" w:styleId="Strong">
    <w:name w:val="Strong"/>
    <w:qFormat/>
    <w:rsid w:val="00643D56"/>
    <w:rPr>
      <w:b/>
      <w:bCs/>
    </w:rPr>
  </w:style>
  <w:style w:type="character" w:styleId="Hyperlink">
    <w:name w:val="Hyperlink"/>
    <w:basedOn w:val="DefaultParagraphFont"/>
    <w:uiPriority w:val="99"/>
    <w:qFormat/>
    <w:rsid w:val="00643D56"/>
    <w:rPr>
      <w:rFonts w:ascii="Times New Roman" w:hAnsi="Times New Roman"/>
      <w:color w:val="auto"/>
      <w:sz w:val="20"/>
      <w:szCs w:val="20"/>
      <w:u w:val="none"/>
      <w:lang w:val="fr-FR"/>
    </w:rPr>
  </w:style>
  <w:style w:type="character" w:styleId="FootnoteReference">
    <w:name w:val="footnote reference"/>
    <w:basedOn w:val="DefaultParagraphFont"/>
    <w:link w:val="BVIfnrCharCharCharChar"/>
    <w:qFormat/>
    <w:rsid w:val="00643D56"/>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643D56"/>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customStyle="1" w:styleId="CH1">
    <w:name w:val="CH1"/>
    <w:basedOn w:val="Normal"/>
    <w:next w:val="CH2"/>
    <w:qFormat/>
    <w:rsid w:val="00643D56"/>
    <w:pPr>
      <w:keepNext/>
      <w:keepLines/>
      <w:tabs>
        <w:tab w:val="right" w:pos="851"/>
        <w:tab w:val="left" w:pos="4082"/>
      </w:tabs>
      <w:suppressAutoHyphens/>
      <w:spacing w:before="240" w:line="259" w:lineRule="auto"/>
      <w:ind w:left="1247" w:right="284" w:hanging="1247"/>
      <w:jc w:val="left"/>
    </w:pPr>
    <w:rPr>
      <w:b/>
      <w:sz w:val="28"/>
      <w:szCs w:val="28"/>
      <w:lang w:val="en-GB" w:eastAsia="en-US"/>
    </w:rPr>
  </w:style>
  <w:style w:type="paragraph" w:customStyle="1" w:styleId="CH2">
    <w:name w:val="CH2"/>
    <w:basedOn w:val="Normal"/>
    <w:next w:val="Normalnumber"/>
    <w:link w:val="CH2Char"/>
    <w:rsid w:val="00643D56"/>
    <w:pPr>
      <w:keepNext/>
      <w:keepLines/>
      <w:tabs>
        <w:tab w:val="right" w:pos="851"/>
        <w:tab w:val="left" w:pos="4082"/>
      </w:tabs>
      <w:suppressAutoHyphens/>
      <w:spacing w:before="80" w:line="259" w:lineRule="auto"/>
      <w:ind w:left="1247" w:right="284" w:hanging="1247"/>
      <w:jc w:val="left"/>
    </w:pPr>
    <w:rPr>
      <w:b/>
      <w:sz w:val="24"/>
      <w:szCs w:val="24"/>
      <w:lang w:val="en-GB" w:eastAsia="en-US"/>
    </w:rPr>
  </w:style>
  <w:style w:type="paragraph" w:customStyle="1" w:styleId="Normal-pool">
    <w:name w:val="Normal-pool"/>
    <w:link w:val="Normal-poolChar"/>
    <w:qFormat/>
    <w:rsid w:val="00643D56"/>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numberChar">
    <w:name w:val="Normal_number Char"/>
    <w:link w:val="Normalnumber"/>
    <w:rsid w:val="00643D56"/>
    <w:rPr>
      <w:rFonts w:ascii="Times New Roman" w:eastAsia="SimSun" w:hAnsi="Times New Roman" w:cs="Times New Roman"/>
      <w:sz w:val="20"/>
      <w:szCs w:val="20"/>
      <w:lang w:val="en-GB" w:eastAsia="en-US"/>
    </w:rPr>
  </w:style>
  <w:style w:type="character" w:customStyle="1" w:styleId="Normal-poolChar">
    <w:name w:val="Normal-pool Char"/>
    <w:link w:val="Normal-pool"/>
    <w:rsid w:val="00643D56"/>
    <w:rPr>
      <w:rFonts w:ascii="Times New Roman" w:eastAsia="SimSun" w:hAnsi="Times New Roman" w:cs="Times New Roman"/>
      <w:sz w:val="20"/>
      <w:szCs w:val="20"/>
      <w:lang w:val="en-GB" w:eastAsia="en-US"/>
    </w:rPr>
  </w:style>
  <w:style w:type="paragraph" w:customStyle="1" w:styleId="ZZAnxtitle">
    <w:name w:val="ZZ_Anx_title"/>
    <w:basedOn w:val="Normal"/>
    <w:rsid w:val="00643D56"/>
    <w:pPr>
      <w:tabs>
        <w:tab w:val="left" w:pos="4082"/>
      </w:tabs>
      <w:spacing w:before="360" w:line="259" w:lineRule="auto"/>
      <w:ind w:left="1247"/>
      <w:jc w:val="left"/>
    </w:pPr>
    <w:rPr>
      <w:b/>
      <w:bCs/>
      <w:sz w:val="28"/>
      <w:szCs w:val="26"/>
      <w:lang w:val="en-GB" w:eastAsia="en-US"/>
    </w:rPr>
  </w:style>
  <w:style w:type="character" w:customStyle="1" w:styleId="CH2Char">
    <w:name w:val="CH2 Char"/>
    <w:link w:val="CH2"/>
    <w:qFormat/>
    <w:locked/>
    <w:rsid w:val="00643D56"/>
    <w:rPr>
      <w:rFonts w:ascii="Times New Roman" w:eastAsia="SimSun" w:hAnsi="Times New Roman" w:cs="Times New Roman"/>
      <w:b/>
      <w:sz w:val="24"/>
      <w:szCs w:val="24"/>
      <w:lang w:val="en-GB" w:eastAsia="en-US"/>
    </w:rPr>
  </w:style>
  <w:style w:type="paragraph" w:customStyle="1" w:styleId="TableParagraph">
    <w:name w:val="Table Paragraph"/>
    <w:basedOn w:val="Normal"/>
    <w:uiPriority w:val="1"/>
    <w:qFormat/>
    <w:rsid w:val="00643D56"/>
    <w:pPr>
      <w:widowControl w:val="0"/>
      <w:tabs>
        <w:tab w:val="clear" w:pos="1247"/>
        <w:tab w:val="clear" w:pos="1814"/>
        <w:tab w:val="clear" w:pos="2381"/>
        <w:tab w:val="clear" w:pos="2948"/>
        <w:tab w:val="clear" w:pos="3515"/>
      </w:tabs>
      <w:autoSpaceDE w:val="0"/>
      <w:autoSpaceDN w:val="0"/>
      <w:spacing w:before="1"/>
      <w:ind w:left="102"/>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2873</Words>
  <Characters>16379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2020-01-30T16:44:00Z</dcterms:created>
  <dcterms:modified xsi:type="dcterms:W3CDTF">2020-01-30T16:46:00Z</dcterms:modified>
</cp:coreProperties>
</file>