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268" w:rsidRPr="00A64B50" w:rsidRDefault="00196268" w:rsidP="00196268">
      <w:pPr>
        <w:widowControl w:val="0"/>
        <w:tabs>
          <w:tab w:val="clear" w:pos="2381"/>
          <w:tab w:val="left" w:pos="2520"/>
        </w:tabs>
        <w:spacing w:before="240" w:after="120"/>
        <w:ind w:left="1267"/>
        <w:rPr>
          <w:rFonts w:eastAsia="SimHei"/>
          <w:b/>
          <w:sz w:val="28"/>
          <w:szCs w:val="24"/>
          <w:lang w:eastAsia="zh-CN"/>
        </w:rPr>
      </w:pPr>
      <w:r w:rsidRPr="00A64B50">
        <w:rPr>
          <w:rFonts w:eastAsia="SimHei"/>
          <w:b/>
          <w:sz w:val="28"/>
          <w:szCs w:val="24"/>
          <w:lang w:eastAsia="zh-CN"/>
        </w:rPr>
        <w:t>BC-13/11</w:t>
      </w:r>
      <w:r w:rsidRPr="00A64B50">
        <w:rPr>
          <w:rFonts w:eastAsia="SimHei"/>
          <w:b/>
          <w:sz w:val="28"/>
          <w:szCs w:val="24"/>
          <w:lang w:eastAsia="zh-CN"/>
        </w:rPr>
        <w:t>：技术援助</w:t>
      </w:r>
    </w:p>
    <w:p w:rsidR="00196268" w:rsidRPr="00A64B50" w:rsidRDefault="00196268" w:rsidP="00196268">
      <w:pPr>
        <w:tabs>
          <w:tab w:val="left" w:pos="624"/>
        </w:tabs>
        <w:spacing w:after="120"/>
        <w:ind w:left="1247" w:firstLine="624"/>
        <w:jc w:val="both"/>
        <w:outlineLvl w:val="0"/>
        <w:rPr>
          <w:rFonts w:eastAsia="KaiTi"/>
          <w:sz w:val="24"/>
          <w:lang w:eastAsia="zh-CN"/>
        </w:rPr>
      </w:pPr>
      <w:r w:rsidRPr="00A64B50">
        <w:rPr>
          <w:rFonts w:eastAsia="KaiTi"/>
          <w:sz w:val="24"/>
          <w:lang w:eastAsia="zh-CN"/>
        </w:rPr>
        <w:t>缔约方大会，</w:t>
      </w:r>
      <w:r>
        <w:rPr>
          <w:rFonts w:eastAsia="KaiTi"/>
          <w:sz w:val="24"/>
          <w:lang w:eastAsia="zh-CN"/>
        </w:rPr>
        <w:tab/>
      </w:r>
    </w:p>
    <w:p w:rsidR="00196268" w:rsidRPr="00A64B50" w:rsidRDefault="00196268" w:rsidP="00196268">
      <w:pPr>
        <w:tabs>
          <w:tab w:val="left" w:pos="624"/>
        </w:tabs>
        <w:spacing w:before="120" w:after="120"/>
        <w:ind w:left="1253" w:firstLine="619"/>
        <w:jc w:val="center"/>
        <w:outlineLvl w:val="0"/>
        <w:rPr>
          <w:rFonts w:eastAsia="SimHei"/>
          <w:b/>
          <w:sz w:val="24"/>
          <w:lang w:eastAsia="zh-CN"/>
        </w:rPr>
      </w:pPr>
      <w:r w:rsidRPr="00A64B50">
        <w:rPr>
          <w:rFonts w:eastAsia="SimHei"/>
          <w:b/>
          <w:sz w:val="24"/>
          <w:lang w:eastAsia="zh-CN"/>
        </w:rPr>
        <w:t>一</w:t>
      </w:r>
    </w:p>
    <w:p w:rsidR="00196268" w:rsidRPr="00A64B50" w:rsidRDefault="00196268" w:rsidP="00196268">
      <w:pPr>
        <w:tabs>
          <w:tab w:val="left" w:pos="624"/>
        </w:tabs>
        <w:spacing w:before="80" w:after="120"/>
        <w:ind w:left="1253" w:firstLine="619"/>
        <w:jc w:val="center"/>
        <w:outlineLvl w:val="0"/>
        <w:rPr>
          <w:rFonts w:eastAsia="SimHei"/>
          <w:b/>
          <w:i/>
          <w:sz w:val="24"/>
          <w:lang w:eastAsia="zh-CN"/>
        </w:rPr>
      </w:pPr>
      <w:r w:rsidRPr="00A64B50">
        <w:rPr>
          <w:rFonts w:eastAsia="SimHei"/>
          <w:b/>
          <w:sz w:val="24"/>
          <w:lang w:eastAsia="zh-CN"/>
        </w:rPr>
        <w:t>技术援助</w:t>
      </w:r>
    </w:p>
    <w:p w:rsidR="00196268" w:rsidRPr="00A64B50" w:rsidRDefault="00196268" w:rsidP="00196268">
      <w:pPr>
        <w:pStyle w:val="Normal-pool"/>
        <w:tabs>
          <w:tab w:val="left" w:pos="624"/>
        </w:tabs>
        <w:spacing w:after="120"/>
        <w:ind w:left="1247" w:firstLine="624"/>
        <w:jc w:val="both"/>
        <w:rPr>
          <w:color w:val="000000" w:themeColor="text1"/>
          <w:sz w:val="24"/>
          <w:lang w:eastAsia="zh-CN"/>
        </w:rPr>
      </w:pPr>
      <w:r w:rsidRPr="00A64B50">
        <w:rPr>
          <w:rFonts w:eastAsia="KaiTi"/>
          <w:sz w:val="24"/>
          <w:lang w:eastAsia="zh-CN"/>
        </w:rPr>
        <w:t>注意到</w:t>
      </w:r>
      <w:r w:rsidRPr="00A64B50">
        <w:rPr>
          <w:color w:val="000000" w:themeColor="text1"/>
          <w:sz w:val="24"/>
          <w:lang w:eastAsia="zh-CN"/>
        </w:rPr>
        <w:t>关于全面审查协同增效安排的报告</w:t>
      </w:r>
      <w:r w:rsidRPr="00A64B50">
        <w:rPr>
          <w:rStyle w:val="FootnoteReference"/>
          <w:color w:val="000000" w:themeColor="text1"/>
          <w:sz w:val="24"/>
        </w:rPr>
        <w:footnoteReference w:id="1"/>
      </w:r>
      <w:r w:rsidRPr="00A64B50">
        <w:rPr>
          <w:color w:val="000000" w:themeColor="text1"/>
          <w:sz w:val="24"/>
          <w:lang w:eastAsia="zh-CN"/>
        </w:rPr>
        <w:t>所载的建议，</w:t>
      </w:r>
    </w:p>
    <w:p w:rsidR="00196268" w:rsidRPr="00A64B50" w:rsidRDefault="00196268" w:rsidP="00196268">
      <w:pPr>
        <w:pStyle w:val="Normal-pool"/>
        <w:numPr>
          <w:ilvl w:val="0"/>
          <w:numId w:val="2"/>
        </w:numPr>
        <w:tabs>
          <w:tab w:val="left" w:pos="624"/>
        </w:tabs>
        <w:spacing w:after="120"/>
        <w:ind w:left="1247" w:firstLine="624"/>
        <w:jc w:val="both"/>
        <w:rPr>
          <w:color w:val="000000" w:themeColor="text1"/>
          <w:sz w:val="24"/>
          <w:lang w:eastAsia="zh-CN"/>
        </w:rPr>
      </w:pPr>
      <w:r w:rsidRPr="00A64B50">
        <w:rPr>
          <w:rFonts w:eastAsia="KaiTi"/>
          <w:sz w:val="24"/>
          <w:lang w:eastAsia="zh-CN"/>
        </w:rPr>
        <w:t>请</w:t>
      </w:r>
      <w:r w:rsidRPr="00A64B50">
        <w:rPr>
          <w:color w:val="000000" w:themeColor="text1"/>
          <w:sz w:val="24"/>
          <w:lang w:eastAsia="zh-CN"/>
        </w:rPr>
        <w:t xml:space="preserve">秘书处继续通过为此目的建立的数据库，收集关于发展中国家缔约方和处于经济转型期的缔约方的技术援助和能力建设需求的信息； </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i/>
          <w:color w:val="000000" w:themeColor="text1"/>
          <w:sz w:val="24"/>
          <w:lang w:eastAsia="zh-CN"/>
        </w:rPr>
        <w:t xml:space="preserve"> </w:t>
      </w:r>
      <w:r w:rsidRPr="00A64B50">
        <w:rPr>
          <w:rFonts w:eastAsia="KaiTi"/>
          <w:sz w:val="24"/>
          <w:lang w:eastAsia="zh-CN"/>
        </w:rPr>
        <w:t>欢迎</w:t>
      </w:r>
      <w:r w:rsidRPr="00A64B50">
        <w:rPr>
          <w:rFonts w:eastAsia="SimSun"/>
          <w:sz w:val="24"/>
          <w:lang w:eastAsia="zh-CN"/>
        </w:rPr>
        <w:t>用于在</w:t>
      </w:r>
      <w:r w:rsidRPr="00A64B50">
        <w:rPr>
          <w:rFonts w:eastAsia="SimSun"/>
          <w:sz w:val="24"/>
          <w:lang w:eastAsia="zh-CN"/>
        </w:rPr>
        <w:t>2018-2021</w:t>
      </w:r>
      <w:r w:rsidRPr="00A64B50">
        <w:rPr>
          <w:rFonts w:eastAsia="SimSun"/>
          <w:sz w:val="24"/>
          <w:lang w:eastAsia="zh-CN"/>
        </w:rPr>
        <w:t>年期间实施《巴塞尔公约》、《关于在国际贸易中对某些危险化学品和农药采用事先知情同意程序的鹿特丹公约》和《关于持久性有机污染物的斯德哥尔摩公约》的技术援助计划，</w:t>
      </w:r>
      <w:r w:rsidRPr="00A64B50">
        <w:rPr>
          <w:rFonts w:eastAsia="SimSun"/>
          <w:sz w:val="24"/>
          <w:vertAlign w:val="superscript"/>
          <w:lang w:eastAsia="zh-CN"/>
        </w:rPr>
        <w:footnoteReference w:id="2"/>
      </w:r>
      <w:r w:rsidRPr="00A64B50">
        <w:rPr>
          <w:rFonts w:eastAsia="SimSun"/>
          <w:sz w:val="24"/>
          <w:lang w:eastAsia="zh-CN"/>
        </w:rPr>
        <w:t>并请秘书处视资源情况加以落实，同时与相关行动方合作，努力吸引相关国际组织的方案建设能力和财政资源；</w:t>
      </w:r>
    </w:p>
    <w:p w:rsidR="00196268" w:rsidRPr="00A64B50" w:rsidRDefault="00196268" w:rsidP="00196268">
      <w:pPr>
        <w:pStyle w:val="Normal-pool"/>
        <w:numPr>
          <w:ilvl w:val="0"/>
          <w:numId w:val="2"/>
        </w:numPr>
        <w:tabs>
          <w:tab w:val="left" w:pos="624"/>
        </w:tabs>
        <w:spacing w:after="120"/>
        <w:ind w:left="1247" w:firstLine="624"/>
        <w:jc w:val="both"/>
        <w:rPr>
          <w:color w:val="000000" w:themeColor="text1"/>
          <w:sz w:val="24"/>
          <w:lang w:eastAsia="zh-CN"/>
        </w:rPr>
      </w:pPr>
      <w:r w:rsidRPr="00A64B50">
        <w:rPr>
          <w:rFonts w:eastAsia="KaiTi"/>
          <w:sz w:val="24"/>
          <w:lang w:eastAsia="zh-CN"/>
        </w:rPr>
        <w:t>鼓励</w:t>
      </w:r>
      <w:r w:rsidRPr="00A64B50">
        <w:rPr>
          <w:rFonts w:eastAsia="SimSun"/>
          <w:color w:val="000000" w:themeColor="text1"/>
          <w:sz w:val="24"/>
          <w:lang w:eastAsia="zh-CN"/>
        </w:rPr>
        <w:t>各缔约方、区域中心和其他各方</w:t>
      </w:r>
      <w:r w:rsidRPr="00A64B50">
        <w:rPr>
          <w:color w:val="000000" w:themeColor="text1"/>
          <w:sz w:val="24"/>
          <w:lang w:eastAsia="zh-CN"/>
        </w:rPr>
        <w:t xml:space="preserve">： </w:t>
      </w:r>
    </w:p>
    <w:p w:rsidR="00196268" w:rsidRPr="00A64B50" w:rsidRDefault="00196268" w:rsidP="00196268">
      <w:pPr>
        <w:pStyle w:val="Normal-pool"/>
        <w:numPr>
          <w:ilvl w:val="1"/>
          <w:numId w:val="3"/>
        </w:numPr>
        <w:tabs>
          <w:tab w:val="left" w:pos="624"/>
        </w:tabs>
        <w:spacing w:after="120"/>
        <w:ind w:left="1247" w:firstLine="553"/>
        <w:jc w:val="both"/>
        <w:rPr>
          <w:rFonts w:eastAsia="SimSun"/>
          <w:color w:val="000000" w:themeColor="text1"/>
          <w:sz w:val="24"/>
          <w:lang w:eastAsia="zh-CN"/>
        </w:rPr>
      </w:pPr>
      <w:r w:rsidRPr="00A64B50">
        <w:rPr>
          <w:rFonts w:eastAsia="SimSun"/>
          <w:color w:val="000000" w:themeColor="text1"/>
          <w:sz w:val="24"/>
          <w:lang w:eastAsia="zh-CN"/>
        </w:rPr>
        <w:t>进行财政或物资捐助，以便于提供用合适的官方地区语言筹备的能力建设材料和活动；</w:t>
      </w:r>
      <w:r w:rsidRPr="00A64B50">
        <w:rPr>
          <w:rFonts w:eastAsia="SimSun"/>
          <w:color w:val="000000" w:themeColor="text1"/>
          <w:sz w:val="24"/>
          <w:lang w:eastAsia="zh-CN"/>
        </w:rPr>
        <w:t xml:space="preserve"> </w:t>
      </w:r>
    </w:p>
    <w:p w:rsidR="00196268" w:rsidRPr="00A64B50" w:rsidRDefault="00196268" w:rsidP="00196268">
      <w:pPr>
        <w:pStyle w:val="Normal-pool"/>
        <w:numPr>
          <w:ilvl w:val="1"/>
          <w:numId w:val="3"/>
        </w:numPr>
        <w:tabs>
          <w:tab w:val="left" w:pos="624"/>
        </w:tabs>
        <w:spacing w:after="120"/>
        <w:ind w:left="1247" w:firstLine="553"/>
        <w:jc w:val="both"/>
        <w:rPr>
          <w:rFonts w:eastAsia="SimSun"/>
          <w:color w:val="000000" w:themeColor="text1"/>
          <w:sz w:val="24"/>
          <w:lang w:eastAsia="zh-CN"/>
        </w:rPr>
      </w:pPr>
      <w:r w:rsidRPr="00A64B50">
        <w:rPr>
          <w:rFonts w:eastAsia="SimSun"/>
          <w:color w:val="000000" w:themeColor="text1"/>
          <w:sz w:val="24"/>
          <w:lang w:eastAsia="zh-CN"/>
        </w:rPr>
        <w:t>酌情以官方地方语言开展能力建设活动；</w:t>
      </w:r>
      <w:r w:rsidRPr="00A64B50">
        <w:rPr>
          <w:rStyle w:val="FootnoteReference"/>
          <w:color w:val="000000" w:themeColor="text1"/>
          <w:sz w:val="24"/>
          <w:lang w:eastAsia="zh-CN"/>
        </w:rPr>
        <w:t xml:space="preserve"> </w:t>
      </w:r>
      <w:r w:rsidRPr="00A64B50">
        <w:rPr>
          <w:rFonts w:eastAsia="SimSun"/>
          <w:color w:val="000000" w:themeColor="text1"/>
          <w:sz w:val="24"/>
          <w:lang w:eastAsia="zh-CN"/>
        </w:rPr>
        <w:t xml:space="preserve">  </w:t>
      </w:r>
    </w:p>
    <w:p w:rsidR="00196268" w:rsidRPr="00A64B50" w:rsidRDefault="00196268" w:rsidP="00196268">
      <w:pPr>
        <w:pStyle w:val="Normal-pool"/>
        <w:numPr>
          <w:ilvl w:val="0"/>
          <w:numId w:val="2"/>
        </w:numPr>
        <w:tabs>
          <w:tab w:val="left" w:pos="624"/>
        </w:tabs>
        <w:spacing w:after="120"/>
        <w:ind w:left="1247" w:firstLine="624"/>
        <w:jc w:val="both"/>
        <w:rPr>
          <w:rFonts w:eastAsia="SimSun"/>
          <w:color w:val="000000" w:themeColor="text1"/>
          <w:sz w:val="24"/>
          <w:lang w:eastAsia="zh-CN"/>
        </w:rPr>
      </w:pPr>
      <w:r w:rsidRPr="00A64B50">
        <w:rPr>
          <w:rFonts w:eastAsia="KaiTi"/>
          <w:sz w:val="24"/>
          <w:lang w:eastAsia="zh-CN"/>
        </w:rPr>
        <w:t>请</w:t>
      </w:r>
      <w:r w:rsidRPr="00A64B50">
        <w:rPr>
          <w:rFonts w:eastAsia="SimSun"/>
          <w:color w:val="000000" w:themeColor="text1"/>
          <w:sz w:val="24"/>
          <w:lang w:eastAsia="zh-CN"/>
        </w:rPr>
        <w:t>秘书处与各国际组织合作，在上述第</w:t>
      </w:r>
      <w:r w:rsidRPr="00A64B50">
        <w:rPr>
          <w:rFonts w:eastAsia="SimSun"/>
          <w:color w:val="000000" w:themeColor="text1"/>
          <w:sz w:val="24"/>
          <w:lang w:eastAsia="zh-CN"/>
        </w:rPr>
        <w:t>2</w:t>
      </w:r>
      <w:r w:rsidRPr="00A64B50">
        <w:rPr>
          <w:rFonts w:eastAsia="SimSun"/>
          <w:color w:val="000000" w:themeColor="text1"/>
          <w:sz w:val="24"/>
          <w:lang w:eastAsia="zh-CN"/>
        </w:rPr>
        <w:t>段所提到的技术援助计划方面探索协助北南、南南以及三角合作的更多方式；</w:t>
      </w:r>
      <w:r w:rsidRPr="00A64B50">
        <w:rPr>
          <w:rFonts w:eastAsia="SimSun"/>
          <w:color w:val="000000" w:themeColor="text1"/>
          <w:sz w:val="24"/>
          <w:lang w:eastAsia="zh-CN"/>
        </w:rPr>
        <w:t xml:space="preserve"> </w:t>
      </w:r>
    </w:p>
    <w:p w:rsidR="00196268" w:rsidRPr="00A64B50" w:rsidRDefault="00196268" w:rsidP="00196268">
      <w:pPr>
        <w:pStyle w:val="Normal-pool"/>
        <w:numPr>
          <w:ilvl w:val="0"/>
          <w:numId w:val="2"/>
        </w:numPr>
        <w:tabs>
          <w:tab w:val="left" w:pos="624"/>
        </w:tabs>
        <w:spacing w:after="120"/>
        <w:ind w:left="1247" w:firstLine="624"/>
        <w:jc w:val="both"/>
        <w:rPr>
          <w:rFonts w:eastAsia="SimSun"/>
          <w:color w:val="000000" w:themeColor="text1"/>
          <w:spacing w:val="6"/>
          <w:sz w:val="24"/>
          <w:lang w:eastAsia="zh-CN"/>
        </w:rPr>
      </w:pPr>
      <w:r w:rsidRPr="00A64B50">
        <w:rPr>
          <w:rFonts w:eastAsia="KaiTi"/>
          <w:sz w:val="24"/>
          <w:lang w:eastAsia="zh-CN"/>
        </w:rPr>
        <w:t>强调</w:t>
      </w:r>
      <w:r w:rsidRPr="00A64B50">
        <w:rPr>
          <w:rFonts w:eastAsia="SimSun"/>
          <w:color w:val="000000" w:themeColor="text1"/>
          <w:sz w:val="24"/>
          <w:lang w:eastAsia="zh-CN"/>
        </w:rPr>
        <w:t>《巴塞尔公约》和《关于持久性有机污染物的斯德哥尔摩公约》条款所载的区域中心，以及联合国粮食及农业组织、联合国环境规划署和组织间健全管理化学品方案其他参与组织的区域、次区域和国家办公室的作用，即在收到请求后立即于区域层面提供技术援助以使</w:t>
      </w:r>
      <w:r w:rsidRPr="00A64B50">
        <w:rPr>
          <w:rFonts w:eastAsia="SimSun"/>
          <w:sz w:val="24"/>
          <w:lang w:eastAsia="zh-CN"/>
        </w:rPr>
        <w:t>《巴塞尔公约》、《关于在国际贸易中对某些危险化学品和农药采用事先知情同意程序的鹿特丹公约》和《斯德哥尔摩公约》</w:t>
      </w:r>
      <w:r w:rsidRPr="00A64B50">
        <w:rPr>
          <w:rFonts w:eastAsia="SimSun"/>
          <w:color w:val="000000" w:themeColor="text1"/>
          <w:spacing w:val="6"/>
          <w:sz w:val="24"/>
          <w:lang w:eastAsia="zh-CN"/>
        </w:rPr>
        <w:t>得到落实，以及提供便利以向有资格的缔约方提供技术转让；</w:t>
      </w:r>
    </w:p>
    <w:p w:rsidR="00196268" w:rsidRPr="00A64B50" w:rsidRDefault="00196268" w:rsidP="00196268">
      <w:pPr>
        <w:pStyle w:val="Normal-pool"/>
        <w:numPr>
          <w:ilvl w:val="0"/>
          <w:numId w:val="2"/>
        </w:numPr>
        <w:tabs>
          <w:tab w:val="left" w:pos="624"/>
        </w:tabs>
        <w:spacing w:after="120"/>
        <w:ind w:left="1247" w:firstLine="624"/>
        <w:jc w:val="both"/>
        <w:rPr>
          <w:color w:val="000000" w:themeColor="text1"/>
          <w:sz w:val="24"/>
          <w:lang w:eastAsia="zh-CN"/>
        </w:rPr>
      </w:pPr>
      <w:r w:rsidRPr="00A64B50">
        <w:rPr>
          <w:rFonts w:eastAsia="KaiTi"/>
          <w:sz w:val="24"/>
          <w:lang w:eastAsia="zh-CN"/>
        </w:rPr>
        <w:t>欢迎</w:t>
      </w:r>
      <w:r w:rsidRPr="00A64B50">
        <w:rPr>
          <w:rFonts w:eastAsia="SimSun"/>
          <w:color w:val="000000" w:themeColor="text1"/>
          <w:sz w:val="24"/>
          <w:lang w:eastAsia="zh-CN"/>
        </w:rPr>
        <w:t>联合国环境大会的决议，该决议强调了巴塞尔和斯德哥尔摩公约区域中心在协助各地区实施两大公约以及其他涉及区域中心所在国化学品和废物群的多边环境协议相关工作的作用；</w:t>
      </w:r>
      <w:r w:rsidRPr="00A64B50">
        <w:rPr>
          <w:rStyle w:val="FootnoteReference"/>
          <w:color w:val="000000" w:themeColor="text1"/>
          <w:sz w:val="24"/>
        </w:rPr>
        <w:footnoteReference w:id="3"/>
      </w:r>
    </w:p>
    <w:p w:rsidR="00196268" w:rsidRPr="00A64B50" w:rsidRDefault="00196268" w:rsidP="00196268">
      <w:pPr>
        <w:pStyle w:val="Normal-pool"/>
        <w:numPr>
          <w:ilvl w:val="0"/>
          <w:numId w:val="2"/>
        </w:numPr>
        <w:tabs>
          <w:tab w:val="left" w:pos="624"/>
        </w:tabs>
        <w:spacing w:after="120"/>
        <w:ind w:left="1247" w:firstLine="624"/>
        <w:jc w:val="both"/>
        <w:rPr>
          <w:color w:val="000000" w:themeColor="text1"/>
          <w:sz w:val="24"/>
          <w:lang w:eastAsia="zh-CN"/>
        </w:rPr>
      </w:pPr>
      <w:r w:rsidRPr="00A64B50">
        <w:rPr>
          <w:rFonts w:eastAsia="KaiTi"/>
          <w:sz w:val="24"/>
          <w:lang w:eastAsia="zh-CN"/>
        </w:rPr>
        <w:lastRenderedPageBreak/>
        <w:t>请</w:t>
      </w:r>
      <w:r w:rsidRPr="00A64B50">
        <w:rPr>
          <w:rFonts w:eastAsia="SimSun"/>
          <w:sz w:val="24"/>
          <w:lang w:eastAsia="zh-CN"/>
        </w:rPr>
        <w:t>秘书处编写一份关于实施</w:t>
      </w:r>
      <w:r w:rsidRPr="00A64B50">
        <w:rPr>
          <w:rFonts w:eastAsia="SimSun"/>
          <w:sz w:val="24"/>
          <w:lang w:eastAsia="zh-CN"/>
        </w:rPr>
        <w:t>2018-2021</w:t>
      </w:r>
      <w:r w:rsidRPr="00A64B50">
        <w:rPr>
          <w:rFonts w:eastAsia="SimSun"/>
          <w:sz w:val="24"/>
          <w:lang w:eastAsia="zh-CN"/>
        </w:rPr>
        <w:t>年期间技术援助计划的报告，包括酌情为计划作调整，以供缔约方大会第十四次审议</w:t>
      </w:r>
      <w:r w:rsidRPr="00A64B50">
        <w:rPr>
          <w:sz w:val="24"/>
          <w:lang w:eastAsia="zh-CN"/>
        </w:rPr>
        <w:t>；</w:t>
      </w:r>
    </w:p>
    <w:p w:rsidR="00196268" w:rsidRPr="00A64B50" w:rsidRDefault="00196268" w:rsidP="00196268">
      <w:pPr>
        <w:tabs>
          <w:tab w:val="left" w:pos="624"/>
        </w:tabs>
        <w:spacing w:before="120" w:after="120"/>
        <w:ind w:left="1253" w:firstLine="619"/>
        <w:jc w:val="center"/>
        <w:outlineLvl w:val="0"/>
        <w:rPr>
          <w:rFonts w:eastAsia="SimHei"/>
          <w:b/>
          <w:sz w:val="24"/>
          <w:lang w:eastAsia="zh-CN"/>
        </w:rPr>
      </w:pPr>
      <w:r w:rsidRPr="00A64B50">
        <w:rPr>
          <w:rFonts w:eastAsia="SimHei"/>
          <w:b/>
          <w:sz w:val="24"/>
          <w:lang w:eastAsia="zh-CN"/>
        </w:rPr>
        <w:t>二</w:t>
      </w:r>
    </w:p>
    <w:p w:rsidR="00196268" w:rsidRPr="00A64B50" w:rsidRDefault="00196268" w:rsidP="00196268">
      <w:pPr>
        <w:tabs>
          <w:tab w:val="left" w:pos="624"/>
        </w:tabs>
        <w:spacing w:before="80" w:after="120"/>
        <w:ind w:left="1253" w:firstLine="619"/>
        <w:jc w:val="center"/>
        <w:outlineLvl w:val="0"/>
        <w:rPr>
          <w:rFonts w:eastAsia="SimHei"/>
          <w:b/>
          <w:sz w:val="24"/>
          <w:lang w:eastAsia="zh-CN"/>
        </w:rPr>
      </w:pPr>
      <w:r w:rsidRPr="00A64B50">
        <w:rPr>
          <w:rFonts w:eastAsia="SimHei"/>
          <w:b/>
          <w:sz w:val="24"/>
          <w:lang w:eastAsia="zh-CN"/>
        </w:rPr>
        <w:t>巴塞尔公约区域中心和协调中心</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表示注意到</w:t>
      </w:r>
      <w:r w:rsidRPr="00A64B50">
        <w:rPr>
          <w:rFonts w:eastAsia="SimSun"/>
          <w:sz w:val="24"/>
          <w:lang w:eastAsia="zh-CN"/>
        </w:rPr>
        <w:t>：</w:t>
      </w:r>
    </w:p>
    <w:p w:rsidR="00196268" w:rsidRPr="00A64B50" w:rsidRDefault="00196268" w:rsidP="00196268">
      <w:pPr>
        <w:pStyle w:val="Normalnumber"/>
        <w:numPr>
          <w:ilvl w:val="0"/>
          <w:numId w:val="4"/>
        </w:numPr>
        <w:tabs>
          <w:tab w:val="clear" w:pos="1247"/>
          <w:tab w:val="clear" w:pos="1814"/>
          <w:tab w:val="clear" w:pos="2381"/>
          <w:tab w:val="clear" w:pos="2948"/>
          <w:tab w:val="clear" w:pos="3515"/>
          <w:tab w:val="clear" w:pos="4082"/>
          <w:tab w:val="left" w:pos="2430"/>
        </w:tabs>
        <w:ind w:left="1260" w:firstLine="540"/>
        <w:jc w:val="both"/>
        <w:rPr>
          <w:rFonts w:eastAsia="SimSun"/>
          <w:spacing w:val="8"/>
          <w:sz w:val="24"/>
          <w:szCs w:val="24"/>
          <w:lang w:val="zh-CN" w:eastAsia="zh-CN"/>
        </w:rPr>
      </w:pPr>
      <w:r w:rsidRPr="00A64B50">
        <w:rPr>
          <w:rFonts w:eastAsia="SimSun"/>
          <w:spacing w:val="2"/>
          <w:sz w:val="24"/>
          <w:szCs w:val="24"/>
          <w:lang w:val="zh-CN" w:eastAsia="zh-CN"/>
        </w:rPr>
        <w:t>由各巴塞尔公约区域中心和协调中心提交的</w:t>
      </w:r>
      <w:r w:rsidRPr="00A64B50">
        <w:rPr>
          <w:rFonts w:eastAsia="SimSun"/>
          <w:spacing w:val="2"/>
          <w:sz w:val="24"/>
          <w:szCs w:val="24"/>
          <w:lang w:val="zh-CN" w:eastAsia="zh-CN"/>
        </w:rPr>
        <w:t>2016</w:t>
      </w:r>
      <w:r w:rsidRPr="00A64B50">
        <w:rPr>
          <w:rFonts w:eastAsia="SimSun"/>
          <w:spacing w:val="2"/>
          <w:sz w:val="24"/>
          <w:szCs w:val="24"/>
          <w:lang w:val="zh-CN" w:eastAsia="zh-CN"/>
        </w:rPr>
        <w:t>年</w:t>
      </w:r>
      <w:r w:rsidRPr="00A64B50">
        <w:rPr>
          <w:rFonts w:eastAsia="SimSun"/>
          <w:spacing w:val="2"/>
          <w:sz w:val="24"/>
          <w:szCs w:val="24"/>
          <w:lang w:val="zh-CN" w:eastAsia="zh-CN"/>
        </w:rPr>
        <w:t>1</w:t>
      </w:r>
      <w:r w:rsidRPr="00A64B50">
        <w:rPr>
          <w:rFonts w:eastAsia="SimSun"/>
          <w:spacing w:val="2"/>
          <w:sz w:val="24"/>
          <w:szCs w:val="24"/>
          <w:lang w:val="zh-CN" w:eastAsia="zh-CN"/>
        </w:rPr>
        <w:t>月至</w:t>
      </w:r>
      <w:r w:rsidRPr="00A64B50">
        <w:rPr>
          <w:rFonts w:eastAsia="SimSun"/>
          <w:spacing w:val="8"/>
          <w:sz w:val="24"/>
          <w:szCs w:val="24"/>
          <w:lang w:val="zh-CN" w:eastAsia="zh-CN"/>
        </w:rPr>
        <w:t>2019</w:t>
      </w:r>
      <w:r w:rsidRPr="00A64B50">
        <w:rPr>
          <w:rFonts w:eastAsia="SimSun"/>
          <w:spacing w:val="8"/>
          <w:sz w:val="24"/>
          <w:szCs w:val="24"/>
          <w:lang w:val="zh-CN" w:eastAsia="zh-CN"/>
        </w:rPr>
        <w:t>年</w:t>
      </w:r>
      <w:r w:rsidRPr="00A64B50">
        <w:rPr>
          <w:rFonts w:eastAsia="SimSun"/>
          <w:spacing w:val="8"/>
          <w:sz w:val="24"/>
          <w:szCs w:val="24"/>
          <w:lang w:val="zh-CN" w:eastAsia="zh-CN"/>
        </w:rPr>
        <w:t>12</w:t>
      </w:r>
      <w:r w:rsidRPr="00A64B50">
        <w:rPr>
          <w:rFonts w:eastAsia="SimSun"/>
          <w:spacing w:val="8"/>
          <w:sz w:val="24"/>
          <w:szCs w:val="24"/>
          <w:lang w:val="zh-CN" w:eastAsia="zh-CN"/>
        </w:rPr>
        <w:t>月期间的业务计划</w:t>
      </w:r>
      <w:r w:rsidRPr="00A64B50">
        <w:rPr>
          <w:rFonts w:eastAsia="SimSun"/>
          <w:spacing w:val="8"/>
          <w:sz w:val="24"/>
          <w:szCs w:val="24"/>
          <w:vertAlign w:val="superscript"/>
          <w:lang w:eastAsia="zh-CN"/>
        </w:rPr>
        <w:footnoteReference w:id="4"/>
      </w:r>
      <w:r w:rsidRPr="00A64B50">
        <w:rPr>
          <w:rFonts w:eastAsia="SimSun"/>
          <w:spacing w:val="8"/>
          <w:sz w:val="24"/>
          <w:szCs w:val="24"/>
          <w:lang w:val="zh-CN" w:eastAsia="zh-CN"/>
        </w:rPr>
        <w:t>以及</w:t>
      </w:r>
      <w:r w:rsidRPr="00A64B50">
        <w:rPr>
          <w:rFonts w:eastAsia="SimSun"/>
          <w:spacing w:val="-10"/>
          <w:sz w:val="24"/>
          <w:szCs w:val="24"/>
          <w:lang w:val="zh-CN" w:eastAsia="zh-CN"/>
        </w:rPr>
        <w:t>2015</w:t>
      </w:r>
      <w:r w:rsidRPr="00A64B50">
        <w:rPr>
          <w:rFonts w:eastAsia="SimSun"/>
          <w:spacing w:val="-10"/>
          <w:sz w:val="24"/>
          <w:szCs w:val="24"/>
          <w:lang w:val="zh-CN" w:eastAsia="zh-CN"/>
        </w:rPr>
        <w:t>年</w:t>
      </w:r>
      <w:r w:rsidRPr="00A64B50">
        <w:rPr>
          <w:rFonts w:eastAsia="SimSun"/>
          <w:spacing w:val="-10"/>
          <w:sz w:val="24"/>
          <w:szCs w:val="24"/>
          <w:lang w:val="zh-CN" w:eastAsia="zh-CN"/>
        </w:rPr>
        <w:t>1</w:t>
      </w:r>
      <w:r w:rsidRPr="00A64B50">
        <w:rPr>
          <w:rFonts w:eastAsia="SimSun"/>
          <w:spacing w:val="-10"/>
          <w:sz w:val="24"/>
          <w:szCs w:val="24"/>
          <w:lang w:val="zh-CN" w:eastAsia="zh-CN"/>
        </w:rPr>
        <w:t>月至</w:t>
      </w:r>
      <w:r w:rsidRPr="00A64B50">
        <w:rPr>
          <w:rFonts w:eastAsia="SimSun"/>
          <w:spacing w:val="-10"/>
          <w:sz w:val="24"/>
          <w:szCs w:val="24"/>
          <w:lang w:val="zh-CN" w:eastAsia="zh-CN"/>
        </w:rPr>
        <w:t>2016</w:t>
      </w:r>
      <w:r w:rsidRPr="00A64B50">
        <w:rPr>
          <w:rFonts w:eastAsia="SimSun"/>
          <w:spacing w:val="-10"/>
          <w:sz w:val="24"/>
          <w:szCs w:val="24"/>
          <w:lang w:val="zh-CN" w:eastAsia="zh-CN"/>
        </w:rPr>
        <w:t>年</w:t>
      </w:r>
      <w:r w:rsidRPr="00A64B50">
        <w:rPr>
          <w:rFonts w:eastAsia="SimSun"/>
          <w:spacing w:val="-10"/>
          <w:sz w:val="24"/>
          <w:szCs w:val="24"/>
          <w:lang w:val="zh-CN" w:eastAsia="zh-CN"/>
        </w:rPr>
        <w:t>12</w:t>
      </w:r>
      <w:r w:rsidRPr="00A64B50">
        <w:rPr>
          <w:rFonts w:eastAsia="SimSun"/>
          <w:spacing w:val="-10"/>
          <w:sz w:val="24"/>
          <w:szCs w:val="24"/>
          <w:lang w:val="zh-CN" w:eastAsia="zh-CN"/>
        </w:rPr>
        <w:t>月</w:t>
      </w:r>
      <w:r w:rsidRPr="00A64B50">
        <w:rPr>
          <w:rFonts w:eastAsia="SimSun"/>
          <w:spacing w:val="2"/>
          <w:sz w:val="24"/>
          <w:szCs w:val="24"/>
          <w:lang w:val="zh-CN" w:eastAsia="zh-CN"/>
        </w:rPr>
        <w:t>期间的</w:t>
      </w:r>
      <w:r w:rsidRPr="00A64B50">
        <w:rPr>
          <w:rFonts w:eastAsia="SimSun"/>
          <w:spacing w:val="8"/>
          <w:sz w:val="24"/>
          <w:szCs w:val="24"/>
          <w:lang w:val="zh-CN" w:eastAsia="zh-CN"/>
        </w:rPr>
        <w:t>活动报告；</w:t>
      </w:r>
      <w:r w:rsidRPr="00A64B50">
        <w:rPr>
          <w:rFonts w:eastAsia="SimSun"/>
          <w:spacing w:val="8"/>
          <w:sz w:val="24"/>
          <w:szCs w:val="24"/>
          <w:vertAlign w:val="superscript"/>
          <w:lang w:eastAsia="zh-CN"/>
        </w:rPr>
        <w:footnoteReference w:id="5"/>
      </w:r>
    </w:p>
    <w:p w:rsidR="00196268" w:rsidRPr="00A64B50" w:rsidRDefault="00196268" w:rsidP="00196268">
      <w:pPr>
        <w:pStyle w:val="Normalnumber"/>
        <w:numPr>
          <w:ilvl w:val="0"/>
          <w:numId w:val="4"/>
        </w:numPr>
        <w:tabs>
          <w:tab w:val="clear" w:pos="1247"/>
          <w:tab w:val="clear" w:pos="1814"/>
          <w:tab w:val="clear" w:pos="2381"/>
          <w:tab w:val="clear" w:pos="2948"/>
          <w:tab w:val="clear" w:pos="3515"/>
          <w:tab w:val="clear" w:pos="4082"/>
          <w:tab w:val="left" w:pos="2430"/>
        </w:tabs>
        <w:ind w:left="1260" w:firstLine="540"/>
        <w:jc w:val="both"/>
        <w:rPr>
          <w:rFonts w:eastAsia="SimSun"/>
          <w:sz w:val="24"/>
          <w:szCs w:val="24"/>
          <w:lang w:val="zh-CN" w:eastAsia="zh-CN"/>
        </w:rPr>
      </w:pPr>
      <w:r w:rsidRPr="00A64B50">
        <w:rPr>
          <w:rFonts w:eastAsia="SimSun"/>
          <w:sz w:val="24"/>
          <w:szCs w:val="24"/>
          <w:lang w:val="zh-CN" w:eastAsia="zh-CN"/>
        </w:rPr>
        <w:t>区域中心和协调中心的活动报告；</w:t>
      </w:r>
      <w:r w:rsidRPr="00A64B50">
        <w:rPr>
          <w:rFonts w:eastAsia="SimSun"/>
          <w:sz w:val="24"/>
          <w:szCs w:val="24"/>
          <w:vertAlign w:val="superscript"/>
          <w:lang w:eastAsia="zh-CN"/>
        </w:rPr>
        <w:footnoteReference w:id="6"/>
      </w:r>
    </w:p>
    <w:p w:rsidR="00196268" w:rsidRPr="00A64B50" w:rsidRDefault="00196268" w:rsidP="00196268">
      <w:pPr>
        <w:pStyle w:val="Normalnumber"/>
        <w:numPr>
          <w:ilvl w:val="0"/>
          <w:numId w:val="4"/>
        </w:numPr>
        <w:tabs>
          <w:tab w:val="clear" w:pos="1247"/>
          <w:tab w:val="clear" w:pos="1814"/>
          <w:tab w:val="clear" w:pos="2381"/>
          <w:tab w:val="clear" w:pos="2948"/>
          <w:tab w:val="clear" w:pos="3515"/>
          <w:tab w:val="clear" w:pos="4082"/>
          <w:tab w:val="left" w:pos="2430"/>
        </w:tabs>
        <w:ind w:left="1260" w:firstLine="540"/>
        <w:jc w:val="both"/>
        <w:rPr>
          <w:rFonts w:eastAsia="SimSun"/>
          <w:sz w:val="24"/>
          <w:szCs w:val="24"/>
          <w:lang w:val="zh-CN" w:eastAsia="zh-CN"/>
        </w:rPr>
      </w:pPr>
      <w:r w:rsidRPr="00A64B50">
        <w:rPr>
          <w:rFonts w:eastAsia="SimSun"/>
          <w:spacing w:val="-2"/>
          <w:sz w:val="24"/>
          <w:szCs w:val="24"/>
          <w:lang w:val="zh-CN" w:eastAsia="zh-CN"/>
        </w:rPr>
        <w:t>UNEP/CHW.13/INF/29/Rev.1</w:t>
      </w:r>
      <w:r w:rsidRPr="00A64B50">
        <w:rPr>
          <w:rFonts w:eastAsia="SimSun"/>
          <w:spacing w:val="-2"/>
          <w:sz w:val="24"/>
          <w:szCs w:val="24"/>
          <w:lang w:val="zh-CN" w:eastAsia="zh-CN"/>
        </w:rPr>
        <w:t>号和</w:t>
      </w:r>
      <w:r w:rsidRPr="00A64B50">
        <w:rPr>
          <w:rFonts w:eastAsia="SimSun"/>
          <w:spacing w:val="-2"/>
          <w:sz w:val="24"/>
          <w:szCs w:val="24"/>
          <w:lang w:val="zh-CN" w:eastAsia="zh-CN"/>
        </w:rPr>
        <w:t>UNEP/POPS/COP.8/INF/26/</w:t>
      </w:r>
      <w:r w:rsidRPr="00A64B50">
        <w:rPr>
          <w:rFonts w:eastAsia="SimSun"/>
          <w:sz w:val="24"/>
          <w:szCs w:val="24"/>
          <w:lang w:val="zh-CN" w:eastAsia="zh-CN"/>
        </w:rPr>
        <w:t xml:space="preserve"> Rev.1</w:t>
      </w:r>
      <w:r w:rsidRPr="00A64B50">
        <w:rPr>
          <w:rFonts w:eastAsia="SimSun"/>
          <w:sz w:val="24"/>
          <w:szCs w:val="24"/>
          <w:lang w:val="en-US" w:eastAsia="zh-CN"/>
        </w:rPr>
        <w:t xml:space="preserve">  </w:t>
      </w:r>
      <w:r w:rsidRPr="00A64B50">
        <w:rPr>
          <w:rFonts w:eastAsia="SimSun"/>
          <w:sz w:val="24"/>
          <w:szCs w:val="24"/>
          <w:lang w:val="zh-CN" w:eastAsia="zh-CN"/>
        </w:rPr>
        <w:t>号联合文件中巴塞尔公约区域中心和协调中心以及斯德哥尔摩公约区域中心和次区域中心的活动报告；</w:t>
      </w:r>
    </w:p>
    <w:p w:rsidR="00196268" w:rsidRPr="00A64B50" w:rsidRDefault="00196268" w:rsidP="00196268">
      <w:pPr>
        <w:pStyle w:val="Normalnumber"/>
        <w:numPr>
          <w:ilvl w:val="0"/>
          <w:numId w:val="4"/>
        </w:numPr>
        <w:tabs>
          <w:tab w:val="clear" w:pos="1247"/>
          <w:tab w:val="clear" w:pos="1814"/>
          <w:tab w:val="clear" w:pos="2381"/>
          <w:tab w:val="clear" w:pos="2948"/>
          <w:tab w:val="clear" w:pos="3515"/>
          <w:tab w:val="clear" w:pos="4082"/>
          <w:tab w:val="left" w:pos="2430"/>
        </w:tabs>
        <w:ind w:left="1260" w:firstLine="540"/>
        <w:jc w:val="both"/>
        <w:rPr>
          <w:rFonts w:eastAsia="SimSun"/>
          <w:sz w:val="24"/>
          <w:szCs w:val="24"/>
          <w:lang w:val="zh-CN" w:eastAsia="zh-CN"/>
        </w:rPr>
      </w:pPr>
      <w:r w:rsidRPr="00A64B50">
        <w:rPr>
          <w:rFonts w:eastAsia="SimSun"/>
          <w:sz w:val="24"/>
          <w:szCs w:val="24"/>
          <w:lang w:val="zh-CN" w:eastAsia="zh-CN"/>
        </w:rPr>
        <w:t>由秘书处代表缔约方大会与阿根廷政府</w:t>
      </w:r>
      <w:r w:rsidRPr="00A64B50">
        <w:rPr>
          <w:rFonts w:eastAsia="SimSun"/>
          <w:sz w:val="24"/>
          <w:szCs w:val="24"/>
          <w:vertAlign w:val="superscript"/>
          <w:lang w:eastAsia="zh-CN"/>
        </w:rPr>
        <w:footnoteReference w:id="7"/>
      </w:r>
      <w:r w:rsidRPr="00A64B50">
        <w:rPr>
          <w:rFonts w:eastAsia="SimSun"/>
          <w:sz w:val="24"/>
          <w:szCs w:val="24"/>
          <w:lang w:val="zh-CN" w:eastAsia="zh-CN"/>
        </w:rPr>
        <w:t>和伊朗伊斯兰共和国政府</w:t>
      </w:r>
      <w:r w:rsidRPr="00A64B50">
        <w:rPr>
          <w:rFonts w:eastAsia="SimSun"/>
          <w:sz w:val="24"/>
          <w:szCs w:val="24"/>
          <w:vertAlign w:val="superscript"/>
          <w:lang w:eastAsia="zh-CN"/>
        </w:rPr>
        <w:footnoteReference w:id="8"/>
      </w:r>
      <w:r w:rsidRPr="00A64B50">
        <w:rPr>
          <w:rFonts w:eastAsia="SimSun"/>
          <w:sz w:val="24"/>
          <w:szCs w:val="24"/>
          <w:lang w:val="zh-CN" w:eastAsia="zh-CN"/>
        </w:rPr>
        <w:t>新签署的框架协议；</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pacing w:val="4"/>
          <w:sz w:val="24"/>
          <w:lang w:eastAsia="zh-CN"/>
        </w:rPr>
        <w:t>请</w:t>
      </w:r>
      <w:r w:rsidRPr="00A64B50">
        <w:rPr>
          <w:rFonts w:eastAsia="SimSun"/>
          <w:spacing w:val="4"/>
          <w:sz w:val="24"/>
          <w:lang w:eastAsia="zh-CN"/>
        </w:rPr>
        <w:t>秘书处采取必要步骤，依照第</w:t>
      </w:r>
      <w:r w:rsidRPr="00A64B50">
        <w:rPr>
          <w:rFonts w:eastAsia="SimSun"/>
          <w:spacing w:val="4"/>
          <w:sz w:val="24"/>
          <w:lang w:eastAsia="zh-CN"/>
        </w:rPr>
        <w:t>VI/3</w:t>
      </w:r>
      <w:r w:rsidRPr="00A64B50">
        <w:rPr>
          <w:rFonts w:eastAsia="SimSun"/>
          <w:spacing w:val="4"/>
          <w:sz w:val="24"/>
          <w:lang w:eastAsia="zh-CN"/>
        </w:rPr>
        <w:t>号决定完成与斯洛伐克政府的框架协议的签署，从而正式在斯洛伐克设立巴塞尔公约中欧和东欧国家区域中心</w:t>
      </w:r>
      <w:r w:rsidRPr="00A64B50">
        <w:rPr>
          <w:rFonts w:eastAsia="SimSun"/>
          <w:sz w:val="24"/>
          <w:lang w:eastAsia="zh-CN"/>
        </w:rPr>
        <w:t>；</w:t>
      </w:r>
    </w:p>
    <w:p w:rsidR="00196268" w:rsidRPr="00A64B50" w:rsidRDefault="00196268" w:rsidP="00196268">
      <w:pPr>
        <w:pStyle w:val="Normal-pool"/>
        <w:numPr>
          <w:ilvl w:val="0"/>
          <w:numId w:val="2"/>
        </w:numPr>
        <w:tabs>
          <w:tab w:val="left" w:pos="624"/>
        </w:tabs>
        <w:spacing w:after="120"/>
        <w:ind w:left="1247" w:firstLine="624"/>
        <w:jc w:val="both"/>
        <w:rPr>
          <w:rFonts w:eastAsia="SimSun"/>
          <w:spacing w:val="4"/>
          <w:sz w:val="24"/>
          <w:lang w:eastAsia="zh-CN"/>
        </w:rPr>
      </w:pPr>
      <w:r w:rsidRPr="00A64B50">
        <w:rPr>
          <w:rFonts w:eastAsia="KaiTi"/>
          <w:sz w:val="24"/>
          <w:lang w:eastAsia="zh-CN"/>
        </w:rPr>
        <w:t>表示注意到</w:t>
      </w:r>
      <w:r w:rsidRPr="00A64B50">
        <w:rPr>
          <w:rFonts w:eastAsia="SimSun"/>
          <w:sz w:val="24"/>
          <w:lang w:eastAsia="zh-CN"/>
        </w:rPr>
        <w:t>现设在俄罗斯联邦的巴塞尔公约区域中心终止各项活动且俄罗斯联邦请求在该国设立一个新的巴塞尔公约区域中心，授权秘书处采取必要步骤，依照第</w:t>
      </w:r>
      <w:r w:rsidRPr="00A64B50">
        <w:rPr>
          <w:rFonts w:eastAsia="SimSun"/>
          <w:sz w:val="24"/>
          <w:lang w:eastAsia="zh-CN"/>
        </w:rPr>
        <w:t>VI/3</w:t>
      </w:r>
      <w:r w:rsidRPr="00A64B50">
        <w:rPr>
          <w:rFonts w:eastAsia="SimSun"/>
          <w:sz w:val="24"/>
          <w:lang w:eastAsia="zh-CN"/>
        </w:rPr>
        <w:t>号决定并按照第</w:t>
      </w:r>
      <w:r w:rsidRPr="00A64B50">
        <w:rPr>
          <w:rFonts w:eastAsia="SimSun"/>
          <w:sz w:val="24"/>
          <w:lang w:eastAsia="zh-CN"/>
        </w:rPr>
        <w:t>II/19</w:t>
      </w:r>
      <w:r w:rsidRPr="00A64B50">
        <w:rPr>
          <w:rFonts w:eastAsia="SimSun"/>
          <w:sz w:val="24"/>
          <w:lang w:eastAsia="zh-CN"/>
        </w:rPr>
        <w:t>号决定通过的标准，</w:t>
      </w:r>
      <w:r w:rsidRPr="00A64B50">
        <w:rPr>
          <w:rFonts w:eastAsia="SimSun"/>
          <w:spacing w:val="4"/>
          <w:sz w:val="24"/>
          <w:lang w:eastAsia="zh-CN"/>
        </w:rPr>
        <w:t>为可能在俄罗斯联邦设立一个新的巴塞尔公约区域中心完成框架协议的签署；</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表示注意到</w:t>
      </w:r>
      <w:r w:rsidRPr="00A64B50">
        <w:rPr>
          <w:rFonts w:eastAsia="SimSun"/>
          <w:sz w:val="24"/>
          <w:lang w:eastAsia="zh-CN"/>
        </w:rPr>
        <w:t>巴西和巴拿马请求设立一个为中美洲和墨西哥次区域服务的新的巴塞尔公约区域中心，授权秘书处开启一项进程，旨在依照第</w:t>
      </w:r>
      <w:r w:rsidRPr="00A64B50">
        <w:rPr>
          <w:rFonts w:eastAsia="SimSun"/>
          <w:sz w:val="24"/>
          <w:lang w:eastAsia="zh-CN"/>
        </w:rPr>
        <w:t>VI/3</w:t>
      </w:r>
      <w:r w:rsidRPr="00A64B50">
        <w:rPr>
          <w:rFonts w:eastAsia="SimSun"/>
          <w:sz w:val="24"/>
          <w:lang w:eastAsia="zh-CN"/>
        </w:rPr>
        <w:t>号决定并按照第</w:t>
      </w:r>
      <w:r w:rsidRPr="00A64B50">
        <w:rPr>
          <w:rFonts w:eastAsia="SimSun"/>
          <w:sz w:val="24"/>
          <w:lang w:eastAsia="zh-CN"/>
        </w:rPr>
        <w:t>II/19</w:t>
      </w:r>
      <w:r w:rsidRPr="00A64B50">
        <w:rPr>
          <w:rFonts w:eastAsia="SimSun"/>
          <w:sz w:val="24"/>
          <w:lang w:eastAsia="zh-CN"/>
        </w:rPr>
        <w:t>号决定通过的标准，就可能设立一个服务于中美洲和墨西哥次区域的新的巴塞尔公约区域中心一事签署一份框架协议，同时考虑到该区域各缔约方截至不限成员名额工作组下一次会议就该事项所发表的观点；</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请</w:t>
      </w:r>
      <w:r w:rsidRPr="00A64B50">
        <w:rPr>
          <w:rFonts w:eastAsia="SimSun"/>
          <w:sz w:val="24"/>
          <w:lang w:eastAsia="zh-CN"/>
        </w:rPr>
        <w:t>各巴塞尔公约区域中心和协调中心向秘书处提交以下资料供缔约方大会第十四次会议审议：</w:t>
      </w:r>
    </w:p>
    <w:p w:rsidR="00196268" w:rsidRPr="00A64B50" w:rsidRDefault="00196268" w:rsidP="00196268">
      <w:pPr>
        <w:pStyle w:val="Normalnumber"/>
        <w:numPr>
          <w:ilvl w:val="0"/>
          <w:numId w:val="5"/>
        </w:numPr>
        <w:tabs>
          <w:tab w:val="clear" w:pos="1247"/>
          <w:tab w:val="clear" w:pos="1814"/>
          <w:tab w:val="clear" w:pos="2381"/>
          <w:tab w:val="clear" w:pos="2948"/>
          <w:tab w:val="clear" w:pos="3515"/>
          <w:tab w:val="clear" w:pos="4082"/>
          <w:tab w:val="left" w:pos="2430"/>
        </w:tabs>
        <w:ind w:left="1260" w:firstLine="630"/>
        <w:jc w:val="both"/>
        <w:rPr>
          <w:sz w:val="24"/>
          <w:szCs w:val="24"/>
          <w:lang w:val="zh-CN" w:eastAsia="zh-CN"/>
        </w:rPr>
      </w:pPr>
      <w:r w:rsidRPr="00A64B50">
        <w:rPr>
          <w:sz w:val="24"/>
          <w:szCs w:val="24"/>
          <w:lang w:val="zh-CN" w:eastAsia="zh-CN"/>
        </w:rPr>
        <w:t>2019年9月30日之前提交2020年1月1日至2023年12月31日期间的业务计划；</w:t>
      </w:r>
    </w:p>
    <w:p w:rsidR="00196268" w:rsidRPr="00A64B50" w:rsidRDefault="00196268" w:rsidP="00196268">
      <w:pPr>
        <w:pStyle w:val="Normalnumber"/>
        <w:numPr>
          <w:ilvl w:val="0"/>
          <w:numId w:val="5"/>
        </w:numPr>
        <w:tabs>
          <w:tab w:val="clear" w:pos="1247"/>
          <w:tab w:val="clear" w:pos="1814"/>
          <w:tab w:val="clear" w:pos="2381"/>
          <w:tab w:val="clear" w:pos="2948"/>
          <w:tab w:val="clear" w:pos="3515"/>
          <w:tab w:val="clear" w:pos="4082"/>
          <w:tab w:val="left" w:pos="2430"/>
        </w:tabs>
        <w:ind w:left="1260" w:firstLine="630"/>
        <w:jc w:val="both"/>
        <w:rPr>
          <w:sz w:val="24"/>
          <w:szCs w:val="24"/>
          <w:lang w:eastAsia="zh-CN"/>
        </w:rPr>
      </w:pPr>
      <w:r w:rsidRPr="00A64B50">
        <w:rPr>
          <w:sz w:val="24"/>
          <w:szCs w:val="24"/>
          <w:lang w:val="zh-CN" w:eastAsia="zh-CN"/>
        </w:rPr>
        <w:lastRenderedPageBreak/>
        <w:t>2018年12月31日之前提交2017年1月1日至2018年12月31日期间的活动报告；</w:t>
      </w:r>
    </w:p>
    <w:p w:rsidR="00196268" w:rsidRPr="00A64B50" w:rsidRDefault="00196268" w:rsidP="00196268">
      <w:pPr>
        <w:pStyle w:val="Normal-pool"/>
        <w:numPr>
          <w:ilvl w:val="0"/>
          <w:numId w:val="2"/>
        </w:numPr>
        <w:tabs>
          <w:tab w:val="left" w:pos="624"/>
        </w:tabs>
        <w:spacing w:after="120"/>
        <w:ind w:left="1247" w:firstLine="624"/>
        <w:jc w:val="both"/>
        <w:rPr>
          <w:rFonts w:eastAsia="SimSun"/>
          <w:i/>
          <w:sz w:val="24"/>
          <w:szCs w:val="24"/>
          <w:lang w:eastAsia="zh-CN"/>
        </w:rPr>
      </w:pPr>
      <w:r w:rsidRPr="00A64B50">
        <w:rPr>
          <w:rFonts w:eastAsia="KaiTi"/>
          <w:sz w:val="24"/>
          <w:lang w:eastAsia="zh-CN"/>
        </w:rPr>
        <w:t>请</w:t>
      </w:r>
      <w:r w:rsidRPr="00A64B50">
        <w:rPr>
          <w:rFonts w:eastAsia="SimSun"/>
          <w:sz w:val="24"/>
          <w:lang w:eastAsia="zh-CN"/>
        </w:rPr>
        <w:t>秘书处编写一份巴塞尔公约区域中心和协调中心的活动报告</w:t>
      </w:r>
      <w:r w:rsidRPr="00A64B50">
        <w:rPr>
          <w:rFonts w:eastAsia="SimSun"/>
          <w:sz w:val="24"/>
          <w:szCs w:val="24"/>
          <w:lang w:val="zh-CN" w:eastAsia="zh-CN"/>
        </w:rPr>
        <w:t>，包括技术转让的活动，供缔约方大会第十四次会议审议；</w:t>
      </w:r>
    </w:p>
    <w:p w:rsidR="00196268" w:rsidRPr="00A64B50" w:rsidRDefault="00196268" w:rsidP="00196268">
      <w:pPr>
        <w:pStyle w:val="Normal-pool"/>
        <w:numPr>
          <w:ilvl w:val="0"/>
          <w:numId w:val="2"/>
        </w:numPr>
        <w:tabs>
          <w:tab w:val="left" w:pos="624"/>
        </w:tabs>
        <w:spacing w:after="120"/>
        <w:ind w:left="1247" w:firstLine="624"/>
        <w:jc w:val="both"/>
        <w:rPr>
          <w:rFonts w:eastAsia="SimSun"/>
          <w:i/>
          <w:sz w:val="24"/>
          <w:szCs w:val="24"/>
          <w:lang w:eastAsia="zh-CN"/>
        </w:rPr>
      </w:pPr>
      <w:r w:rsidRPr="00A64B50">
        <w:rPr>
          <w:rFonts w:eastAsia="KaiTi"/>
          <w:sz w:val="24"/>
          <w:szCs w:val="24"/>
          <w:lang w:eastAsia="zh-CN"/>
        </w:rPr>
        <w:t>鼓励</w:t>
      </w:r>
      <w:r w:rsidRPr="00A64B50">
        <w:rPr>
          <w:rFonts w:eastAsia="SimSun"/>
          <w:sz w:val="24"/>
          <w:szCs w:val="24"/>
          <w:lang w:eastAsia="zh-CN"/>
        </w:rPr>
        <w:t>有关区域中心和协调中心在《公约》下就塑料废物、海洋塑料垃圾、微塑料的影响以及预防和无害环境管理的措施开展工作，这些工作应体现在上文第</w:t>
      </w:r>
      <w:r w:rsidRPr="00A64B50">
        <w:rPr>
          <w:rFonts w:eastAsia="SimSun"/>
          <w:sz w:val="24"/>
          <w:szCs w:val="24"/>
          <w:lang w:eastAsia="zh-CN"/>
        </w:rPr>
        <w:t>13</w:t>
      </w:r>
      <w:r w:rsidRPr="00A64B50">
        <w:rPr>
          <w:rFonts w:eastAsia="SimSun"/>
          <w:sz w:val="24"/>
          <w:szCs w:val="24"/>
          <w:lang w:eastAsia="zh-CN"/>
        </w:rPr>
        <w:t>段所要求的报告中，并酌情体现在其他相关报告中；</w:t>
      </w:r>
    </w:p>
    <w:p w:rsidR="00196268" w:rsidRPr="00A64B50" w:rsidRDefault="00196268" w:rsidP="00196268">
      <w:pPr>
        <w:pStyle w:val="Normal-pool"/>
        <w:numPr>
          <w:ilvl w:val="0"/>
          <w:numId w:val="2"/>
        </w:numPr>
        <w:tabs>
          <w:tab w:val="left" w:pos="624"/>
        </w:tabs>
        <w:spacing w:after="120"/>
        <w:ind w:left="1247" w:firstLine="624"/>
        <w:jc w:val="both"/>
        <w:rPr>
          <w:i/>
          <w:sz w:val="24"/>
          <w:szCs w:val="24"/>
          <w:lang w:eastAsia="zh-CN"/>
        </w:rPr>
      </w:pPr>
      <w:r w:rsidRPr="00A64B50">
        <w:rPr>
          <w:rFonts w:eastAsia="KaiTi"/>
          <w:sz w:val="24"/>
          <w:lang w:eastAsia="zh-CN"/>
        </w:rPr>
        <w:t>表示注意到</w:t>
      </w:r>
      <w:r w:rsidRPr="00A64B50">
        <w:rPr>
          <w:rFonts w:eastAsia="SimSun"/>
          <w:sz w:val="24"/>
          <w:lang w:eastAsia="zh-CN"/>
        </w:rPr>
        <w:t>萨尔瓦多政府终止有关为巴塞尔公约中美洲次区域</w:t>
      </w:r>
      <w:r w:rsidRPr="00A64B50">
        <w:rPr>
          <w:rFonts w:eastAsia="SimSun"/>
          <w:sz w:val="24"/>
          <w:szCs w:val="24"/>
          <w:lang w:val="zh-CN" w:eastAsia="zh-CN"/>
        </w:rPr>
        <w:t>（包括墨西哥）培训和技术转让区域中心提供驻地的框架协议的通知，框架协议的终止将于</w:t>
      </w:r>
      <w:r w:rsidRPr="00A64B50">
        <w:rPr>
          <w:rFonts w:eastAsia="SimSun"/>
          <w:sz w:val="24"/>
          <w:szCs w:val="24"/>
          <w:lang w:val="zh-CN" w:eastAsia="zh-CN"/>
        </w:rPr>
        <w:t>2017</w:t>
      </w:r>
      <w:r w:rsidRPr="00A64B50">
        <w:rPr>
          <w:rFonts w:eastAsia="SimSun"/>
          <w:sz w:val="24"/>
          <w:szCs w:val="24"/>
          <w:lang w:val="zh-CN" w:eastAsia="zh-CN"/>
        </w:rPr>
        <w:t>年</w:t>
      </w:r>
      <w:r w:rsidRPr="00A64B50">
        <w:rPr>
          <w:rFonts w:eastAsia="SimSun"/>
          <w:sz w:val="24"/>
          <w:szCs w:val="24"/>
          <w:lang w:val="zh-CN" w:eastAsia="zh-CN"/>
        </w:rPr>
        <w:t>5</w:t>
      </w:r>
      <w:r w:rsidRPr="00A64B50">
        <w:rPr>
          <w:rFonts w:eastAsia="SimSun"/>
          <w:sz w:val="24"/>
          <w:szCs w:val="24"/>
          <w:lang w:val="zh-CN" w:eastAsia="zh-CN"/>
        </w:rPr>
        <w:t>月</w:t>
      </w:r>
      <w:r w:rsidRPr="00A64B50">
        <w:rPr>
          <w:rFonts w:eastAsia="SimSun"/>
          <w:sz w:val="24"/>
          <w:szCs w:val="24"/>
          <w:lang w:val="zh-CN" w:eastAsia="zh-CN"/>
        </w:rPr>
        <w:t>4</w:t>
      </w:r>
      <w:r w:rsidRPr="00A64B50">
        <w:rPr>
          <w:rFonts w:eastAsia="SimSun"/>
          <w:sz w:val="24"/>
          <w:szCs w:val="24"/>
          <w:lang w:val="zh-CN" w:eastAsia="zh-CN"/>
        </w:rPr>
        <w:t>日生效；</w:t>
      </w:r>
      <w:r w:rsidRPr="00A64B50">
        <w:rPr>
          <w:sz w:val="24"/>
          <w:szCs w:val="24"/>
          <w:vertAlign w:val="superscript"/>
          <w:lang w:val="zh-CN"/>
        </w:rPr>
        <w:footnoteReference w:id="9"/>
      </w:r>
    </w:p>
    <w:p w:rsidR="00196268" w:rsidRPr="00A64B50" w:rsidRDefault="00196268" w:rsidP="00196268">
      <w:pPr>
        <w:pStyle w:val="Normal-pool"/>
        <w:numPr>
          <w:ilvl w:val="0"/>
          <w:numId w:val="2"/>
        </w:numPr>
        <w:tabs>
          <w:tab w:val="left" w:pos="624"/>
        </w:tabs>
        <w:spacing w:after="120"/>
        <w:ind w:left="1247" w:firstLine="624"/>
        <w:jc w:val="both"/>
        <w:rPr>
          <w:rFonts w:eastAsia="SimSun"/>
          <w:i/>
          <w:sz w:val="24"/>
          <w:szCs w:val="24"/>
          <w:lang w:eastAsia="zh-CN"/>
        </w:rPr>
      </w:pPr>
      <w:r w:rsidRPr="00A64B50">
        <w:rPr>
          <w:rFonts w:eastAsia="KaiTi"/>
          <w:sz w:val="24"/>
          <w:lang w:eastAsia="zh-CN"/>
        </w:rPr>
        <w:t>邀请</w:t>
      </w:r>
      <w:r w:rsidRPr="00A64B50">
        <w:rPr>
          <w:rFonts w:eastAsia="SimSun"/>
          <w:sz w:val="24"/>
          <w:lang w:eastAsia="zh-CN"/>
        </w:rPr>
        <w:t>各缔约方</w:t>
      </w:r>
      <w:r w:rsidRPr="00A64B50">
        <w:rPr>
          <w:rFonts w:eastAsia="SimSun"/>
          <w:sz w:val="24"/>
          <w:szCs w:val="24"/>
          <w:lang w:val="zh-CN" w:eastAsia="zh-CN"/>
        </w:rPr>
        <w:t>、观察员和其他有条件的金融机构提供财政支持，帮助巴塞尔公约各区域中心和协调中心实施其旨在支持各缔约方履行《公约》义务的业务计划；</w:t>
      </w:r>
    </w:p>
    <w:p w:rsidR="00196268" w:rsidRPr="00A64B50" w:rsidRDefault="00196268" w:rsidP="00196268">
      <w:pPr>
        <w:pStyle w:val="Normal-pool"/>
        <w:numPr>
          <w:ilvl w:val="0"/>
          <w:numId w:val="2"/>
        </w:numPr>
        <w:tabs>
          <w:tab w:val="left" w:pos="624"/>
        </w:tabs>
        <w:spacing w:after="120"/>
        <w:ind w:left="1247" w:firstLine="624"/>
        <w:jc w:val="both"/>
        <w:rPr>
          <w:rFonts w:eastAsia="SimSun"/>
          <w:i/>
          <w:sz w:val="24"/>
          <w:szCs w:val="24"/>
          <w:lang w:eastAsia="zh-CN"/>
        </w:rPr>
      </w:pPr>
      <w:r w:rsidRPr="00A64B50">
        <w:rPr>
          <w:rFonts w:eastAsia="KaiTi"/>
          <w:sz w:val="24"/>
          <w:lang w:eastAsia="zh-CN"/>
        </w:rPr>
        <w:t>鼓励</w:t>
      </w:r>
      <w:r w:rsidRPr="00A64B50">
        <w:rPr>
          <w:rFonts w:eastAsia="SimSun"/>
          <w:sz w:val="24"/>
          <w:lang w:eastAsia="zh-CN"/>
        </w:rPr>
        <w:t>各缔约方</w:t>
      </w:r>
      <w:r w:rsidRPr="00A64B50">
        <w:rPr>
          <w:rFonts w:eastAsia="SimSun"/>
          <w:sz w:val="24"/>
          <w:szCs w:val="24"/>
          <w:lang w:val="zh-CN" w:eastAsia="zh-CN"/>
        </w:rPr>
        <w:t>、观察员和其他金融机构加强与巴塞尔公约各区域中心和协调中心的交流。</w:t>
      </w:r>
    </w:p>
    <w:p w:rsidR="00196268" w:rsidRPr="00A64B50" w:rsidRDefault="00196268" w:rsidP="00196268">
      <w:pPr>
        <w:keepNext/>
        <w:tabs>
          <w:tab w:val="left" w:pos="624"/>
        </w:tabs>
        <w:spacing w:before="80" w:after="120"/>
        <w:ind w:left="1253" w:firstLine="619"/>
        <w:jc w:val="center"/>
        <w:outlineLvl w:val="0"/>
        <w:rPr>
          <w:rFonts w:eastAsia="SimHei"/>
          <w:b/>
          <w:sz w:val="24"/>
          <w:lang w:eastAsia="zh-CN"/>
        </w:rPr>
      </w:pPr>
      <w:r w:rsidRPr="00A64B50">
        <w:rPr>
          <w:rFonts w:eastAsia="SimHei"/>
          <w:b/>
          <w:sz w:val="24"/>
          <w:lang w:eastAsia="zh-CN"/>
        </w:rPr>
        <w:t>三</w:t>
      </w:r>
    </w:p>
    <w:p w:rsidR="00196268" w:rsidRPr="00A64B50" w:rsidRDefault="00196268" w:rsidP="00196268">
      <w:pPr>
        <w:keepNext/>
        <w:tabs>
          <w:tab w:val="left" w:pos="624"/>
        </w:tabs>
        <w:spacing w:before="80" w:after="120"/>
        <w:ind w:left="1253" w:firstLine="619"/>
        <w:jc w:val="center"/>
        <w:outlineLvl w:val="0"/>
        <w:rPr>
          <w:rFonts w:eastAsia="SimHei"/>
          <w:b/>
          <w:sz w:val="24"/>
          <w:lang w:eastAsia="zh-CN"/>
        </w:rPr>
      </w:pPr>
      <w:r w:rsidRPr="00A64B50">
        <w:rPr>
          <w:rFonts w:eastAsia="SimHei"/>
          <w:b/>
          <w:sz w:val="24"/>
          <w:lang w:eastAsia="zh-CN"/>
        </w:rPr>
        <w:t>关于扩大</w:t>
      </w:r>
      <w:r w:rsidRPr="00A64B50">
        <w:rPr>
          <w:rFonts w:eastAsia="SimHei"/>
          <w:b/>
          <w:sz w:val="24"/>
          <w:lang w:eastAsia="zh-CN"/>
        </w:rPr>
        <w:t>“</w:t>
      </w:r>
      <w:r w:rsidRPr="00A64B50">
        <w:rPr>
          <w:rFonts w:eastAsia="SimHei"/>
          <w:b/>
          <w:sz w:val="24"/>
          <w:lang w:eastAsia="zh-CN"/>
        </w:rPr>
        <w:t>协助需要技术援助的发展中国家及其他国家执行巴塞尔公约信托基金</w:t>
      </w:r>
      <w:r w:rsidRPr="00A64B50">
        <w:rPr>
          <w:rFonts w:eastAsia="SimHei"/>
          <w:b/>
          <w:sz w:val="24"/>
          <w:lang w:eastAsia="zh-CN"/>
        </w:rPr>
        <w:t>”</w:t>
      </w:r>
      <w:r w:rsidRPr="00A64B50">
        <w:rPr>
          <w:rFonts w:eastAsia="SimHei"/>
          <w:b/>
          <w:sz w:val="24"/>
          <w:lang w:eastAsia="zh-CN"/>
        </w:rPr>
        <w:t>范围的第</w:t>
      </w:r>
      <w:r w:rsidRPr="00A64B50">
        <w:rPr>
          <w:rFonts w:eastAsia="SimHei"/>
          <w:b/>
          <w:sz w:val="24"/>
          <w:lang w:eastAsia="zh-CN"/>
        </w:rPr>
        <w:t>V/32</w:t>
      </w:r>
      <w:r w:rsidRPr="00A64B50">
        <w:rPr>
          <w:rFonts w:eastAsia="SimHei"/>
          <w:b/>
          <w:sz w:val="24"/>
          <w:lang w:eastAsia="zh-CN"/>
        </w:rPr>
        <w:t>号决定的执行情况</w:t>
      </w:r>
    </w:p>
    <w:p w:rsidR="00196268" w:rsidRPr="00A64B50" w:rsidRDefault="00196268" w:rsidP="00196268">
      <w:pPr>
        <w:pStyle w:val="Normal-pool"/>
        <w:numPr>
          <w:ilvl w:val="0"/>
          <w:numId w:val="2"/>
        </w:numPr>
        <w:tabs>
          <w:tab w:val="left" w:pos="624"/>
        </w:tabs>
        <w:spacing w:after="120"/>
        <w:ind w:left="1247" w:firstLine="624"/>
        <w:jc w:val="both"/>
        <w:rPr>
          <w:rFonts w:eastAsia="SimSun"/>
          <w:spacing w:val="-10"/>
          <w:sz w:val="24"/>
          <w:lang w:eastAsia="zh-CN"/>
        </w:rPr>
      </w:pPr>
      <w:r w:rsidRPr="00A64B50">
        <w:rPr>
          <w:rFonts w:eastAsia="KaiTi"/>
          <w:spacing w:val="-10"/>
          <w:sz w:val="24"/>
          <w:lang w:eastAsia="zh-CN"/>
        </w:rPr>
        <w:t>表示注意到</w:t>
      </w:r>
      <w:r w:rsidRPr="00A64B50">
        <w:rPr>
          <w:rFonts w:eastAsia="SimSun"/>
          <w:spacing w:val="-10"/>
          <w:sz w:val="24"/>
          <w:lang w:eastAsia="zh-CN"/>
        </w:rPr>
        <w:t>有关秘书处根据</w:t>
      </w:r>
      <w:r w:rsidRPr="00A64B50">
        <w:rPr>
          <w:rFonts w:eastAsia="SimSun"/>
          <w:spacing w:val="-10"/>
          <w:sz w:val="24"/>
          <w:lang w:eastAsia="zh-CN"/>
        </w:rPr>
        <w:t>BC-12/11</w:t>
      </w:r>
      <w:r w:rsidRPr="00A64B50">
        <w:rPr>
          <w:rFonts w:eastAsia="SimSun"/>
          <w:spacing w:val="-10"/>
          <w:sz w:val="24"/>
          <w:lang w:eastAsia="zh-CN"/>
        </w:rPr>
        <w:t>号决定所开展活动的资料；</w:t>
      </w:r>
      <w:r w:rsidRPr="00A64B50">
        <w:rPr>
          <w:rFonts w:eastAsia="SimSun"/>
          <w:sz w:val="24"/>
          <w:vertAlign w:val="superscript"/>
          <w:lang w:eastAsia="zh-CN"/>
        </w:rPr>
        <w:footnoteReference w:id="10"/>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欢迎</w:t>
      </w:r>
      <w:r w:rsidRPr="00A64B50">
        <w:rPr>
          <w:rFonts w:eastAsia="SimSun"/>
          <w:sz w:val="24"/>
          <w:lang w:eastAsia="zh-CN"/>
        </w:rPr>
        <w:t>联合国环境规划署</w:t>
      </w:r>
      <w:r w:rsidRPr="00A64B50">
        <w:rPr>
          <w:rFonts w:eastAsia="SimSun"/>
          <w:sz w:val="24"/>
          <w:lang w:eastAsia="zh-CN"/>
        </w:rPr>
        <w:t>/</w:t>
      </w:r>
      <w:r w:rsidRPr="00A64B50">
        <w:rPr>
          <w:rFonts w:eastAsia="SimSun"/>
          <w:sz w:val="24"/>
          <w:lang w:eastAsia="zh-CN"/>
        </w:rPr>
        <w:t>人道主义事务协调厅联合环境股积极参与紧急情况的处置，并鼓励其继续与秘书处合作；</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请</w:t>
      </w:r>
      <w:r w:rsidRPr="00A64B50">
        <w:rPr>
          <w:rFonts w:eastAsia="SimSun"/>
          <w:sz w:val="24"/>
          <w:lang w:eastAsia="zh-CN"/>
        </w:rPr>
        <w:t>秘书处在具备资源的情况下，继续与诸如联合国环境规划署</w:t>
      </w:r>
      <w:r w:rsidRPr="00A64B50">
        <w:rPr>
          <w:rFonts w:eastAsia="SimSun"/>
          <w:sz w:val="24"/>
          <w:lang w:eastAsia="zh-CN"/>
        </w:rPr>
        <w:t>/</w:t>
      </w:r>
      <w:r w:rsidRPr="00A64B50">
        <w:rPr>
          <w:rFonts w:eastAsia="SimSun"/>
          <w:sz w:val="24"/>
          <w:lang w:eastAsia="zh-CN"/>
        </w:rPr>
        <w:t>人道主义事务协调厅联合环境股等相关合作伙伴一道，按照执行扩大技术合作信托基金范围问题的第</w:t>
      </w:r>
      <w:r w:rsidRPr="00A64B50">
        <w:rPr>
          <w:rFonts w:eastAsia="SimSun"/>
          <w:sz w:val="24"/>
          <w:lang w:eastAsia="zh-CN"/>
        </w:rPr>
        <w:t>V/32</w:t>
      </w:r>
      <w:r w:rsidRPr="00A64B50">
        <w:rPr>
          <w:rFonts w:eastAsia="SimSun"/>
          <w:sz w:val="24"/>
          <w:lang w:eastAsia="zh-CN"/>
        </w:rPr>
        <w:t>号决定的暂行准则第</w:t>
      </w:r>
      <w:r w:rsidRPr="00A64B50">
        <w:rPr>
          <w:rFonts w:eastAsia="SimSun"/>
          <w:sz w:val="24"/>
          <w:lang w:eastAsia="zh-CN"/>
        </w:rPr>
        <w:t>3</w:t>
      </w:r>
      <w:r w:rsidRPr="00A64B50">
        <w:rPr>
          <w:rFonts w:eastAsia="SimSun"/>
          <w:sz w:val="24"/>
          <w:lang w:eastAsia="zh-CN"/>
        </w:rPr>
        <w:t>部分以及</w:t>
      </w:r>
      <w:r w:rsidRPr="00A64B50">
        <w:rPr>
          <w:rFonts w:eastAsia="SimSun"/>
          <w:sz w:val="24"/>
          <w:lang w:eastAsia="zh-CN"/>
        </w:rPr>
        <w:t>BC-IX/10</w:t>
      </w:r>
      <w:r w:rsidRPr="00A64B50">
        <w:rPr>
          <w:rFonts w:eastAsia="SimSun"/>
          <w:sz w:val="24"/>
          <w:lang w:eastAsia="zh-CN"/>
        </w:rPr>
        <w:t>号、</w:t>
      </w:r>
      <w:r w:rsidRPr="00A64B50">
        <w:rPr>
          <w:rFonts w:eastAsia="SimSun"/>
          <w:sz w:val="24"/>
          <w:lang w:eastAsia="zh-CN"/>
        </w:rPr>
        <w:t>RC-4/11</w:t>
      </w:r>
      <w:r w:rsidRPr="00A64B50">
        <w:rPr>
          <w:rFonts w:eastAsia="SimSun"/>
          <w:sz w:val="24"/>
          <w:lang w:eastAsia="zh-CN"/>
        </w:rPr>
        <w:t>号和</w:t>
      </w:r>
      <w:r w:rsidRPr="00A64B50">
        <w:rPr>
          <w:rFonts w:eastAsia="SimSun"/>
          <w:sz w:val="24"/>
          <w:lang w:eastAsia="zh-CN"/>
        </w:rPr>
        <w:t>SC-4/34</w:t>
      </w:r>
      <w:r w:rsidRPr="00A64B50">
        <w:rPr>
          <w:rFonts w:eastAsia="SimSun"/>
          <w:sz w:val="24"/>
          <w:lang w:eastAsia="zh-CN"/>
        </w:rPr>
        <w:t>号决定，尤其在防止危险废物和其他废物越境转移及其处置所导致的事故和增强各国应对此类紧急情况的防范方面，开展相关的能力建设活动；</w:t>
      </w:r>
    </w:p>
    <w:p w:rsidR="00196268" w:rsidRPr="00A64B50" w:rsidRDefault="00196268" w:rsidP="00196268">
      <w:pPr>
        <w:pStyle w:val="Normal-pool"/>
        <w:numPr>
          <w:ilvl w:val="0"/>
          <w:numId w:val="2"/>
        </w:numPr>
        <w:tabs>
          <w:tab w:val="left" w:pos="624"/>
        </w:tabs>
        <w:spacing w:after="120"/>
        <w:ind w:left="1247" w:firstLine="624"/>
        <w:jc w:val="both"/>
        <w:rPr>
          <w:rFonts w:eastAsia="SimSun"/>
          <w:sz w:val="24"/>
          <w:lang w:eastAsia="zh-CN"/>
        </w:rPr>
      </w:pPr>
      <w:r w:rsidRPr="00A64B50">
        <w:rPr>
          <w:rFonts w:eastAsia="KaiTi"/>
          <w:sz w:val="24"/>
          <w:lang w:eastAsia="zh-CN"/>
        </w:rPr>
        <w:t>又请</w:t>
      </w:r>
      <w:r w:rsidRPr="00A64B50">
        <w:rPr>
          <w:rFonts w:eastAsia="SimSun"/>
          <w:sz w:val="24"/>
          <w:lang w:eastAsia="zh-CN"/>
        </w:rPr>
        <w:t>秘书处继续与联合国环境规划署</w:t>
      </w:r>
      <w:r w:rsidRPr="00A64B50">
        <w:rPr>
          <w:rFonts w:eastAsia="SimSun"/>
          <w:sz w:val="24"/>
          <w:lang w:eastAsia="zh-CN"/>
        </w:rPr>
        <w:t>/</w:t>
      </w:r>
      <w:r w:rsidRPr="00A64B50">
        <w:rPr>
          <w:rFonts w:eastAsia="SimSun"/>
          <w:sz w:val="24"/>
          <w:lang w:eastAsia="zh-CN"/>
        </w:rPr>
        <w:t>人道主义事务协调厅联合环境股开展合作与协作；</w:t>
      </w:r>
    </w:p>
    <w:p w:rsidR="00196268" w:rsidRPr="00A64B50" w:rsidRDefault="00196268" w:rsidP="00196268">
      <w:pPr>
        <w:tabs>
          <w:tab w:val="left" w:pos="624"/>
        </w:tabs>
        <w:spacing w:before="120" w:after="120"/>
        <w:ind w:left="1253" w:firstLine="619"/>
        <w:jc w:val="center"/>
        <w:outlineLvl w:val="0"/>
        <w:rPr>
          <w:rFonts w:eastAsia="SimHei"/>
          <w:b/>
          <w:sz w:val="24"/>
          <w:lang w:eastAsia="zh-CN"/>
        </w:rPr>
      </w:pPr>
      <w:r w:rsidRPr="00A64B50">
        <w:rPr>
          <w:rFonts w:eastAsia="SimHei"/>
          <w:b/>
          <w:sz w:val="24"/>
          <w:lang w:eastAsia="zh-CN"/>
        </w:rPr>
        <w:t>四</w:t>
      </w:r>
    </w:p>
    <w:p w:rsidR="00196268" w:rsidRPr="00A64B50" w:rsidRDefault="00196268" w:rsidP="00196268">
      <w:pPr>
        <w:tabs>
          <w:tab w:val="left" w:pos="624"/>
        </w:tabs>
        <w:spacing w:before="80" w:after="120"/>
        <w:ind w:left="1253" w:firstLine="619"/>
        <w:jc w:val="center"/>
        <w:outlineLvl w:val="0"/>
        <w:rPr>
          <w:rFonts w:eastAsia="SimHei"/>
          <w:b/>
          <w:sz w:val="24"/>
          <w:lang w:eastAsia="zh-CN"/>
        </w:rPr>
      </w:pPr>
      <w:r w:rsidRPr="00A64B50">
        <w:rPr>
          <w:rFonts w:eastAsia="SimHei"/>
          <w:b/>
          <w:sz w:val="24"/>
          <w:lang w:eastAsia="zh-CN"/>
        </w:rPr>
        <w:t>秘书处报告</w:t>
      </w:r>
    </w:p>
    <w:p w:rsidR="00196268" w:rsidRDefault="00196268" w:rsidP="00196268">
      <w:pPr>
        <w:pStyle w:val="Normal-pool"/>
        <w:numPr>
          <w:ilvl w:val="0"/>
          <w:numId w:val="2"/>
        </w:numPr>
        <w:tabs>
          <w:tab w:val="left" w:pos="624"/>
        </w:tabs>
        <w:spacing w:after="120"/>
        <w:ind w:left="1247" w:firstLine="624"/>
        <w:jc w:val="both"/>
        <w:rPr>
          <w:rFonts w:eastAsia="SimSun"/>
          <w:sz w:val="24"/>
          <w:szCs w:val="24"/>
          <w:lang w:val="zh-CN" w:eastAsia="zh-CN"/>
        </w:rPr>
      </w:pPr>
      <w:r w:rsidRPr="00A64B50">
        <w:rPr>
          <w:rFonts w:eastAsia="KaiTi"/>
          <w:sz w:val="24"/>
          <w:szCs w:val="24"/>
          <w:lang w:val="zh-CN" w:eastAsia="zh-CN"/>
        </w:rPr>
        <w:t>请</w:t>
      </w:r>
      <w:r w:rsidRPr="00A64B50">
        <w:rPr>
          <w:rFonts w:eastAsia="SimSun"/>
          <w:sz w:val="24"/>
          <w:szCs w:val="24"/>
          <w:lang w:val="zh-CN" w:eastAsia="zh-CN"/>
        </w:rPr>
        <w:t>秘书处向缔约方大会第十四次会议汇报本决定的执行情况。</w:t>
      </w:r>
    </w:p>
    <w:p w:rsidR="00087D33" w:rsidRDefault="00087D33"/>
    <w:sectPr w:rsidR="00087D33" w:rsidSect="00087D3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3D2B" w:rsidRDefault="00C43D2B" w:rsidP="00196268">
      <w:r>
        <w:separator/>
      </w:r>
    </w:p>
  </w:endnote>
  <w:endnote w:type="continuationSeparator" w:id="0">
    <w:p w:rsidR="00C43D2B" w:rsidRDefault="00C43D2B" w:rsidP="001962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3D2B" w:rsidRDefault="00C43D2B" w:rsidP="00196268">
      <w:r>
        <w:separator/>
      </w:r>
    </w:p>
  </w:footnote>
  <w:footnote w:type="continuationSeparator" w:id="0">
    <w:p w:rsidR="00C43D2B" w:rsidRDefault="00C43D2B" w:rsidP="00196268">
      <w:r>
        <w:continuationSeparator/>
      </w:r>
    </w:p>
  </w:footnote>
  <w:footnote w:id="1">
    <w:p w:rsidR="00196268" w:rsidRPr="005C499F" w:rsidRDefault="00196268" w:rsidP="00196268">
      <w:pPr>
        <w:pStyle w:val="FootnoteText"/>
        <w:tabs>
          <w:tab w:val="left" w:pos="624"/>
        </w:tabs>
        <w:spacing w:after="40" w:line="240" w:lineRule="auto"/>
        <w:ind w:left="1253" w:firstLine="0"/>
        <w:contextualSpacing/>
        <w:rPr>
          <w:spacing w:val="0"/>
          <w:w w:val="100"/>
          <w:kern w:val="0"/>
          <w:sz w:val="20"/>
        </w:rPr>
      </w:pPr>
      <w:r w:rsidRPr="008829B9">
        <w:rPr>
          <w:rStyle w:val="FootnoteReference"/>
          <w:spacing w:val="0"/>
          <w:w w:val="100"/>
        </w:rPr>
        <w:footnoteRef/>
      </w:r>
      <w:r w:rsidRPr="008829B9">
        <w:rPr>
          <w:rFonts w:hint="eastAsia"/>
          <w:spacing w:val="0"/>
          <w:w w:val="100"/>
          <w:sz w:val="20"/>
        </w:rPr>
        <w:t xml:space="preserve"> </w:t>
      </w:r>
      <w:r w:rsidRPr="005C499F">
        <w:rPr>
          <w:rFonts w:hint="eastAsia"/>
          <w:spacing w:val="0"/>
          <w:w w:val="100"/>
          <w:kern w:val="0"/>
          <w:sz w:val="20"/>
        </w:rPr>
        <w:t>UNEP/</w:t>
      </w:r>
      <w:r w:rsidRPr="005C499F">
        <w:rPr>
          <w:rFonts w:hint="eastAsia"/>
          <w:iCs/>
          <w:color w:val="000000"/>
          <w:spacing w:val="0"/>
          <w:w w:val="100"/>
          <w:kern w:val="0"/>
          <w:sz w:val="20"/>
        </w:rPr>
        <w:t>CHW</w:t>
      </w:r>
      <w:r w:rsidRPr="005C499F">
        <w:rPr>
          <w:rFonts w:hint="eastAsia"/>
          <w:spacing w:val="0"/>
          <w:w w:val="100"/>
          <w:kern w:val="0"/>
          <w:sz w:val="20"/>
        </w:rPr>
        <w:t>.13/INF/43-UNEP/FAO/RC/COP.8/INF/29-UNEP/POPS/COP.8/INF/46</w:t>
      </w:r>
      <w:r w:rsidRPr="005C499F">
        <w:rPr>
          <w:rFonts w:hint="eastAsia"/>
          <w:spacing w:val="0"/>
          <w:w w:val="100"/>
          <w:kern w:val="0"/>
          <w:sz w:val="20"/>
        </w:rPr>
        <w:t>。</w:t>
      </w:r>
    </w:p>
  </w:footnote>
  <w:footnote w:id="2">
    <w:p w:rsidR="00196268" w:rsidRPr="002356FC" w:rsidRDefault="00196268" w:rsidP="00196268">
      <w:pPr>
        <w:pStyle w:val="FootnoteText"/>
        <w:tabs>
          <w:tab w:val="left" w:pos="624"/>
        </w:tabs>
        <w:spacing w:after="40" w:line="240" w:lineRule="auto"/>
        <w:ind w:left="1253" w:firstLine="0"/>
        <w:contextualSpacing/>
        <w:rPr>
          <w:sz w:val="20"/>
        </w:rPr>
      </w:pPr>
      <w:r w:rsidRPr="005C499F">
        <w:rPr>
          <w:rStyle w:val="FootnoteReference"/>
          <w:spacing w:val="0"/>
          <w:w w:val="100"/>
          <w:kern w:val="0"/>
        </w:rPr>
        <w:footnoteRef/>
      </w:r>
      <w:r w:rsidRPr="005C499F">
        <w:rPr>
          <w:rFonts w:hint="eastAsia"/>
          <w:spacing w:val="0"/>
          <w:w w:val="100"/>
          <w:kern w:val="0"/>
          <w:sz w:val="20"/>
        </w:rPr>
        <w:t xml:space="preserve"> </w:t>
      </w:r>
      <w:r w:rsidRPr="005C499F">
        <w:rPr>
          <w:rFonts w:hint="eastAsia"/>
          <w:iCs/>
          <w:color w:val="000000"/>
          <w:spacing w:val="0"/>
          <w:w w:val="100"/>
          <w:kern w:val="0"/>
          <w:sz w:val="20"/>
        </w:rPr>
        <w:t>UNEP/CHW.13/</w:t>
      </w:r>
      <w:r w:rsidRPr="005C499F">
        <w:rPr>
          <w:rFonts w:hint="eastAsia"/>
          <w:color w:val="000000"/>
          <w:spacing w:val="0"/>
          <w:w w:val="100"/>
          <w:kern w:val="0"/>
          <w:sz w:val="20"/>
        </w:rPr>
        <w:t>INF/</w:t>
      </w:r>
      <w:r w:rsidRPr="005C499F">
        <w:rPr>
          <w:rFonts w:hint="eastAsia"/>
          <w:iCs/>
          <w:color w:val="000000"/>
          <w:spacing w:val="0"/>
          <w:w w:val="100"/>
          <w:kern w:val="0"/>
          <w:sz w:val="20"/>
        </w:rPr>
        <w:t>36</w:t>
      </w:r>
      <w:r w:rsidRPr="005C499F">
        <w:rPr>
          <w:rFonts w:hint="eastAsia"/>
          <w:color w:val="000000"/>
          <w:spacing w:val="0"/>
          <w:w w:val="100"/>
          <w:kern w:val="0"/>
          <w:sz w:val="20"/>
        </w:rPr>
        <w:t>-</w:t>
      </w:r>
      <w:r w:rsidRPr="005C499F">
        <w:rPr>
          <w:rFonts w:hint="eastAsia"/>
          <w:iCs/>
          <w:color w:val="000000"/>
          <w:spacing w:val="0"/>
          <w:w w:val="100"/>
          <w:kern w:val="0"/>
          <w:sz w:val="20"/>
        </w:rPr>
        <w:t>UNEP/FAO/RC/COP.8/INF/26-UNEP/POPS/COP.8/INF/25</w:t>
      </w:r>
      <w:r w:rsidRPr="005C499F">
        <w:rPr>
          <w:rFonts w:hint="eastAsia"/>
          <w:iCs/>
          <w:color w:val="000000"/>
          <w:spacing w:val="0"/>
          <w:w w:val="100"/>
          <w:kern w:val="0"/>
          <w:sz w:val="20"/>
        </w:rPr>
        <w:t>。</w:t>
      </w:r>
    </w:p>
  </w:footnote>
  <w:footnote w:id="3">
    <w:p w:rsidR="00196268" w:rsidRPr="00946516" w:rsidRDefault="00196268" w:rsidP="00196268">
      <w:pPr>
        <w:pStyle w:val="FootnoteText"/>
        <w:tabs>
          <w:tab w:val="left" w:pos="624"/>
        </w:tabs>
        <w:spacing w:after="40" w:line="240" w:lineRule="auto"/>
        <w:ind w:left="1253" w:firstLine="0"/>
        <w:contextualSpacing/>
        <w:rPr>
          <w:spacing w:val="0"/>
          <w:w w:val="100"/>
          <w:sz w:val="20"/>
          <w:lang w:eastAsia="zh-CN"/>
        </w:rPr>
      </w:pPr>
      <w:r w:rsidRPr="00946516">
        <w:rPr>
          <w:rStyle w:val="FootnoteReference"/>
          <w:spacing w:val="0"/>
          <w:w w:val="100"/>
        </w:rPr>
        <w:footnoteRef/>
      </w:r>
      <w:r w:rsidRPr="00946516">
        <w:rPr>
          <w:rFonts w:hint="eastAsia"/>
          <w:spacing w:val="0"/>
          <w:w w:val="100"/>
          <w:sz w:val="20"/>
          <w:lang w:eastAsia="zh-CN"/>
        </w:rPr>
        <w:t xml:space="preserve"> </w:t>
      </w:r>
      <w:r w:rsidRPr="00946516">
        <w:rPr>
          <w:rFonts w:hint="eastAsia"/>
          <w:iCs/>
          <w:color w:val="000000"/>
          <w:spacing w:val="0"/>
          <w:w w:val="100"/>
          <w:sz w:val="20"/>
          <w:lang w:eastAsia="zh-CN"/>
        </w:rPr>
        <w:t>参见联合国环境大会关于化学品和废物健全管理的</w:t>
      </w:r>
      <w:r w:rsidRPr="00946516">
        <w:rPr>
          <w:rFonts w:hint="eastAsia"/>
          <w:iCs/>
          <w:color w:val="000000"/>
          <w:spacing w:val="0"/>
          <w:w w:val="100"/>
          <w:sz w:val="20"/>
          <w:lang w:eastAsia="zh-CN"/>
        </w:rPr>
        <w:t>2/7</w:t>
      </w:r>
      <w:r w:rsidRPr="00946516">
        <w:rPr>
          <w:rFonts w:hint="eastAsia"/>
          <w:iCs/>
          <w:color w:val="000000"/>
          <w:spacing w:val="0"/>
          <w:w w:val="100"/>
          <w:sz w:val="20"/>
          <w:lang w:eastAsia="zh-CN"/>
        </w:rPr>
        <w:t>号决议。</w:t>
      </w:r>
      <w:r w:rsidRPr="00946516">
        <w:rPr>
          <w:rFonts w:hint="eastAsia"/>
          <w:spacing w:val="0"/>
          <w:w w:val="100"/>
          <w:sz w:val="20"/>
          <w:lang w:eastAsia="zh-CN"/>
        </w:rPr>
        <w:t xml:space="preserve"> </w:t>
      </w:r>
    </w:p>
  </w:footnote>
  <w:footnote w:id="4">
    <w:p w:rsidR="00196268" w:rsidRPr="00946516"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pPr>
      <w:r w:rsidRPr="00946516">
        <w:rPr>
          <w:vertAlign w:val="superscript"/>
          <w:lang w:val="zh-CN"/>
        </w:rPr>
        <w:footnoteRef/>
      </w:r>
      <w:r w:rsidRPr="00946516">
        <w:t xml:space="preserve"> </w:t>
      </w:r>
      <w:r w:rsidRPr="00946516">
        <w:rPr>
          <w:lang w:val="zh-CN"/>
        </w:rPr>
        <w:t>见</w:t>
      </w:r>
      <w:r w:rsidRPr="00946516">
        <w:t>www.basel.int/Partners/RegionalCentres/BusinessPlans/tabid/2336/Default.aspx</w:t>
      </w:r>
      <w:r w:rsidRPr="00946516">
        <w:rPr>
          <w:lang w:val="zh-CN"/>
        </w:rPr>
        <w:t>。</w:t>
      </w:r>
    </w:p>
  </w:footnote>
  <w:footnote w:id="5">
    <w:p w:rsidR="00196268" w:rsidRPr="00946516"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rPr>
          <w:lang w:eastAsia="zh-CN"/>
        </w:rPr>
      </w:pPr>
      <w:r w:rsidRPr="00946516">
        <w:rPr>
          <w:vertAlign w:val="superscript"/>
          <w:lang w:val="zh-CN"/>
        </w:rPr>
        <w:footnoteRef/>
      </w:r>
      <w:r w:rsidRPr="00946516">
        <w:rPr>
          <w:lang w:val="zh-CN" w:eastAsia="zh-CN"/>
        </w:rPr>
        <w:t xml:space="preserve"> </w:t>
      </w:r>
      <w:r w:rsidRPr="00946516">
        <w:rPr>
          <w:lang w:val="zh-CN" w:eastAsia="zh-CN"/>
        </w:rPr>
        <w:t>见 www.basel.int/Partners/RegionalCentres/ActivityReports/tabid/2992/Default.aspx。</w:t>
      </w:r>
    </w:p>
  </w:footnote>
  <w:footnote w:id="6">
    <w:p w:rsidR="00196268" w:rsidRPr="00946516"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pPr>
      <w:r w:rsidRPr="00946516">
        <w:rPr>
          <w:vertAlign w:val="superscript"/>
          <w:lang w:val="zh-CN"/>
        </w:rPr>
        <w:footnoteRef/>
      </w:r>
      <w:r w:rsidRPr="00946516">
        <w:t xml:space="preserve"> </w:t>
      </w:r>
      <w:r w:rsidRPr="00946516">
        <w:rPr>
          <w:rFonts w:hint="eastAsia"/>
          <w:lang w:val="zh-CN" w:eastAsia="zh-CN"/>
        </w:rPr>
        <w:t>可</w:t>
      </w:r>
      <w:r w:rsidRPr="00946516">
        <w:rPr>
          <w:lang w:val="zh-CN" w:eastAsia="zh-CN"/>
        </w:rPr>
        <w:t>查阅</w:t>
      </w:r>
      <w:r w:rsidRPr="00946516">
        <w:t>UNEP/CHW.13/INF/29-UNEP/POPS/COP.8/INF/26</w:t>
      </w:r>
      <w:r w:rsidRPr="00946516">
        <w:rPr>
          <w:lang w:val="zh-CN"/>
        </w:rPr>
        <w:t>。</w:t>
      </w:r>
    </w:p>
  </w:footnote>
  <w:footnote w:id="7">
    <w:p w:rsidR="00196268" w:rsidRPr="007F2771"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pPr>
      <w:r w:rsidRPr="007F2771">
        <w:rPr>
          <w:vertAlign w:val="superscript"/>
          <w:lang w:val="zh-CN"/>
        </w:rPr>
        <w:footnoteRef/>
      </w:r>
      <w:r w:rsidRPr="007F2771">
        <w:t xml:space="preserve"> </w:t>
      </w:r>
      <w:hyperlink r:id="rId1" w:history="1">
        <w:r w:rsidRPr="00D53D33">
          <w:rPr>
            <w:rStyle w:val="Hyperlink"/>
          </w:rPr>
          <w:t>http://www.basel.int/Partners/RegionalCentres/TheCentres/BCRCArgentina/</w:t>
        </w:r>
      </w:hyperlink>
      <w:proofErr w:type="spellStart"/>
      <w:r w:rsidRPr="007F2771">
        <w:t>tabid</w:t>
      </w:r>
      <w:proofErr w:type="spellEnd"/>
      <w:r w:rsidRPr="007F2771">
        <w:t>/4838/</w:t>
      </w:r>
      <w:r>
        <w:t xml:space="preserve"> </w:t>
      </w:r>
      <w:r w:rsidRPr="007F2771">
        <w:t>Default.aspx</w:t>
      </w:r>
      <w:r w:rsidRPr="007F2771">
        <w:rPr>
          <w:lang w:val="zh-CN"/>
        </w:rPr>
        <w:t>。</w:t>
      </w:r>
    </w:p>
  </w:footnote>
  <w:footnote w:id="8">
    <w:p w:rsidR="00196268" w:rsidRPr="00166861"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rPr>
          <w:spacing w:val="-4"/>
        </w:rPr>
      </w:pPr>
      <w:r w:rsidRPr="007F2771">
        <w:rPr>
          <w:vertAlign w:val="superscript"/>
          <w:lang w:val="zh-CN"/>
        </w:rPr>
        <w:footnoteRef/>
      </w:r>
      <w:r w:rsidRPr="007F2771">
        <w:t xml:space="preserve"> </w:t>
      </w:r>
      <w:r w:rsidRPr="00166861">
        <w:rPr>
          <w:spacing w:val="-4"/>
        </w:rPr>
        <w:t>http://www.basel.int/Partners/RegionalCentres/TheCentres/SCRCIran/tabid/4846/Default.aspx</w:t>
      </w:r>
      <w:r w:rsidRPr="00166861">
        <w:rPr>
          <w:spacing w:val="-4"/>
          <w:lang w:val="zh-CN"/>
        </w:rPr>
        <w:t>。</w:t>
      </w:r>
    </w:p>
  </w:footnote>
  <w:footnote w:id="9">
    <w:p w:rsidR="00196268" w:rsidRPr="00DE7604" w:rsidRDefault="00196268" w:rsidP="00196268">
      <w:pPr>
        <w:pStyle w:val="Normalnumber"/>
        <w:numPr>
          <w:ilvl w:val="0"/>
          <w:numId w:val="0"/>
        </w:numPr>
        <w:tabs>
          <w:tab w:val="clear" w:pos="1247"/>
          <w:tab w:val="clear" w:pos="1814"/>
          <w:tab w:val="clear" w:pos="2381"/>
          <w:tab w:val="clear" w:pos="2948"/>
          <w:tab w:val="clear" w:pos="3515"/>
        </w:tabs>
        <w:spacing w:before="20" w:after="40"/>
        <w:ind w:left="1253"/>
        <w:contextualSpacing/>
      </w:pPr>
      <w:r w:rsidRPr="00DE7604">
        <w:rPr>
          <w:vertAlign w:val="superscript"/>
          <w:lang w:val="zh-CN"/>
        </w:rPr>
        <w:footnoteRef/>
      </w:r>
      <w:r w:rsidRPr="00DE7604">
        <w:rPr>
          <w:lang w:val="zh-CN"/>
        </w:rPr>
        <w:t xml:space="preserve"> </w:t>
      </w:r>
      <w:r w:rsidRPr="00DE7604">
        <w:rPr>
          <w:rFonts w:ascii="SimSun" w:eastAsia="SimSun" w:hAnsi="SimSun" w:hint="eastAsia"/>
          <w:lang w:val="zh-CN" w:eastAsia="zh-CN"/>
        </w:rPr>
        <w:t>参</w:t>
      </w:r>
      <w:proofErr w:type="spellStart"/>
      <w:r w:rsidRPr="00DE7604">
        <w:rPr>
          <w:rFonts w:ascii="SimSun" w:eastAsia="SimSun" w:hAnsi="SimSun"/>
          <w:lang w:val="zh-CN"/>
        </w:rPr>
        <w:t>见</w:t>
      </w:r>
      <w:r w:rsidRPr="00DE7604">
        <w:rPr>
          <w:lang w:val="zh-CN"/>
        </w:rPr>
        <w:t>UNEP</w:t>
      </w:r>
      <w:proofErr w:type="spellEnd"/>
      <w:r w:rsidRPr="00DE7604">
        <w:rPr>
          <w:lang w:val="zh-CN"/>
        </w:rPr>
        <w:t>/CHW.13/11。</w:t>
      </w:r>
    </w:p>
  </w:footnote>
  <w:footnote w:id="10">
    <w:p w:rsidR="00196268" w:rsidRPr="00DE7604" w:rsidRDefault="00196268" w:rsidP="00196268">
      <w:pPr>
        <w:pStyle w:val="FootnoteText"/>
        <w:spacing w:after="40" w:line="240" w:lineRule="auto"/>
        <w:ind w:left="1253" w:firstLine="0"/>
        <w:contextualSpacing/>
        <w:jc w:val="both"/>
        <w:rPr>
          <w:spacing w:val="0"/>
          <w:w w:val="100"/>
          <w:kern w:val="0"/>
          <w:sz w:val="20"/>
        </w:rPr>
      </w:pPr>
      <w:r w:rsidRPr="00DE7604">
        <w:rPr>
          <w:rStyle w:val="FootnoteReference"/>
          <w:spacing w:val="0"/>
          <w:w w:val="100"/>
          <w:kern w:val="0"/>
          <w:lang w:val="zh-CN"/>
        </w:rPr>
        <w:footnoteRef/>
      </w:r>
      <w:r w:rsidRPr="00DE7604">
        <w:rPr>
          <w:spacing w:val="0"/>
          <w:w w:val="100"/>
          <w:kern w:val="0"/>
          <w:sz w:val="20"/>
          <w:lang w:val="zh-CN"/>
        </w:rPr>
        <w:t xml:space="preserve"> </w:t>
      </w:r>
      <w:r w:rsidRPr="00DE7604">
        <w:rPr>
          <w:spacing w:val="0"/>
          <w:w w:val="100"/>
          <w:kern w:val="0"/>
          <w:sz w:val="20"/>
          <w:lang w:val="zh-CN"/>
        </w:rPr>
        <w:t>UNEP/CHW.13/12</w:t>
      </w:r>
      <w:r w:rsidRPr="00DE7604">
        <w:rPr>
          <w:spacing w:val="0"/>
          <w:w w:val="100"/>
          <w:kern w:val="0"/>
          <w:sz w:val="20"/>
          <w:lang w:val="zh-C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97E6F"/>
    <w:multiLevelType w:val="multilevel"/>
    <w:tmpl w:val="647A2DE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2BE51ED3"/>
    <w:multiLevelType w:val="hybridMultilevel"/>
    <w:tmpl w:val="1020108C"/>
    <w:lvl w:ilvl="0" w:tplc="BAD40E26">
      <w:start w:val="1"/>
      <w:numFmt w:val="decimal"/>
      <w:lvlText w:val="%1."/>
      <w:lvlJc w:val="left"/>
      <w:pPr>
        <w:ind w:left="2591" w:hanging="360"/>
      </w:pPr>
      <w:rPr>
        <w:i w:val="0"/>
      </w:rPr>
    </w:lvl>
    <w:lvl w:ilvl="1" w:tplc="4BDA7C56">
      <w:start w:val="1"/>
      <w:numFmt w:val="lowerLetter"/>
      <w:lvlText w:val="(%2)"/>
      <w:lvlJc w:val="left"/>
      <w:pPr>
        <w:ind w:left="3581" w:hanging="63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2">
    <w:nsid w:val="52A66A9D"/>
    <w:multiLevelType w:val="multilevel"/>
    <w:tmpl w:val="EE5859EC"/>
    <w:styleLink w:val="Normallist"/>
    <w:lvl w:ilvl="0">
      <w:start w:val="1"/>
      <w:numFmt w:val="decimal"/>
      <w:pStyle w:val="Normalnumber"/>
      <w:lvlText w:val="%1."/>
      <w:lvlJc w:val="left"/>
      <w:pPr>
        <w:tabs>
          <w:tab w:val="num" w:pos="2677"/>
        </w:tabs>
        <w:ind w:left="2790" w:firstLine="0"/>
      </w:pPr>
      <w:rPr>
        <w:rFonts w:hint="default"/>
      </w:rPr>
    </w:lvl>
    <w:lvl w:ilvl="1">
      <w:start w:val="1"/>
      <w:numFmt w:val="lowerLetter"/>
      <w:lvlText w:val="(%2)"/>
      <w:lvlJc w:val="left"/>
      <w:pPr>
        <w:tabs>
          <w:tab w:val="num" w:pos="1300"/>
        </w:tabs>
        <w:ind w:left="1413"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5A8621FD"/>
    <w:multiLevelType w:val="multilevel"/>
    <w:tmpl w:val="647A2DE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600D1F7C"/>
    <w:multiLevelType w:val="hybridMultilevel"/>
    <w:tmpl w:val="3258DE82"/>
    <w:lvl w:ilvl="0" w:tplc="B6AE9F38">
      <w:start w:val="1"/>
      <w:numFmt w:val="lowerLetter"/>
      <w:lvlText w:val="(%1)"/>
      <w:lvlJc w:val="left"/>
      <w:pPr>
        <w:ind w:left="3213" w:hanging="360"/>
      </w:pPr>
    </w:lvl>
    <w:lvl w:ilvl="1" w:tplc="A8EE54AA">
      <w:start w:val="1"/>
      <w:numFmt w:val="lowerLetter"/>
      <w:lvlText w:val="(%2)"/>
      <w:lvlJc w:val="left"/>
      <w:pPr>
        <w:ind w:left="1440" w:hanging="360"/>
      </w:pPr>
      <w:rPr>
        <w:rFonts w:ascii="Times New Roman" w:hAnsi="Times New Roman" w:cs="Times New Roman" w:hint="default"/>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 w:ilvl="0">
        <w:start w:val="1"/>
        <w:numFmt w:val="lowerLetter"/>
        <w:lvlText w:val="(%1)"/>
        <w:lvlJc w:val="left"/>
        <w:pPr>
          <w:tabs>
            <w:tab w:val="num" w:pos="1134"/>
          </w:tabs>
          <w:ind w:left="1247" w:firstLine="0"/>
        </w:pPr>
        <w:rPr>
          <w:rFonts w:hint="default"/>
        </w:rPr>
      </w:lvl>
    </w:lvlOverride>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196268"/>
    <w:rsid w:val="00087D33"/>
    <w:rsid w:val="00196268"/>
    <w:rsid w:val="00C43D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268"/>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rmallist">
    <w:name w:val="Normal_list"/>
    <w:basedOn w:val="NoList"/>
    <w:rsid w:val="00196268"/>
    <w:pPr>
      <w:numPr>
        <w:numId w:val="1"/>
      </w:numPr>
    </w:pPr>
  </w:style>
  <w:style w:type="paragraph" w:customStyle="1" w:styleId="Normalnumber">
    <w:name w:val="Normal_number"/>
    <w:basedOn w:val="Normal"/>
    <w:link w:val="NormalnumberChar"/>
    <w:qFormat/>
    <w:rsid w:val="00196268"/>
    <w:pPr>
      <w:numPr>
        <w:numId w:val="1"/>
      </w:numPr>
      <w:tabs>
        <w:tab w:val="left" w:pos="4082"/>
      </w:tabs>
      <w:spacing w:after="120"/>
    </w:pPr>
    <w:rPr>
      <w:rFonts w:eastAsiaTheme="minorEastAsia"/>
      <w:lang/>
    </w:rPr>
  </w:style>
  <w:style w:type="character" w:customStyle="1" w:styleId="NormalnumberChar">
    <w:name w:val="Normal_number Char"/>
    <w:link w:val="Normalnumber"/>
    <w:qFormat/>
    <w:locked/>
    <w:rsid w:val="00196268"/>
    <w:rPr>
      <w:rFonts w:ascii="Times New Roman" w:eastAsiaTheme="minorEastAsia" w:hAnsi="Times New Roman" w:cs="Times New Roman"/>
      <w:sz w:val="20"/>
      <w:szCs w:val="20"/>
      <w:lang/>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rsid w:val="00196268"/>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qFormat/>
    <w:rsid w:val="00196268"/>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196268"/>
    <w:rPr>
      <w:rFonts w:ascii="Times New Roman" w:eastAsia="SimSun" w:hAnsi="Times New Roman" w:cs="Times New Roman"/>
      <w:noProof/>
      <w:spacing w:val="5"/>
      <w:w w:val="104"/>
      <w:kern w:val="14"/>
      <w:sz w:val="18"/>
      <w:szCs w:val="20"/>
      <w:lang w:val="en-GB" w:eastAsia="en-GB"/>
    </w:rPr>
  </w:style>
  <w:style w:type="paragraph" w:customStyle="1" w:styleId="Normal-pool">
    <w:name w:val="Normal-pool"/>
    <w:link w:val="Normal-poolChar"/>
    <w:rsid w:val="00196268"/>
    <w:pPr>
      <w:tabs>
        <w:tab w:val="left" w:pos="1247"/>
        <w:tab w:val="left" w:pos="1814"/>
        <w:tab w:val="left" w:pos="2381"/>
        <w:tab w:val="left" w:pos="2948"/>
        <w:tab w:val="left" w:pos="3515"/>
      </w:tabs>
      <w:spacing w:after="0" w:line="240" w:lineRule="auto"/>
    </w:pPr>
    <w:rPr>
      <w:rFonts w:ascii="Times New Roman" w:eastAsiaTheme="minorEastAsia" w:hAnsi="Times New Roman" w:cs="Times New Roman"/>
      <w:sz w:val="20"/>
      <w:szCs w:val="20"/>
      <w:lang w:val="en-GB"/>
    </w:rPr>
  </w:style>
  <w:style w:type="character" w:customStyle="1" w:styleId="Normal-poolChar">
    <w:name w:val="Normal-pool Char"/>
    <w:link w:val="Normal-pool"/>
    <w:rsid w:val="00196268"/>
    <w:rPr>
      <w:rFonts w:ascii="Times New Roman" w:eastAsiaTheme="minorEastAsia" w:hAnsi="Times New Roman" w:cs="Times New Roman"/>
      <w:sz w:val="20"/>
      <w:szCs w:val="20"/>
      <w:lang w:val="en-GB"/>
    </w:rPr>
  </w:style>
  <w:style w:type="character" w:styleId="Hyperlink">
    <w:name w:val="Hyperlink"/>
    <w:uiPriority w:val="99"/>
    <w:semiHidden/>
    <w:rsid w:val="00196268"/>
    <w:rPr>
      <w:rFonts w:ascii="Times New Roman" w:hAnsi="Times New Roman"/>
      <w:color w:val="auto"/>
      <w:sz w:val="20"/>
      <w:szCs w:val="20"/>
      <w:u w:val="none"/>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Partners/RegionalCentres/TheCentres/BCRCArgent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332</Words>
  <Characters>1899</Characters>
  <Application>Microsoft Office Word</Application>
  <DocSecurity>0</DocSecurity>
  <Lines>15</Lines>
  <Paragraphs>4</Paragraphs>
  <ScaleCrop>false</ScaleCrop>
  <Company>BRS</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2017-12-28T10:26:00Z</dcterms:created>
  <dcterms:modified xsi:type="dcterms:W3CDTF">2017-12-28T10:26:00Z</dcterms:modified>
</cp:coreProperties>
</file>