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7CC" w:rsidRPr="0014678D" w:rsidRDefault="005547CC" w:rsidP="005547CC">
      <w:pPr>
        <w:suppressAutoHyphens/>
        <w:ind w:left="1248"/>
        <w:rPr>
          <w:b/>
          <w:sz w:val="28"/>
        </w:rPr>
      </w:pPr>
      <w:r w:rsidRPr="0014678D">
        <w:rPr>
          <w:b/>
          <w:sz w:val="28"/>
        </w:rPr>
        <w:t xml:space="preserve">БК-13/11: Техническая помощь </w:t>
      </w:r>
    </w:p>
    <w:p w:rsidR="005547CC" w:rsidRPr="002A2DC8" w:rsidRDefault="005547CC" w:rsidP="005547CC">
      <w:pPr>
        <w:suppressAutoHyphens/>
        <w:ind w:left="1247" w:firstLine="624"/>
      </w:pPr>
      <w:r w:rsidRPr="006D2585">
        <w:rPr>
          <w:i/>
        </w:rPr>
        <w:t>Конференция Сторон</w:t>
      </w:r>
      <w:r w:rsidRPr="002A2DC8">
        <w:t>,</w:t>
      </w:r>
    </w:p>
    <w:p w:rsidR="005547CC" w:rsidRPr="006B03FA" w:rsidRDefault="005547CC" w:rsidP="005547CC">
      <w:pPr>
        <w:suppressAutoHyphens/>
        <w:ind w:left="624" w:firstLine="624"/>
        <w:jc w:val="center"/>
        <w:rPr>
          <w:b/>
          <w:sz w:val="24"/>
        </w:rPr>
      </w:pPr>
      <w:r w:rsidRPr="006B03FA">
        <w:rPr>
          <w:b/>
          <w:sz w:val="24"/>
        </w:rPr>
        <w:t>I</w:t>
      </w:r>
    </w:p>
    <w:p w:rsidR="005547CC" w:rsidRPr="006B03FA" w:rsidRDefault="005547CC" w:rsidP="005547CC">
      <w:pPr>
        <w:suppressAutoHyphens/>
        <w:ind w:left="624" w:firstLine="624"/>
        <w:jc w:val="center"/>
        <w:rPr>
          <w:b/>
          <w:sz w:val="24"/>
        </w:rPr>
      </w:pPr>
      <w:r w:rsidRPr="006B03FA">
        <w:rPr>
          <w:b/>
          <w:sz w:val="24"/>
        </w:rPr>
        <w:t>Техническая помощь</w:t>
      </w:r>
    </w:p>
    <w:p w:rsidR="005547CC" w:rsidRPr="002A2DC8" w:rsidRDefault="005547CC" w:rsidP="005547CC">
      <w:pPr>
        <w:suppressAutoHyphens/>
        <w:ind w:left="1247" w:firstLine="624"/>
      </w:pPr>
      <w:r w:rsidRPr="00CE1E68">
        <w:rPr>
          <w:i/>
        </w:rPr>
        <w:t>принимая к сведению</w:t>
      </w:r>
      <w:r w:rsidRPr="002A2DC8">
        <w:t xml:space="preserve"> рекомендации, содержащиеся в докладе об общем обзоре механизмов развития синергии</w:t>
      </w:r>
      <w:r w:rsidRPr="00CE1E68">
        <w:rPr>
          <w:vertAlign w:val="superscript"/>
        </w:rPr>
        <w:footnoteReference w:id="1"/>
      </w:r>
      <w:r w:rsidRPr="002A2DC8">
        <w:t>,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1.</w:t>
      </w:r>
      <w:r w:rsidRPr="002A2DC8">
        <w:tab/>
      </w:r>
      <w:r w:rsidRPr="00CE1E68">
        <w:rPr>
          <w:i/>
        </w:rPr>
        <w:t>просит</w:t>
      </w:r>
      <w:r w:rsidRPr="002A2DC8">
        <w:t xml:space="preserve"> секретариат продолжать собирать с помощью созданной для этой цели базы данных информацию о потребностях Сторон, являющихся развивающимися странами, и Сторон, являющихся странами с переходной экономикой, в техническом содействии и создании потенциала; 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2.</w:t>
      </w:r>
      <w:r w:rsidRPr="002A2DC8">
        <w:tab/>
      </w:r>
      <w:r w:rsidRPr="00CE1E68">
        <w:rPr>
          <w:i/>
        </w:rPr>
        <w:t>приветствует</w:t>
      </w:r>
      <w:r w:rsidRPr="002A2DC8">
        <w:t xml:space="preserve"> план оказания технической помощи для осуществления Базельской конвенции,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на период 2018-2021 годов</w:t>
      </w:r>
      <w:r w:rsidRPr="00CE1E68">
        <w:rPr>
          <w:vertAlign w:val="superscript"/>
        </w:rPr>
        <w:footnoteReference w:id="2"/>
      </w:r>
      <w:r w:rsidRPr="002A2DC8">
        <w:t xml:space="preserve"> и поручает секретариату, при условии наличия ресурсов, выполнять его в сотрудничестве с соответствующими заинтересованными сторонами, которые стремятся привлекать программный потенциал и финансовые ресурсы соответствующих международных организаций;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3.</w:t>
      </w:r>
      <w:r w:rsidRPr="002A2DC8">
        <w:tab/>
      </w:r>
      <w:r w:rsidRPr="00CE1E68">
        <w:rPr>
          <w:i/>
        </w:rPr>
        <w:t>призывает</w:t>
      </w:r>
      <w:r w:rsidRPr="002A2DC8">
        <w:t xml:space="preserve"> Стороны, региональные центры и другие субъекты: 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а)</w:t>
      </w:r>
      <w:r w:rsidRPr="002A2DC8">
        <w:tab/>
        <w:t>вносить финансовые взносы или взносы в натуральной форме для обеспечения наличия материалов и проведения мероприятий по вопросам создания потенциала на шести официальных языках Организации Объединенных Наций;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b)</w:t>
      </w:r>
      <w:r w:rsidRPr="002A2DC8">
        <w:tab/>
        <w:t>проводить мероприятия по созданию потенциала на официальных местных языках, по мере необходимости;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4.</w:t>
      </w:r>
      <w:r w:rsidRPr="002A2DC8">
        <w:tab/>
      </w:r>
      <w:r w:rsidRPr="00CE1E68">
        <w:rPr>
          <w:i/>
        </w:rPr>
        <w:t>просит</w:t>
      </w:r>
      <w:r w:rsidRPr="002A2DC8">
        <w:t xml:space="preserve"> секретариат </w:t>
      </w:r>
      <w:r>
        <w:t>о взаимодействии</w:t>
      </w:r>
      <w:r w:rsidRPr="002A2DC8">
        <w:t xml:space="preserve"> с другими международными организациями изучить дополнительные пути содействия сотрудничеству по линиям Север-Юг, Юг-Юг и трехстороннего сотрудничества в рамках своего плана оказания технического содействия, о котором говорится в пункте 2 выше;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5.</w:t>
      </w:r>
      <w:r w:rsidRPr="002A2DC8">
        <w:tab/>
      </w:r>
      <w:r w:rsidRPr="00CE1E68">
        <w:rPr>
          <w:i/>
        </w:rPr>
        <w:t>подчеркивает</w:t>
      </w:r>
      <w:r w:rsidRPr="002A2DC8">
        <w:t xml:space="preserve"> роль региональных центров, предусмотренную положениями Базельской конвенции и Стокгольмской конвенции о стойких органических загрязнителях, а также региональных, субрегиональных и страновых отделений Продовольственной и сельскохозяйственной организации Объединенных Наций, Программы Организации Объединенных Наций по окружающей среде и других организаций, участвующих в Межорганизационной программе по рациональному регулированию химических веществ, в предоставлении по запросу технического содействия на региональном уровне для осуществления Базельской конвенции,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и в содействии передаче технологий правомочным Сторонам;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6.</w:t>
      </w:r>
      <w:r w:rsidRPr="002A2DC8">
        <w:tab/>
      </w:r>
      <w:r w:rsidRPr="00CE1E68">
        <w:rPr>
          <w:i/>
        </w:rPr>
        <w:t>приветствует</w:t>
      </w:r>
      <w:r w:rsidRPr="002A2DC8">
        <w:t xml:space="preserve"> резолюцию Ассамблеи Организации Объединенных Наций по окружающей среде, в которой подчеркивается роль региональных центров Базельской и Стокгольмской конвенций в оказании регионам содействия в осуществлении этих двух конвенций и в проведении другой соответствующей работы, касающейся многосторонних </w:t>
      </w:r>
      <w:r w:rsidRPr="002A2DC8">
        <w:lastRenderedPageBreak/>
        <w:t>природоохранных соглашений, в сфере химических веществ и отходов в странах, которые ими обслуживаются</w:t>
      </w:r>
      <w:r w:rsidRPr="00141F48">
        <w:rPr>
          <w:vertAlign w:val="superscript"/>
        </w:rPr>
        <w:footnoteReference w:id="3"/>
      </w:r>
      <w:r w:rsidRPr="002A2DC8">
        <w:t>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7.</w:t>
      </w:r>
      <w:r w:rsidRPr="002A2DC8">
        <w:tab/>
      </w:r>
      <w:r w:rsidRPr="00141F48">
        <w:rPr>
          <w:i/>
        </w:rPr>
        <w:t>просит</w:t>
      </w:r>
      <w:r w:rsidRPr="002A2DC8">
        <w:t xml:space="preserve"> секретариат подготовить доклад о выполнении плана </w:t>
      </w:r>
      <w:r>
        <w:t xml:space="preserve">оказания </w:t>
      </w:r>
      <w:r w:rsidRPr="002A2DC8">
        <w:t>техническо</w:t>
      </w:r>
      <w:r>
        <w:t>й помощи</w:t>
      </w:r>
      <w:r w:rsidRPr="002A2DC8">
        <w:t xml:space="preserve"> на период 2018-2021 годов, включая, по мере целесообразности, корректировки плана, для рассмотрения Конференцией Сторон на ее четырнадцатом совещании;</w:t>
      </w:r>
    </w:p>
    <w:p w:rsidR="005547CC" w:rsidRPr="006B03FA" w:rsidRDefault="005547CC" w:rsidP="005547CC">
      <w:pPr>
        <w:suppressAutoHyphens/>
        <w:ind w:left="624" w:firstLine="624"/>
        <w:jc w:val="center"/>
        <w:rPr>
          <w:b/>
          <w:sz w:val="24"/>
        </w:rPr>
      </w:pPr>
      <w:r w:rsidRPr="006B03FA">
        <w:rPr>
          <w:b/>
          <w:sz w:val="24"/>
        </w:rPr>
        <w:t>II</w:t>
      </w:r>
    </w:p>
    <w:p w:rsidR="005547CC" w:rsidRPr="006B03FA" w:rsidRDefault="005547CC" w:rsidP="005547CC">
      <w:pPr>
        <w:suppressAutoHyphens/>
        <w:ind w:left="1247" w:right="567"/>
        <w:jc w:val="center"/>
        <w:rPr>
          <w:b/>
          <w:sz w:val="24"/>
        </w:rPr>
      </w:pPr>
      <w:r w:rsidRPr="006B03FA">
        <w:rPr>
          <w:b/>
          <w:sz w:val="24"/>
        </w:rPr>
        <w:t>Региональные и координационные центры Базельской конвенции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8.</w:t>
      </w:r>
      <w:r w:rsidRPr="002A2DC8">
        <w:tab/>
      </w:r>
      <w:r w:rsidRPr="006B03FA">
        <w:rPr>
          <w:i/>
        </w:rPr>
        <w:t>принимает к сведению</w:t>
      </w:r>
      <w:r w:rsidRPr="002A2DC8">
        <w:t>: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a)</w:t>
      </w:r>
      <w:r w:rsidRPr="002A2DC8">
        <w:tab/>
        <w:t>планы деятельности на период с января 2016 года по декабрь 2019 года</w:t>
      </w:r>
      <w:r w:rsidRPr="006B03FA">
        <w:rPr>
          <w:vertAlign w:val="superscript"/>
        </w:rPr>
        <w:footnoteReference w:id="4"/>
      </w:r>
      <w:r w:rsidRPr="002A2DC8">
        <w:t xml:space="preserve"> и отчеты о работе за период с января 2015 года по декабрь 2016 года</w:t>
      </w:r>
      <w:r w:rsidRPr="006B03FA">
        <w:rPr>
          <w:vertAlign w:val="superscript"/>
        </w:rPr>
        <w:footnoteReference w:id="5"/>
      </w:r>
      <w:r w:rsidRPr="002A2DC8">
        <w:t>, представленные региональными и координационными центрами Базельской конвенции;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b)</w:t>
      </w:r>
      <w:r w:rsidRPr="002A2DC8">
        <w:tab/>
        <w:t>доклад о деятельности региональных и координационных центров</w:t>
      </w:r>
      <w:r w:rsidRPr="006B03FA">
        <w:rPr>
          <w:vertAlign w:val="superscript"/>
        </w:rPr>
        <w:footnoteReference w:id="6"/>
      </w:r>
      <w:r w:rsidRPr="002A2DC8">
        <w:t xml:space="preserve">; 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c)</w:t>
      </w:r>
      <w:r w:rsidRPr="002A2DC8">
        <w:tab/>
        <w:t xml:space="preserve">доклад о деятельности региональных и координационных центров Базельской конвенции и региональных и субрегиональных центров Стокгольмской конвенции, содержащийся в совместных документах UNEP/CHW.13/INF/29/Rev.1 и UNEP/POPS/COP.8/INF/26/Rev.1; 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d)</w:t>
      </w:r>
      <w:r w:rsidRPr="002A2DC8">
        <w:tab/>
        <w:t>недавно подписанное рамочное соглашение между секретариатом от имени Конференции Сторон и правительствами Аргентины</w:t>
      </w:r>
      <w:r w:rsidRPr="006B03FA">
        <w:rPr>
          <w:vertAlign w:val="superscript"/>
        </w:rPr>
        <w:footnoteReference w:id="7"/>
      </w:r>
      <w:r w:rsidRPr="002A2DC8">
        <w:t xml:space="preserve"> и Исламской Республики Иран</w:t>
      </w:r>
      <w:r w:rsidRPr="006B03FA">
        <w:rPr>
          <w:vertAlign w:val="superscript"/>
        </w:rPr>
        <w:footnoteReference w:id="8"/>
      </w:r>
      <w:r w:rsidRPr="002A2DC8">
        <w:t>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9.</w:t>
      </w:r>
      <w:r w:rsidRPr="002A2DC8">
        <w:tab/>
      </w:r>
      <w:r w:rsidRPr="006B03FA">
        <w:rPr>
          <w:i/>
        </w:rPr>
        <w:t>просит</w:t>
      </w:r>
      <w:r w:rsidRPr="002A2DC8">
        <w:t xml:space="preserve"> секретариат принять необходимые меры для подписания, во исполнение решения VI/3, рамочного соглашения с правительством Словакии, чтобы документально закрепить создание Регионального центра Базельской конвенции для стран Центральной и Восточной Европы в Словакии; 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10.</w:t>
      </w:r>
      <w:r w:rsidRPr="002A2DC8">
        <w:tab/>
      </w:r>
      <w:r w:rsidRPr="00C05D1E">
        <w:rPr>
          <w:i/>
        </w:rPr>
        <w:t>принимает к сведению</w:t>
      </w:r>
      <w:r w:rsidRPr="002A2DC8">
        <w:t xml:space="preserve"> завершение деятельности существующего регионального центра Базельской конвенции в Российской Федерации и просьбу Российской Федерации о создании в этой стране нового регионального центра Базельской конвенции и уполномочивает секретариат принять необходимые меры для подписания, во исполнение решения VI/3 и в соответствии с критериями, принятыми в решении II/19, рамочного соглашения для возможного создания нового регионального центра Базельской конвенции в Российской Федерации;</w:t>
      </w:r>
    </w:p>
    <w:p w:rsidR="005547CC" w:rsidRPr="00C05D1E" w:rsidRDefault="005547CC" w:rsidP="005547CC">
      <w:pPr>
        <w:suppressAutoHyphens/>
        <w:ind w:left="1247" w:firstLine="624"/>
      </w:pPr>
      <w:r w:rsidRPr="002A2DC8">
        <w:t>11.</w:t>
      </w:r>
      <w:r w:rsidRPr="002A2DC8">
        <w:tab/>
      </w:r>
      <w:r w:rsidRPr="00C05D1E">
        <w:rPr>
          <w:i/>
        </w:rPr>
        <w:t>принимает к сведению</w:t>
      </w:r>
      <w:r w:rsidRPr="002A2DC8">
        <w:t xml:space="preserve"> просьбы Бразилии и Панамы о создании нового регионального центра Базельской конвенции для обслуживания субрегиона Центральной Америки и Мексики, уполномочивает секретариат инициировать процесс, направленный на подписание, во исполнение решения VI/3 и в соответствии с критериями, принятыми в решении II/19, рамочного соглашения для возможного создания нового регионального центра Базельской конвенции для обслуживания субрегиона Центральной Америки и Мексики, принимая во внимание мнения Сторон в регионе по этому вопросу, высказанные не позднее следующего совещания Рабо</w:t>
      </w:r>
      <w:r>
        <w:t xml:space="preserve">чей группы открытого состава; 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12.</w:t>
      </w:r>
      <w:r w:rsidRPr="002A2DC8">
        <w:tab/>
      </w:r>
      <w:r w:rsidRPr="00C05D1E">
        <w:rPr>
          <w:i/>
        </w:rPr>
        <w:t>просит</w:t>
      </w:r>
      <w:r w:rsidRPr="002A2DC8">
        <w:t xml:space="preserve"> региональные и координационные центры Базельской конвенции представить секретариату для рассмотрения Конференцией Сторон на ее четырнадцатом совещании: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lastRenderedPageBreak/>
        <w:t>a)</w:t>
      </w:r>
      <w:r w:rsidRPr="002A2DC8">
        <w:tab/>
        <w:t>до 30 сентября 2019 года – свои планы деятель</w:t>
      </w:r>
      <w:r>
        <w:t>ности на период с 1 января 2020</w:t>
      </w:r>
      <w:r>
        <w:rPr>
          <w:lang w:val="en-US"/>
        </w:rPr>
        <w:t> </w:t>
      </w:r>
      <w:r w:rsidRPr="002A2DC8">
        <w:t xml:space="preserve">года по 31 декабря 2023 года; 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b)</w:t>
      </w:r>
      <w:r w:rsidRPr="002A2DC8">
        <w:tab/>
        <w:t>до 31 декабря 2018 года – свои отчеты о работе за период с 1 января 2017 года по 31 декабря 2018 года;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13.</w:t>
      </w:r>
      <w:r w:rsidRPr="002A2DC8">
        <w:tab/>
      </w:r>
      <w:r w:rsidRPr="00C05D1E">
        <w:rPr>
          <w:i/>
        </w:rPr>
        <w:t>просит</w:t>
      </w:r>
      <w:r w:rsidRPr="002A2DC8">
        <w:t xml:space="preserve"> секретариат подготовить доклад о деятельности региональных и координационных центров Базельской конвенции для рассмотрения Конференцией Сторон на ее четырнадцатом совещании;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14.</w:t>
      </w:r>
      <w:r w:rsidRPr="002A2DC8">
        <w:tab/>
      </w:r>
      <w:r w:rsidRPr="00C05D1E">
        <w:rPr>
          <w:i/>
        </w:rPr>
        <w:t>призывает</w:t>
      </w:r>
      <w:r w:rsidRPr="002A2DC8">
        <w:t xml:space="preserve"> заинтересованные региональные и координационные центры проводить в рамках Конвенции работу по вопросам воздействия пластмассовых отходов, лома и микрочастиц пластмасс в морской среде и мер по предотвращению их образования и их экологически обоснованному регулированию, что должно быть отражено в докладе, испрошенном в пункте 13 выше, и, в случае целесообразности, в других соответствующих докладах;</w:t>
      </w:r>
      <w:r>
        <w:t xml:space="preserve"> 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15.</w:t>
      </w:r>
      <w:r w:rsidRPr="002A2DC8">
        <w:tab/>
      </w:r>
      <w:r w:rsidRPr="00C05D1E">
        <w:rPr>
          <w:i/>
        </w:rPr>
        <w:t>принимает к сведению</w:t>
      </w:r>
      <w:r w:rsidRPr="002A2DC8">
        <w:t xml:space="preserve"> уведомление правительства Сальвадора о прекращении действия рамочного соглашения о размещении Регионального центра Базельской конвенции по подготовке кадров и передаче технологии для субрегиона Центральной Америки, включая Мексику, которое вступит в силу 4 мая 2017 года</w:t>
      </w:r>
      <w:r w:rsidRPr="00150055">
        <w:rPr>
          <w:vertAlign w:val="superscript"/>
        </w:rPr>
        <w:footnoteReference w:id="9"/>
      </w:r>
      <w:r w:rsidRPr="002A2DC8">
        <w:t>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16.</w:t>
      </w:r>
      <w:r w:rsidRPr="002A2DC8">
        <w:tab/>
      </w:r>
      <w:r w:rsidRPr="00C05D1E">
        <w:rPr>
          <w:i/>
        </w:rPr>
        <w:t>предлагает</w:t>
      </w:r>
      <w:r w:rsidRPr="002A2DC8">
        <w:t xml:space="preserve"> Сторонам, наблюдателям и другим финансовым учреждениям, располагающим соответствующими возможностями, оказать финансовую поддержку с тем, чтобы региональные и координационные центры Базельской конвенции могли обеспечить реализацию своих планов работы с целью оказания Сторонам поддержки в их усилиях по выполнению их обязательств в рамках Конвенции;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17.</w:t>
      </w:r>
      <w:r w:rsidRPr="002A2DC8">
        <w:tab/>
      </w:r>
      <w:r w:rsidRPr="00C05D1E">
        <w:rPr>
          <w:i/>
        </w:rPr>
        <w:t>призывает</w:t>
      </w:r>
      <w:r w:rsidRPr="002A2DC8">
        <w:t xml:space="preserve"> Стороны, наблюдателей и другие финансовые учреждения активизировать коммуникацию с региональными и координационными центрами Базельской конвенции; </w:t>
      </w:r>
    </w:p>
    <w:p w:rsidR="005547CC" w:rsidRPr="00C05D1E" w:rsidRDefault="005547CC" w:rsidP="005547CC">
      <w:pPr>
        <w:suppressAutoHyphens/>
        <w:ind w:left="1247" w:right="567"/>
        <w:jc w:val="center"/>
        <w:rPr>
          <w:b/>
          <w:sz w:val="24"/>
        </w:rPr>
      </w:pPr>
      <w:r w:rsidRPr="00C05D1E">
        <w:rPr>
          <w:b/>
          <w:sz w:val="24"/>
        </w:rPr>
        <w:t>III</w:t>
      </w:r>
    </w:p>
    <w:p w:rsidR="005547CC" w:rsidRPr="00C05D1E" w:rsidRDefault="005547CC" w:rsidP="005547CC">
      <w:pPr>
        <w:suppressAutoHyphens/>
        <w:ind w:left="1247" w:right="567"/>
        <w:jc w:val="center"/>
        <w:rPr>
          <w:b/>
          <w:sz w:val="24"/>
        </w:rPr>
      </w:pPr>
      <w:r w:rsidRPr="00C05D1E">
        <w:rPr>
          <w:b/>
          <w:sz w:val="24"/>
        </w:rPr>
        <w:t>Осуществление решения V/32 о расширении сферы деятельности Целевого фонда для оказания содействия развивающимся и другим странам, нуждающимся в технической помощи в деле осуществления Базельской конвенции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18.</w:t>
      </w:r>
      <w:r w:rsidRPr="002A2DC8">
        <w:tab/>
      </w:r>
      <w:r w:rsidRPr="00150055">
        <w:rPr>
          <w:i/>
        </w:rPr>
        <w:t>принимает к сведению</w:t>
      </w:r>
      <w:r w:rsidRPr="002A2DC8">
        <w:t xml:space="preserve"> информацию о мероприятиях, проведенных секретариатом во исполнение решения БК-12/11</w:t>
      </w:r>
      <w:r w:rsidRPr="00150055">
        <w:rPr>
          <w:vertAlign w:val="superscript"/>
        </w:rPr>
        <w:footnoteReference w:id="10"/>
      </w:r>
      <w:r w:rsidRPr="002A2DC8">
        <w:t>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19.</w:t>
      </w:r>
      <w:r w:rsidRPr="002A2DC8">
        <w:tab/>
      </w:r>
      <w:r w:rsidRPr="00150055">
        <w:rPr>
          <w:i/>
        </w:rPr>
        <w:t>приветствует</w:t>
      </w:r>
      <w:r w:rsidRPr="002A2DC8">
        <w:t xml:space="preserve"> активное участие Совместной группы по окружающей среде Программы Организации Объединенных Наций по окружающей среде/Управления по координации гуманитарных вопросов в отношении чрезвычайных ситуаций и призывает ее продолжать сотрудничество с секретариатом;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t>20.</w:t>
      </w:r>
      <w:r w:rsidRPr="002A2DC8">
        <w:tab/>
      </w:r>
      <w:r w:rsidRPr="00150055">
        <w:rPr>
          <w:i/>
        </w:rPr>
        <w:t>просит</w:t>
      </w:r>
      <w:r w:rsidRPr="002A2DC8">
        <w:t xml:space="preserve"> секретариат, при условии наличия ресурсов, и предлагает региональным и координационным центрам Базельской конвенции продолжать осуществлять совместно с соответствующими партнерами, такими как Совместная группа по окружающей среде Программы Организации Объединенных Наций по окружающей среде/Управления по координации гуманитарных вопросов, мероприятия по созданию потенциала, связанные с вопросами предотвращения аварий и повышения готовности стран к чрезвычайным ситуациям, вызванным трансграничными перевозками опасных отходов и других отходов и их удалением, в соответствии с частью 3 временных руководящих принципов осуществления решения V/32 о расширении сферы деятельности Целевого фонда технического сотрудничества согласно решениям БК-IX/10, РК-4/11 и СК-4/34;</w:t>
      </w:r>
    </w:p>
    <w:p w:rsidR="005547CC" w:rsidRPr="002A2DC8" w:rsidRDefault="005547CC" w:rsidP="005547CC">
      <w:pPr>
        <w:suppressAutoHyphens/>
        <w:ind w:left="1247" w:firstLine="624"/>
      </w:pPr>
      <w:r w:rsidRPr="002A2DC8">
        <w:lastRenderedPageBreak/>
        <w:t>21.</w:t>
      </w:r>
      <w:r w:rsidRPr="002A2DC8">
        <w:tab/>
      </w:r>
      <w:r w:rsidRPr="00150055">
        <w:rPr>
          <w:i/>
        </w:rPr>
        <w:t>просит также</w:t>
      </w:r>
      <w:r w:rsidRPr="002A2DC8">
        <w:t xml:space="preserve"> секретариат продолжать сотрудничество и взаимодействие с Совместной группой по окружающей среде Программы Организации Объединенных Наций по окружающей среде/Управления по координации гуманитарных вопросов;</w:t>
      </w:r>
    </w:p>
    <w:p w:rsidR="005547CC" w:rsidRPr="00150055" w:rsidRDefault="005547CC" w:rsidP="005547CC">
      <w:pPr>
        <w:suppressAutoHyphens/>
        <w:ind w:left="624" w:firstLine="624"/>
        <w:jc w:val="center"/>
        <w:rPr>
          <w:b/>
          <w:sz w:val="24"/>
        </w:rPr>
      </w:pPr>
      <w:r w:rsidRPr="00150055">
        <w:rPr>
          <w:b/>
          <w:sz w:val="24"/>
        </w:rPr>
        <w:t>IV</w:t>
      </w:r>
    </w:p>
    <w:p w:rsidR="005547CC" w:rsidRPr="00150055" w:rsidRDefault="005547CC" w:rsidP="005547CC">
      <w:pPr>
        <w:suppressAutoHyphens/>
        <w:ind w:left="624" w:firstLine="624"/>
        <w:jc w:val="center"/>
        <w:rPr>
          <w:b/>
          <w:sz w:val="24"/>
        </w:rPr>
      </w:pPr>
      <w:r w:rsidRPr="00150055">
        <w:rPr>
          <w:b/>
          <w:sz w:val="24"/>
        </w:rPr>
        <w:t>Доклад секретариата</w:t>
      </w:r>
    </w:p>
    <w:p w:rsidR="005547CC" w:rsidRDefault="005547CC" w:rsidP="005547CC">
      <w:pPr>
        <w:suppressAutoHyphens/>
        <w:spacing w:after="240"/>
        <w:ind w:left="1247" w:firstLine="624"/>
      </w:pPr>
      <w:r w:rsidRPr="002A2DC8">
        <w:t>22.</w:t>
      </w:r>
      <w:r w:rsidRPr="002A2DC8">
        <w:tab/>
      </w:r>
      <w:r w:rsidRPr="00150055">
        <w:rPr>
          <w:i/>
        </w:rPr>
        <w:t>просит</w:t>
      </w:r>
      <w:r w:rsidRPr="002A2DC8">
        <w:t xml:space="preserve"> секретариат представить Конференции Сторон на ее четырнадцатом совещании доклад о выполнении настоящего решения.</w:t>
      </w:r>
    </w:p>
    <w:p w:rsidR="00291D03" w:rsidRPr="005547CC" w:rsidRDefault="00291D03" w:rsidP="005547CC">
      <w:pPr>
        <w:spacing w:after="0"/>
        <w:rPr>
          <w:lang w:val="en-US"/>
        </w:rPr>
      </w:pPr>
    </w:p>
    <w:sectPr w:rsidR="00291D03" w:rsidRPr="005547CC" w:rsidSect="00291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06E4" w:rsidRDefault="006F06E4" w:rsidP="005547CC">
      <w:pPr>
        <w:spacing w:after="0"/>
      </w:pPr>
      <w:r>
        <w:separator/>
      </w:r>
    </w:p>
  </w:endnote>
  <w:endnote w:type="continuationSeparator" w:id="0">
    <w:p w:rsidR="006F06E4" w:rsidRDefault="006F06E4" w:rsidP="005547C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06E4" w:rsidRDefault="006F06E4" w:rsidP="005547CC">
      <w:pPr>
        <w:spacing w:after="0"/>
      </w:pPr>
      <w:r>
        <w:separator/>
      </w:r>
    </w:p>
  </w:footnote>
  <w:footnote w:type="continuationSeparator" w:id="0">
    <w:p w:rsidR="006F06E4" w:rsidRDefault="006F06E4" w:rsidP="005547CC">
      <w:pPr>
        <w:spacing w:after="0"/>
      </w:pPr>
      <w:r>
        <w:continuationSeparator/>
      </w:r>
    </w:p>
  </w:footnote>
  <w:footnote w:id="1">
    <w:p w:rsidR="005547CC" w:rsidRPr="00F115F3" w:rsidRDefault="005547CC" w:rsidP="005547CC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F115F3">
        <w:rPr>
          <w:rStyle w:val="FootnoteReference"/>
          <w:sz w:val="18"/>
          <w:szCs w:val="18"/>
        </w:rPr>
        <w:footnoteRef/>
      </w:r>
      <w:r w:rsidRPr="00F115F3">
        <w:rPr>
          <w:sz w:val="18"/>
          <w:szCs w:val="18"/>
          <w:lang w:val="en-US"/>
        </w:rPr>
        <w:tab/>
        <w:t>UNEP/CHW.13/INF/43-UNEP/FAO/RC/COP.8/INF/29-UNEP/POPS/COP.8/INF/46.</w:t>
      </w:r>
    </w:p>
  </w:footnote>
  <w:footnote w:id="2">
    <w:p w:rsidR="005547CC" w:rsidRPr="00F115F3" w:rsidRDefault="005547CC" w:rsidP="005547CC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F115F3">
        <w:rPr>
          <w:rStyle w:val="FootnoteReference"/>
          <w:sz w:val="18"/>
          <w:szCs w:val="18"/>
        </w:rPr>
        <w:footnoteRef/>
      </w:r>
      <w:r w:rsidRPr="00F115F3">
        <w:rPr>
          <w:sz w:val="18"/>
          <w:szCs w:val="18"/>
          <w:lang w:val="en-US"/>
        </w:rPr>
        <w:tab/>
        <w:t>UNEP/CHW.13/INF/36-UNEP/FAO/RC/COP.8/INF/26-UNEP/POPS/COP.8/INF/25.</w:t>
      </w:r>
    </w:p>
  </w:footnote>
  <w:footnote w:id="3">
    <w:p w:rsidR="005547CC" w:rsidRPr="00F115F3" w:rsidRDefault="005547CC" w:rsidP="005547CC">
      <w:pPr>
        <w:pStyle w:val="FootnoteText"/>
        <w:spacing w:before="20" w:after="40"/>
        <w:ind w:left="1247"/>
        <w:rPr>
          <w:sz w:val="18"/>
          <w:szCs w:val="18"/>
        </w:rPr>
      </w:pPr>
      <w:r w:rsidRPr="00F115F3">
        <w:rPr>
          <w:rStyle w:val="FootnoteReference"/>
          <w:sz w:val="18"/>
          <w:szCs w:val="18"/>
        </w:rPr>
        <w:footnoteRef/>
      </w:r>
      <w:r w:rsidRPr="00F115F3">
        <w:rPr>
          <w:sz w:val="18"/>
          <w:szCs w:val="18"/>
        </w:rPr>
        <w:tab/>
      </w:r>
      <w:r w:rsidRPr="00F115F3">
        <w:rPr>
          <w:sz w:val="18"/>
          <w:szCs w:val="18"/>
        </w:rPr>
        <w:t>См. резолюцию 2/7 Ассамблеи Организации Объединенных Наций по окружающей среде о рациональном регулировании химических веществ и отходов.</w:t>
      </w:r>
    </w:p>
  </w:footnote>
  <w:footnote w:id="4">
    <w:p w:rsidR="005547CC" w:rsidRPr="00F115F3" w:rsidRDefault="005547CC" w:rsidP="005547CC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F115F3">
        <w:rPr>
          <w:sz w:val="18"/>
          <w:szCs w:val="18"/>
          <w:vertAlign w:val="superscript"/>
          <w:lang w:val="ru-RU"/>
        </w:rPr>
        <w:footnoteRef/>
      </w:r>
      <w:r w:rsidRPr="00F115F3">
        <w:rPr>
          <w:sz w:val="18"/>
          <w:szCs w:val="18"/>
          <w:lang w:val="ru-RU"/>
        </w:rPr>
        <w:t xml:space="preserve"> </w:t>
      </w:r>
      <w:r w:rsidRPr="00F115F3">
        <w:rPr>
          <w:sz w:val="18"/>
          <w:szCs w:val="18"/>
          <w:lang w:val="ru-RU"/>
        </w:rPr>
        <w:tab/>
      </w:r>
      <w:r w:rsidRPr="00F115F3">
        <w:rPr>
          <w:sz w:val="18"/>
          <w:szCs w:val="18"/>
          <w:lang w:val="ru-RU"/>
        </w:rPr>
        <w:t xml:space="preserve">Имеется </w:t>
      </w:r>
      <w:r w:rsidRPr="00F115F3">
        <w:rPr>
          <w:sz w:val="18"/>
          <w:szCs w:val="18"/>
          <w:lang w:val="ru-RU"/>
        </w:rPr>
        <w:t xml:space="preserve">по адресу: http://www.basel.int/Partners/RegionalCentres/BusinessPlans/tabid/2336/Default.aspx. </w:t>
      </w:r>
    </w:p>
  </w:footnote>
  <w:footnote w:id="5">
    <w:p w:rsidR="005547CC" w:rsidRPr="00F115F3" w:rsidRDefault="005547CC" w:rsidP="005547CC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  <w:lang w:val="ru-RU"/>
        </w:rPr>
      </w:pPr>
      <w:r w:rsidRPr="00F115F3">
        <w:rPr>
          <w:sz w:val="18"/>
          <w:szCs w:val="18"/>
          <w:vertAlign w:val="superscript"/>
          <w:lang w:val="ru-RU"/>
        </w:rPr>
        <w:footnoteRef/>
      </w:r>
      <w:r w:rsidRPr="00F115F3">
        <w:rPr>
          <w:sz w:val="18"/>
          <w:szCs w:val="18"/>
          <w:lang w:val="ru-RU"/>
        </w:rPr>
        <w:t xml:space="preserve"> </w:t>
      </w:r>
      <w:r w:rsidRPr="00F115F3">
        <w:rPr>
          <w:sz w:val="18"/>
          <w:szCs w:val="18"/>
          <w:lang w:val="ru-RU"/>
        </w:rPr>
        <w:tab/>
      </w:r>
      <w:r w:rsidRPr="00F115F3">
        <w:rPr>
          <w:sz w:val="18"/>
          <w:szCs w:val="18"/>
          <w:lang w:val="ru-RU"/>
        </w:rPr>
        <w:t xml:space="preserve">Имеется </w:t>
      </w:r>
      <w:r w:rsidRPr="00F115F3">
        <w:rPr>
          <w:sz w:val="18"/>
          <w:szCs w:val="18"/>
          <w:lang w:val="ru-RU"/>
        </w:rPr>
        <w:t>по адресу: http://www.basel.int/Partners/RegionalCentres/ActivityReports/tabid/2992/Default.aspx.</w:t>
      </w:r>
    </w:p>
  </w:footnote>
  <w:footnote w:id="6">
    <w:p w:rsidR="005547CC" w:rsidRPr="00F115F3" w:rsidRDefault="005547CC" w:rsidP="005547CC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</w:rPr>
      </w:pPr>
      <w:r w:rsidRPr="00F115F3">
        <w:rPr>
          <w:sz w:val="18"/>
          <w:szCs w:val="18"/>
          <w:vertAlign w:val="superscript"/>
          <w:lang w:val="ru-RU"/>
        </w:rPr>
        <w:footnoteRef/>
      </w:r>
      <w:r w:rsidRPr="00F115F3">
        <w:rPr>
          <w:sz w:val="18"/>
          <w:szCs w:val="18"/>
        </w:rPr>
        <w:t xml:space="preserve"> </w:t>
      </w:r>
      <w:r w:rsidRPr="00F115F3">
        <w:rPr>
          <w:sz w:val="18"/>
          <w:szCs w:val="18"/>
        </w:rPr>
        <w:tab/>
      </w:r>
      <w:r w:rsidRPr="00F115F3">
        <w:rPr>
          <w:sz w:val="18"/>
          <w:szCs w:val="18"/>
          <w:lang w:val="ru-RU"/>
        </w:rPr>
        <w:t>См</w:t>
      </w:r>
      <w:r w:rsidRPr="00F115F3">
        <w:rPr>
          <w:sz w:val="18"/>
          <w:szCs w:val="18"/>
        </w:rPr>
        <w:t>.: UNEP/CHW.13/INF/29-UNEP/POPS/COP.8/INF/26.</w:t>
      </w:r>
    </w:p>
  </w:footnote>
  <w:footnote w:id="7">
    <w:p w:rsidR="005547CC" w:rsidRPr="00F115F3" w:rsidRDefault="005547CC" w:rsidP="005547CC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</w:rPr>
      </w:pPr>
      <w:r w:rsidRPr="00F115F3">
        <w:rPr>
          <w:sz w:val="18"/>
          <w:szCs w:val="18"/>
          <w:vertAlign w:val="superscript"/>
          <w:lang w:val="ru-RU"/>
        </w:rPr>
        <w:footnoteRef/>
      </w:r>
      <w:r w:rsidRPr="00F115F3">
        <w:rPr>
          <w:sz w:val="18"/>
          <w:szCs w:val="18"/>
        </w:rPr>
        <w:t xml:space="preserve"> </w:t>
      </w:r>
      <w:r w:rsidRPr="00F115F3">
        <w:rPr>
          <w:sz w:val="18"/>
          <w:szCs w:val="18"/>
        </w:rPr>
        <w:tab/>
      </w:r>
      <w:proofErr w:type="gramStart"/>
      <w:r w:rsidRPr="00F115F3">
        <w:rPr>
          <w:sz w:val="18"/>
          <w:szCs w:val="18"/>
        </w:rPr>
        <w:t>http://www.basel.int/Partners/RegionalCentres/TheCentres/BCRCArgentina/tabid/</w:t>
      </w:r>
      <w:r w:rsidRPr="00841BA7">
        <w:rPr>
          <w:sz w:val="18"/>
          <w:szCs w:val="18"/>
        </w:rPr>
        <w:br/>
      </w:r>
      <w:r w:rsidRPr="00F115F3">
        <w:rPr>
          <w:sz w:val="18"/>
          <w:szCs w:val="18"/>
        </w:rPr>
        <w:t>4838/Default.aspx.</w:t>
      </w:r>
      <w:proofErr w:type="gramEnd"/>
      <w:r w:rsidRPr="00F115F3">
        <w:rPr>
          <w:sz w:val="18"/>
          <w:szCs w:val="18"/>
        </w:rPr>
        <w:t xml:space="preserve"> </w:t>
      </w:r>
    </w:p>
  </w:footnote>
  <w:footnote w:id="8">
    <w:p w:rsidR="005547CC" w:rsidRPr="00F115F3" w:rsidRDefault="005547CC" w:rsidP="005547CC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</w:rPr>
      </w:pPr>
      <w:r w:rsidRPr="00F115F3">
        <w:rPr>
          <w:sz w:val="18"/>
          <w:szCs w:val="18"/>
          <w:vertAlign w:val="superscript"/>
          <w:lang w:val="ru-RU"/>
        </w:rPr>
        <w:footnoteRef/>
      </w:r>
      <w:r w:rsidRPr="00F115F3">
        <w:rPr>
          <w:sz w:val="18"/>
          <w:szCs w:val="18"/>
        </w:rPr>
        <w:t xml:space="preserve"> </w:t>
      </w:r>
      <w:r w:rsidRPr="00F115F3">
        <w:rPr>
          <w:sz w:val="18"/>
          <w:szCs w:val="18"/>
        </w:rPr>
        <w:tab/>
        <w:t xml:space="preserve">http://www.basel.int/Partners/RegionalCentres/TheCentres/SCRCIran/tabid/4846/Default.aspx. </w:t>
      </w:r>
    </w:p>
  </w:footnote>
  <w:footnote w:id="9">
    <w:p w:rsidR="005547CC" w:rsidRPr="00F115F3" w:rsidRDefault="005547CC" w:rsidP="005547CC">
      <w:pPr>
        <w:pStyle w:val="Normalnumber"/>
        <w:tabs>
          <w:tab w:val="clear" w:pos="1134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20" w:after="40"/>
        <w:rPr>
          <w:sz w:val="18"/>
          <w:szCs w:val="18"/>
        </w:rPr>
      </w:pPr>
      <w:r w:rsidRPr="00F115F3">
        <w:rPr>
          <w:sz w:val="18"/>
          <w:szCs w:val="18"/>
          <w:vertAlign w:val="superscript"/>
          <w:lang w:val="ru-RU"/>
        </w:rPr>
        <w:footnoteRef/>
      </w:r>
      <w:r w:rsidRPr="00F115F3">
        <w:rPr>
          <w:sz w:val="18"/>
          <w:szCs w:val="18"/>
        </w:rPr>
        <w:t xml:space="preserve"> </w:t>
      </w:r>
      <w:r w:rsidRPr="00F115F3">
        <w:rPr>
          <w:sz w:val="18"/>
          <w:szCs w:val="18"/>
        </w:rPr>
        <w:tab/>
      </w:r>
      <w:r w:rsidRPr="00F115F3">
        <w:rPr>
          <w:sz w:val="18"/>
          <w:szCs w:val="18"/>
          <w:lang w:val="ru-RU"/>
        </w:rPr>
        <w:t>См</w:t>
      </w:r>
      <w:r w:rsidRPr="00F115F3">
        <w:rPr>
          <w:sz w:val="18"/>
          <w:szCs w:val="18"/>
        </w:rPr>
        <w:t>. UNEP/CHW.13/11.</w:t>
      </w:r>
    </w:p>
  </w:footnote>
  <w:footnote w:id="10">
    <w:p w:rsidR="005547CC" w:rsidRPr="00F115F3" w:rsidRDefault="005547CC" w:rsidP="005547CC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F115F3">
        <w:rPr>
          <w:rStyle w:val="FootnoteReference"/>
          <w:sz w:val="18"/>
          <w:szCs w:val="18"/>
        </w:rPr>
        <w:footnoteRef/>
      </w:r>
      <w:r w:rsidRPr="00F115F3">
        <w:rPr>
          <w:sz w:val="18"/>
          <w:szCs w:val="18"/>
          <w:lang w:val="en-US"/>
        </w:rPr>
        <w:t xml:space="preserve"> </w:t>
      </w:r>
      <w:r w:rsidRPr="00F115F3">
        <w:rPr>
          <w:sz w:val="18"/>
          <w:szCs w:val="18"/>
          <w:lang w:val="en-US"/>
        </w:rPr>
        <w:tab/>
      </w:r>
      <w:r w:rsidRPr="00F115F3">
        <w:rPr>
          <w:sz w:val="18"/>
          <w:szCs w:val="18"/>
          <w:lang w:val="en-US"/>
        </w:rPr>
        <w:t xml:space="preserve">UNEP/CHW.13/12.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47CC"/>
    <w:rsid w:val="00291D03"/>
    <w:rsid w:val="005547CC"/>
    <w:rsid w:val="006F0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7C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DNV-FT,footnote3,text,Geneva,92,Font:,Boston,10,FOOTNOTES,fn,single space,Footnote Text Rail EIS,ft,Footnotes,Footnote ak,fn cafc,Footnotes Char Char,Footnote Text Char Char,fn Char Char,footnote text"/>
    <w:basedOn w:val="Normal"/>
    <w:link w:val="FootnoteTextChar"/>
    <w:rsid w:val="005547CC"/>
  </w:style>
  <w:style w:type="character" w:customStyle="1" w:styleId="FootnoteTextChar">
    <w:name w:val="Footnote Text Char"/>
    <w:aliases w:val="Geneva 9 Char,Font: Geneva 9 Char,Boston 10 Char,f Char,DNV-FT Char,footnote3 Char,text Char,Geneva Char,92 Char,Font: Char,Boston Char,10 Char,FOOTNOTES Char,fn Char,single space Char,Footnote Text Rail EIS Char,ft Char,fn cafc Char"/>
    <w:basedOn w:val="DefaultParagraphFont"/>
    <w:link w:val="FootnoteText"/>
    <w:rsid w:val="005547CC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,stylish,Footnote symbol"/>
    <w:uiPriority w:val="99"/>
    <w:rsid w:val="005547CC"/>
    <w:rPr>
      <w:rFonts w:ascii="Times New Roman" w:hAnsi="Times New Roman"/>
      <w:noProof w:val="0"/>
      <w:sz w:val="22"/>
      <w:vertAlign w:val="superscript"/>
      <w:lang w:val="ru-RU"/>
    </w:rPr>
  </w:style>
  <w:style w:type="character" w:customStyle="1" w:styleId="NormalnumberChar">
    <w:name w:val="Normal_number Char"/>
    <w:link w:val="Normalnumber"/>
    <w:locked/>
    <w:rsid w:val="005547CC"/>
    <w:rPr>
      <w:rFonts w:ascii="Times New Roman" w:eastAsia="Times New Roman" w:hAnsi="Times New Roman" w:cs="Times New Roman"/>
      <w:sz w:val="20"/>
      <w:szCs w:val="20"/>
    </w:rPr>
  </w:style>
  <w:style w:type="paragraph" w:customStyle="1" w:styleId="Normalnumber">
    <w:name w:val="Normal_number"/>
    <w:basedOn w:val="Normal"/>
    <w:link w:val="NormalnumberChar"/>
    <w:rsid w:val="005547CC"/>
    <w:pPr>
      <w:tabs>
        <w:tab w:val="num" w:pos="1134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ind w:left="1247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1328</Words>
  <Characters>7572</Characters>
  <Application>Microsoft Office Word</Application>
  <DocSecurity>0</DocSecurity>
  <Lines>63</Lines>
  <Paragraphs>17</Paragraphs>
  <ScaleCrop>false</ScaleCrop>
  <Company>BRS</Company>
  <LinksUpToDate>false</LinksUpToDate>
  <CharactersWithSpaces>8883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2018-01-04T09:58:00Z</dcterms:created>
  <dcterms:modified xsi:type="dcterms:W3CDTF">2018-01-04T09:59:00Z</dcterms:modified>
</cp:coreProperties>
</file>