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52F" w:rsidRPr="005C2D16" w:rsidRDefault="003C152F" w:rsidP="003C152F">
      <w:pPr>
        <w:suppressAutoHyphens/>
        <w:ind w:left="1247" w:right="567"/>
        <w:rPr>
          <w:b/>
          <w:sz w:val="28"/>
        </w:rPr>
      </w:pPr>
      <w:r w:rsidRPr="005C2D16">
        <w:rPr>
          <w:b/>
          <w:sz w:val="28"/>
        </w:rPr>
        <w:t>БК-13/2: Последующая деятельность в связи с выдвинутой Индонезией и Швейцарией страновой инициативой по повышению эффективности Базельской конвенции</w:t>
      </w:r>
    </w:p>
    <w:p w:rsidR="003C152F" w:rsidRPr="00DD7819" w:rsidRDefault="003C152F" w:rsidP="003C152F">
      <w:pPr>
        <w:suppressAutoHyphens/>
        <w:ind w:left="1247" w:firstLine="624"/>
        <w:rPr>
          <w:i/>
        </w:rPr>
      </w:pPr>
      <w:r w:rsidRPr="00DD7819">
        <w:rPr>
          <w:i/>
        </w:rPr>
        <w:t>Конференция Сторон</w:t>
      </w:r>
      <w:r w:rsidRPr="00FD7C8D">
        <w:t>:</w:t>
      </w:r>
    </w:p>
    <w:p w:rsidR="003C152F" w:rsidRPr="00DD7819" w:rsidRDefault="003C152F" w:rsidP="003C152F">
      <w:pPr>
        <w:suppressAutoHyphens/>
        <w:ind w:left="1247" w:right="567"/>
        <w:jc w:val="center"/>
        <w:rPr>
          <w:b/>
          <w:sz w:val="24"/>
        </w:rPr>
      </w:pPr>
      <w:r w:rsidRPr="00DD7819">
        <w:rPr>
          <w:b/>
          <w:sz w:val="24"/>
        </w:rPr>
        <w:t>I</w:t>
      </w:r>
    </w:p>
    <w:p w:rsidR="003C152F" w:rsidRPr="00DD7819" w:rsidRDefault="003C152F" w:rsidP="003C152F">
      <w:pPr>
        <w:suppressAutoHyphens/>
        <w:ind w:left="1247" w:right="567"/>
        <w:jc w:val="center"/>
        <w:rPr>
          <w:b/>
          <w:sz w:val="24"/>
        </w:rPr>
      </w:pPr>
      <w:r w:rsidRPr="00DD7819">
        <w:rPr>
          <w:b/>
          <w:sz w:val="24"/>
        </w:rPr>
        <w:t>Рассмотрение вопроса о вступлении в силу Запретительной поправки</w:t>
      </w:r>
    </w:p>
    <w:p w:rsidR="003C152F" w:rsidRPr="002A2DC8" w:rsidRDefault="003C152F" w:rsidP="003C152F">
      <w:pPr>
        <w:suppressAutoHyphens/>
        <w:ind w:left="1247" w:firstLine="624"/>
      </w:pPr>
      <w:r w:rsidRPr="002A2DC8">
        <w:t>1.</w:t>
      </w:r>
      <w:r w:rsidRPr="002A2DC8">
        <w:tab/>
      </w:r>
      <w:r w:rsidRPr="006A2401">
        <w:rPr>
          <w:i/>
        </w:rPr>
        <w:t>приветствует</w:t>
      </w:r>
      <w:r w:rsidRPr="002A2DC8">
        <w:t xml:space="preserve"> ратификацию и принятие еще несколькими Сторонами Базельской конвенции Поправки, которая содержится в решении III/1, известной как «Запретительная поправка»</w:t>
      </w:r>
      <w:r w:rsidRPr="00104264">
        <w:rPr>
          <w:rStyle w:val="FootnoteReference"/>
        </w:rPr>
        <w:footnoteReference w:id="1"/>
      </w:r>
      <w:r w:rsidRPr="002A2DC8">
        <w:t>;</w:t>
      </w:r>
    </w:p>
    <w:p w:rsidR="003C152F" w:rsidRPr="002A2DC8" w:rsidRDefault="003C152F" w:rsidP="003C152F">
      <w:pPr>
        <w:suppressAutoHyphens/>
        <w:ind w:left="1247" w:firstLine="624"/>
      </w:pPr>
      <w:r w:rsidRPr="002A2DC8">
        <w:t>2.</w:t>
      </w:r>
      <w:r w:rsidRPr="002A2DC8">
        <w:tab/>
      </w:r>
      <w:r w:rsidRPr="006A2401">
        <w:rPr>
          <w:i/>
        </w:rPr>
        <w:t>призывает</w:t>
      </w:r>
      <w:r w:rsidRPr="002A2DC8">
        <w:t xml:space="preserve"> Стороны ратифицировать Запретительную поправку;</w:t>
      </w:r>
    </w:p>
    <w:p w:rsidR="003C152F" w:rsidRPr="002A2DC8" w:rsidRDefault="003C152F" w:rsidP="003C152F">
      <w:pPr>
        <w:suppressAutoHyphens/>
        <w:ind w:left="1247" w:firstLine="624"/>
      </w:pPr>
      <w:r w:rsidRPr="002A2DC8">
        <w:t>3.</w:t>
      </w:r>
      <w:r w:rsidRPr="002A2DC8">
        <w:tab/>
      </w:r>
      <w:r w:rsidRPr="006A2401">
        <w:rPr>
          <w:i/>
        </w:rPr>
        <w:t>предлагает</w:t>
      </w:r>
      <w:r w:rsidRPr="002A2DC8">
        <w:t xml:space="preserve"> Сторонам и в дальнейшем принимать меры для поощрения Сторон к ратификации Запретительной поправки и оказания им в этом помощи;</w:t>
      </w:r>
    </w:p>
    <w:p w:rsidR="003C152F" w:rsidRPr="00CB3DED" w:rsidRDefault="003C152F" w:rsidP="003C152F">
      <w:pPr>
        <w:suppressAutoHyphens/>
        <w:ind w:left="1247" w:firstLine="624"/>
        <w:rPr>
          <w:b/>
          <w:sz w:val="24"/>
        </w:rPr>
      </w:pPr>
      <w:r w:rsidRPr="002A2DC8">
        <w:t>4.</w:t>
      </w:r>
      <w:r w:rsidRPr="002A2DC8">
        <w:tab/>
      </w:r>
      <w:r w:rsidRPr="006A2401">
        <w:rPr>
          <w:i/>
        </w:rPr>
        <w:t>просит</w:t>
      </w:r>
      <w:r w:rsidRPr="002A2DC8">
        <w:t xml:space="preserve"> секретариат при условии наличия ресурсов продолжать оказывать по запросу помощь Сторонам, испытывающим трудности в связи с ратификацией Запретительной </w:t>
      </w:r>
      <w:r w:rsidRPr="00CB3DED">
        <w:t>поправки;</w:t>
      </w:r>
    </w:p>
    <w:p w:rsidR="003C152F" w:rsidRPr="00CB3DED" w:rsidRDefault="003C152F" w:rsidP="003C152F">
      <w:pPr>
        <w:suppressAutoHyphens/>
        <w:ind w:left="1247" w:right="567"/>
        <w:jc w:val="center"/>
        <w:rPr>
          <w:b/>
          <w:sz w:val="24"/>
        </w:rPr>
      </w:pPr>
      <w:r w:rsidRPr="00CB3DED">
        <w:rPr>
          <w:b/>
          <w:sz w:val="24"/>
        </w:rPr>
        <w:t>II</w:t>
      </w:r>
    </w:p>
    <w:p w:rsidR="003C152F" w:rsidRPr="00CB3DED" w:rsidRDefault="003C152F" w:rsidP="003C152F">
      <w:pPr>
        <w:suppressAutoHyphens/>
        <w:ind w:left="1247" w:right="567"/>
        <w:jc w:val="center"/>
        <w:rPr>
          <w:b/>
          <w:sz w:val="24"/>
        </w:rPr>
      </w:pPr>
      <w:r w:rsidRPr="00CB3DED">
        <w:rPr>
          <w:b/>
          <w:sz w:val="24"/>
        </w:rPr>
        <w:t>Разработка руководящих принципов экологически обоснованного регулирования</w:t>
      </w:r>
    </w:p>
    <w:p w:rsidR="003C152F" w:rsidRPr="002A2DC8" w:rsidRDefault="003C152F" w:rsidP="003C152F">
      <w:pPr>
        <w:suppressAutoHyphens/>
        <w:ind w:left="1247" w:firstLine="624"/>
      </w:pPr>
      <w:r w:rsidRPr="002A2DC8">
        <w:t>5.</w:t>
      </w:r>
      <w:r w:rsidRPr="002A2DC8">
        <w:tab/>
      </w:r>
      <w:r w:rsidRPr="006A2401">
        <w:rPr>
          <w:i/>
        </w:rPr>
        <w:t>выражает</w:t>
      </w:r>
      <w:r w:rsidRPr="002A2DC8">
        <w:t xml:space="preserve"> свою признательность рабочей группе экспертов по экологически обоснованному регулированию и ее сопредседателям за их работу;</w:t>
      </w:r>
    </w:p>
    <w:p w:rsidR="003C152F" w:rsidRPr="002A2DC8" w:rsidRDefault="003C152F" w:rsidP="003C152F">
      <w:pPr>
        <w:suppressAutoHyphens/>
        <w:ind w:left="1247" w:firstLine="624"/>
      </w:pPr>
      <w:r w:rsidRPr="002A2DC8">
        <w:t>6.</w:t>
      </w:r>
      <w:r w:rsidRPr="002A2DC8">
        <w:tab/>
      </w:r>
      <w:r w:rsidRPr="006A2401">
        <w:rPr>
          <w:i/>
        </w:rPr>
        <w:t>принимает</w:t>
      </w:r>
      <w:r w:rsidRPr="002A2DC8">
        <w:t xml:space="preserve"> подготовленный рабочей группой экспертов набор практических пособий по </w:t>
      </w:r>
      <w:r>
        <w:t>пропаганде</w:t>
      </w:r>
      <w:r w:rsidRPr="002A2DC8">
        <w:t xml:space="preserve"> методов экологически обоснованного регулирования отходов</w:t>
      </w:r>
      <w:r w:rsidRPr="00466EAD">
        <w:rPr>
          <w:rStyle w:val="FootnoteReference"/>
        </w:rPr>
        <w:footnoteReference w:id="2"/>
      </w:r>
      <w:r w:rsidRPr="002A2DC8">
        <w:t>, с удовлетворением отмечает подготовленные рабочей группой экспертов фактологические справки по конкретным потокам отходов</w:t>
      </w:r>
      <w:r w:rsidRPr="00B70E92">
        <w:rPr>
          <w:rStyle w:val="FootnoteReference"/>
        </w:rPr>
        <w:footnoteReference w:id="3"/>
      </w:r>
      <w:r w:rsidRPr="002A2DC8">
        <w:t xml:space="preserve"> и призывает Стороны и других субъектов распространять и использовать данные практические пособия и фактологические справки; </w:t>
      </w:r>
    </w:p>
    <w:p w:rsidR="003C152F" w:rsidRPr="002A2DC8" w:rsidRDefault="003C152F" w:rsidP="003C152F">
      <w:pPr>
        <w:suppressAutoHyphens/>
        <w:ind w:left="1247" w:firstLine="624"/>
      </w:pPr>
      <w:r w:rsidRPr="002A2DC8">
        <w:t>7.</w:t>
      </w:r>
      <w:r w:rsidRPr="002A2DC8">
        <w:tab/>
      </w:r>
      <w:r w:rsidRPr="003A644E">
        <w:rPr>
          <w:i/>
        </w:rPr>
        <w:t>с удовлетворением отмечает</w:t>
      </w:r>
      <w:r w:rsidRPr="002A2DC8">
        <w:t xml:space="preserve"> подготовленные рабочей группой экспертов проекты практических пособий по расширенной ответственности производителей и системам финансирования для экологически обоснованного регулирования</w:t>
      </w:r>
      <w:r w:rsidRPr="00B70E92">
        <w:rPr>
          <w:rStyle w:val="FootnoteReference"/>
        </w:rPr>
        <w:footnoteReference w:id="4"/>
      </w:r>
      <w:r w:rsidRPr="002A2DC8">
        <w:t xml:space="preserve"> и предлагает Сторонам и другим субъектам представить секретариату замечания по ним до 30 ноября 2017 года; </w:t>
      </w:r>
    </w:p>
    <w:p w:rsidR="003C152F" w:rsidRPr="002A2DC8" w:rsidRDefault="003C152F" w:rsidP="003C152F">
      <w:pPr>
        <w:suppressAutoHyphens/>
        <w:ind w:left="1247" w:firstLine="624"/>
      </w:pPr>
      <w:r w:rsidRPr="002A2DC8">
        <w:t>8.</w:t>
      </w:r>
      <w:r w:rsidRPr="002A2DC8">
        <w:tab/>
      </w:r>
      <w:r w:rsidRPr="003A644E">
        <w:rPr>
          <w:i/>
        </w:rPr>
        <w:t>принимает к сведению</w:t>
      </w:r>
      <w:r w:rsidRPr="002A2DC8">
        <w:t xml:space="preserve"> оценку набора инструментальных средств для экологически обоснованного регулирования, известного как «Набор инструментальных средств ЭОР», которая была проведена рабочей группой экспертов</w:t>
      </w:r>
      <w:r w:rsidRPr="00B70E92">
        <w:rPr>
          <w:rStyle w:val="FootnoteReference"/>
        </w:rPr>
        <w:footnoteReference w:id="5"/>
      </w:r>
      <w:r w:rsidRPr="002A2DC8">
        <w:t>;</w:t>
      </w:r>
    </w:p>
    <w:p w:rsidR="003C152F" w:rsidRPr="002A2DC8" w:rsidRDefault="003C152F" w:rsidP="003C152F">
      <w:pPr>
        <w:suppressAutoHyphens/>
        <w:ind w:left="1247" w:firstLine="624"/>
      </w:pPr>
      <w:r w:rsidRPr="002A2DC8">
        <w:t>9.</w:t>
      </w:r>
      <w:r w:rsidRPr="002A2DC8">
        <w:tab/>
      </w:r>
      <w:r w:rsidRPr="003A644E">
        <w:rPr>
          <w:i/>
        </w:rPr>
        <w:t>постановляет</w:t>
      </w:r>
      <w:r w:rsidRPr="002A2DC8">
        <w:t xml:space="preserve"> продлить мандат рабочей группы экспертов;</w:t>
      </w:r>
    </w:p>
    <w:p w:rsidR="003C152F" w:rsidRPr="002A2DC8" w:rsidRDefault="003C152F" w:rsidP="003C152F">
      <w:pPr>
        <w:suppressAutoHyphens/>
        <w:ind w:left="1247" w:firstLine="624"/>
      </w:pPr>
      <w:r w:rsidRPr="002A2DC8">
        <w:t>10.</w:t>
      </w:r>
      <w:r w:rsidRPr="002A2DC8">
        <w:tab/>
      </w:r>
      <w:r w:rsidRPr="003A644E">
        <w:rPr>
          <w:i/>
        </w:rPr>
        <w:t>принимает</w:t>
      </w:r>
      <w:r w:rsidRPr="002A2DC8">
        <w:t xml:space="preserve"> программу работы рабочей группы экспертов, изложенную в приложении I к настоящему решению и разработанную в соответствии с оценкой, о которой </w:t>
      </w:r>
      <w:r w:rsidRPr="002A2DC8">
        <w:lastRenderedPageBreak/>
        <w:t>говорится в пункте 8 выше, и просит рабочую группу экспертов осуществлять ее при условии наличия ресурсов;</w:t>
      </w:r>
    </w:p>
    <w:p w:rsidR="003C152F" w:rsidRPr="002A2DC8" w:rsidRDefault="003C152F" w:rsidP="003C152F">
      <w:pPr>
        <w:suppressAutoHyphens/>
        <w:ind w:left="1247" w:firstLine="624"/>
      </w:pPr>
      <w:r w:rsidRPr="002A2DC8">
        <w:t>11.</w:t>
      </w:r>
      <w:r w:rsidRPr="002A2DC8">
        <w:tab/>
      </w:r>
      <w:r w:rsidRPr="005272A6">
        <w:rPr>
          <w:i/>
        </w:rPr>
        <w:t>принимает к сведению</w:t>
      </w:r>
      <w:r w:rsidRPr="002A2DC8">
        <w:t xml:space="preserve"> доклад об ответах на интернет-опрос об оценке актуальности и полезности документов Конвенции, касающихся экологически обоснованного регулирования</w:t>
      </w:r>
      <w:r w:rsidRPr="00C21A5F">
        <w:rPr>
          <w:rStyle w:val="FootnoteReference"/>
        </w:rPr>
        <w:footnoteReference w:id="6"/>
      </w:r>
      <w:r w:rsidRPr="002A2DC8">
        <w:t>;</w:t>
      </w:r>
    </w:p>
    <w:p w:rsidR="003C152F" w:rsidRPr="002A2DC8" w:rsidRDefault="003C152F" w:rsidP="003C152F">
      <w:pPr>
        <w:suppressAutoHyphens/>
        <w:ind w:left="1247" w:firstLine="624"/>
      </w:pPr>
      <w:r w:rsidRPr="002A2DC8">
        <w:t>12.</w:t>
      </w:r>
      <w:r w:rsidRPr="002A2DC8">
        <w:tab/>
      </w:r>
      <w:r w:rsidRPr="005272A6">
        <w:rPr>
          <w:i/>
        </w:rPr>
        <w:t>просит</w:t>
      </w:r>
      <w:r w:rsidRPr="002A2DC8">
        <w:t xml:space="preserve"> секретариат при условии наличия ресурсов осуществлять деятельность по пропаганд</w:t>
      </w:r>
      <w:r>
        <w:t>е</w:t>
      </w:r>
      <w:r w:rsidRPr="002A2DC8">
        <w:t xml:space="preserve"> и распространению Набора инструментальных средств ЭОР в сотрудничестве с рабочей группой экспертов, Сторонами, региональными и координационными центрами и другими заинтересованными субъектами, по мере необходимости;</w:t>
      </w:r>
    </w:p>
    <w:p w:rsidR="003C152F" w:rsidRPr="002A2DC8" w:rsidRDefault="003C152F" w:rsidP="003C152F">
      <w:pPr>
        <w:suppressAutoHyphens/>
        <w:ind w:left="1247" w:firstLine="624"/>
      </w:pPr>
      <w:r w:rsidRPr="002A2DC8">
        <w:t>13.</w:t>
      </w:r>
      <w:r w:rsidRPr="002A2DC8">
        <w:tab/>
      </w:r>
      <w:r w:rsidRPr="005272A6">
        <w:rPr>
          <w:i/>
        </w:rPr>
        <w:t>просит</w:t>
      </w:r>
      <w:r w:rsidRPr="002A2DC8">
        <w:t xml:space="preserve"> рабочую группу экспертов провести оценку предложений </w:t>
      </w:r>
      <w:r>
        <w:t xml:space="preserve">относительно </w:t>
      </w:r>
      <w:r w:rsidRPr="002A2DC8">
        <w:t xml:space="preserve">новых экспериментальных проектов и предлагает Сторонам и другим заинтересованным субъектам, располагающим такой возможностью, оказать поддержку в реализации таких экспериментальных проектов; </w:t>
      </w:r>
    </w:p>
    <w:p w:rsidR="003C152F" w:rsidRPr="002A2DC8" w:rsidRDefault="003C152F" w:rsidP="003C152F">
      <w:pPr>
        <w:suppressAutoHyphens/>
        <w:ind w:left="1247" w:firstLine="624"/>
      </w:pPr>
      <w:r w:rsidRPr="002A2DC8">
        <w:t>14.</w:t>
      </w:r>
      <w:r w:rsidRPr="002A2DC8">
        <w:tab/>
      </w:r>
      <w:r w:rsidRPr="005272A6">
        <w:rPr>
          <w:i/>
        </w:rPr>
        <w:t>предлагает</w:t>
      </w:r>
      <w:r w:rsidRPr="002A2DC8">
        <w:t xml:space="preserve"> Сторонам, региональным и координационным центрам и другим заинтересованным субъектам представить секретариату информацию о мероприятиях, проведенных в целях обеспечения экологически обоснованного регулирования опасных отходов и других отходов, и просит секретариат разместить эту информацию на веб-сайте Базельской конвенции;</w:t>
      </w:r>
    </w:p>
    <w:p w:rsidR="003C152F" w:rsidRPr="002A2DC8" w:rsidRDefault="003C152F" w:rsidP="003C152F">
      <w:pPr>
        <w:suppressAutoHyphens/>
        <w:ind w:left="1247" w:firstLine="624"/>
      </w:pPr>
      <w:r w:rsidRPr="002A2DC8">
        <w:t>15.</w:t>
      </w:r>
      <w:r w:rsidRPr="002A2DC8">
        <w:tab/>
      </w:r>
      <w:r w:rsidRPr="005272A6">
        <w:rPr>
          <w:i/>
        </w:rPr>
        <w:t>просит</w:t>
      </w:r>
      <w:r w:rsidRPr="002A2DC8">
        <w:t>, чтобы подготовленные рабочей группой экспертов по экологически обоснованному регулированию проекты документов были представлены Сторонам и другим заинтересованным субъектам для получения замечаний и, в случае необходимости,</w:t>
      </w:r>
      <w:r>
        <w:t xml:space="preserve"> проведения</w:t>
      </w:r>
      <w:r w:rsidRPr="002A2DC8">
        <w:t xml:space="preserve"> консультаций с Рабочей группой открытого состава и Комитетом по осуществлению и соблюдению, прежде чем они будут представлены Конференции Сторон для принятия, и просит секретариат разместить такие проекты документов на веб</w:t>
      </w:r>
      <w:r>
        <w:t>-</w:t>
      </w:r>
      <w:r w:rsidRPr="002A2DC8">
        <w:t>сайте Конвенции вместе с любыми полученными замечаниями;</w:t>
      </w:r>
    </w:p>
    <w:p w:rsidR="003C152F" w:rsidRPr="002A2DC8" w:rsidRDefault="003C152F" w:rsidP="003C152F">
      <w:pPr>
        <w:suppressAutoHyphens/>
        <w:ind w:left="1247" w:firstLine="624"/>
      </w:pPr>
      <w:r w:rsidRPr="002A2DC8">
        <w:t>16.</w:t>
      </w:r>
      <w:r w:rsidRPr="002A2DC8">
        <w:tab/>
      </w:r>
      <w:r w:rsidRPr="005272A6">
        <w:rPr>
          <w:i/>
        </w:rPr>
        <w:t>просит</w:t>
      </w:r>
      <w:r w:rsidRPr="002A2DC8">
        <w:t xml:space="preserve"> рабочую группу экспертов представить Рабочей группе открытого состава на ее одиннадцатом совещании и Конференции Сторон на ее четырнадцатом совещании доклад о деятельности, осуществленной ею в соответствии со своей программой работы;</w:t>
      </w:r>
    </w:p>
    <w:p w:rsidR="003C152F" w:rsidRPr="00E6315A" w:rsidRDefault="003C152F" w:rsidP="003C152F">
      <w:pPr>
        <w:suppressAutoHyphens/>
        <w:ind w:left="1247" w:right="567"/>
        <w:jc w:val="center"/>
        <w:rPr>
          <w:rFonts w:eastAsia="Calibri"/>
          <w:b/>
          <w:sz w:val="24"/>
        </w:rPr>
      </w:pPr>
      <w:r w:rsidRPr="00E6315A">
        <w:rPr>
          <w:b/>
          <w:sz w:val="24"/>
        </w:rPr>
        <w:t>III</w:t>
      </w:r>
    </w:p>
    <w:p w:rsidR="003C152F" w:rsidRPr="00E6315A" w:rsidRDefault="003C152F" w:rsidP="003C152F">
      <w:pPr>
        <w:suppressAutoHyphens/>
        <w:ind w:left="1247" w:right="567"/>
        <w:jc w:val="center"/>
        <w:rPr>
          <w:rFonts w:eastAsia="Calibri"/>
          <w:b/>
          <w:sz w:val="24"/>
        </w:rPr>
      </w:pPr>
      <w:r w:rsidRPr="00E6315A">
        <w:rPr>
          <w:b/>
          <w:sz w:val="24"/>
        </w:rPr>
        <w:t>Обеспечение большей юридической четкости</w:t>
      </w:r>
    </w:p>
    <w:p w:rsidR="003C152F" w:rsidRPr="00E6315A" w:rsidRDefault="003C152F" w:rsidP="003C152F">
      <w:pPr>
        <w:suppressAutoHyphens/>
        <w:ind w:left="1247" w:right="567"/>
        <w:jc w:val="center"/>
        <w:rPr>
          <w:rFonts w:eastAsia="Calibri"/>
          <w:b/>
          <w:sz w:val="24"/>
        </w:rPr>
      </w:pPr>
      <w:r w:rsidRPr="00E6315A">
        <w:rPr>
          <w:b/>
          <w:sz w:val="24"/>
        </w:rPr>
        <w:t>Добровольные варианты: глоссарий терминов</w:t>
      </w:r>
    </w:p>
    <w:p w:rsidR="003C152F" w:rsidRPr="002A2DC8" w:rsidRDefault="003C152F" w:rsidP="003C152F">
      <w:pPr>
        <w:suppressAutoHyphens/>
        <w:ind w:left="1247" w:firstLine="624"/>
      </w:pPr>
      <w:r w:rsidRPr="002A2DC8">
        <w:t>17.</w:t>
      </w:r>
      <w:r w:rsidRPr="002A2DC8">
        <w:tab/>
      </w:r>
      <w:r w:rsidRPr="00E6315A">
        <w:rPr>
          <w:i/>
        </w:rPr>
        <w:t>выражает</w:t>
      </w:r>
      <w:r w:rsidRPr="002A2DC8">
        <w:t xml:space="preserve"> свою признательность небольшой межсессионной рабочей группе по юридической четкости за ее работу и Японии за оказание финансовой поддержки;</w:t>
      </w:r>
    </w:p>
    <w:p w:rsidR="003C152F" w:rsidRPr="002A2DC8" w:rsidRDefault="003C152F" w:rsidP="003C152F">
      <w:pPr>
        <w:suppressAutoHyphens/>
        <w:ind w:left="1247" w:firstLine="624"/>
      </w:pPr>
      <w:r w:rsidRPr="002A2DC8">
        <w:t>18.</w:t>
      </w:r>
      <w:r w:rsidRPr="002A2DC8">
        <w:tab/>
      </w:r>
      <w:r w:rsidRPr="00E6315A">
        <w:rPr>
          <w:i/>
        </w:rPr>
        <w:t>принимает</w:t>
      </w:r>
      <w:r w:rsidRPr="002A2DC8">
        <w:t xml:space="preserve"> глоссарий терминов</w:t>
      </w:r>
      <w:r w:rsidRPr="00DD0024">
        <w:rPr>
          <w:rStyle w:val="FootnoteReference"/>
        </w:rPr>
        <w:footnoteReference w:id="7"/>
      </w:r>
      <w:r w:rsidRPr="002A2DC8">
        <w:t xml:space="preserve"> как элемент руководящих указаний и постановляет, что он не предопределяет результатов обзора приложений I, III и IV и связанных с ними аспектов приложения IX к Конвенции и не противоречит законодательству и руководящим указаниям, разработанным на национальном уровне, и постановляет рассмотреть вопрос о пересмотре глоссария терминов на своем четырнадцатом совещании на основе замечаний, представленных в соответствии с пунктом 19 ниже;</w:t>
      </w:r>
    </w:p>
    <w:p w:rsidR="003C152F" w:rsidRPr="002A2DC8" w:rsidRDefault="003C152F" w:rsidP="003C152F">
      <w:pPr>
        <w:suppressAutoHyphens/>
        <w:ind w:left="1247" w:firstLine="624"/>
      </w:pPr>
      <w:r w:rsidRPr="002A2DC8">
        <w:t>19.</w:t>
      </w:r>
      <w:r w:rsidRPr="002A2DC8">
        <w:tab/>
      </w:r>
      <w:r w:rsidRPr="00E6315A">
        <w:rPr>
          <w:i/>
        </w:rPr>
        <w:t>предлагает</w:t>
      </w:r>
      <w:r w:rsidRPr="002A2DC8">
        <w:t xml:space="preserve"> Сторонам и другим субъектам по мере необходимости использовать глоссарий терминов, с тем чтобы представить секретариату любые замечания по нему не позднее чем за два месяца до начала четырнадцатого совещания Конференции Сторон; </w:t>
      </w:r>
    </w:p>
    <w:p w:rsidR="003C152F" w:rsidRPr="002A2DC8" w:rsidRDefault="003C152F" w:rsidP="003C152F">
      <w:pPr>
        <w:suppressAutoHyphens/>
        <w:ind w:left="1247" w:firstLine="624"/>
      </w:pPr>
      <w:r w:rsidRPr="002A2DC8">
        <w:t>20.</w:t>
      </w:r>
      <w:r w:rsidRPr="002A2DC8">
        <w:tab/>
      </w:r>
      <w:r w:rsidRPr="00E6315A">
        <w:rPr>
          <w:i/>
        </w:rPr>
        <w:t>просит</w:t>
      </w:r>
      <w:r w:rsidRPr="002A2DC8">
        <w:t xml:space="preserve"> секретариат при условии наличия ресурсов организовать и обеспечить проведение мероприятий по созданию потенциала в целях повышения осведомленности в этом отношении;</w:t>
      </w:r>
    </w:p>
    <w:p w:rsidR="003C152F" w:rsidRPr="00E6315A" w:rsidRDefault="003C152F" w:rsidP="003C152F">
      <w:pPr>
        <w:suppressAutoHyphens/>
        <w:ind w:left="1247" w:right="567"/>
        <w:jc w:val="center"/>
        <w:rPr>
          <w:rFonts w:eastAsia="Calibri"/>
          <w:b/>
          <w:sz w:val="24"/>
        </w:rPr>
      </w:pPr>
      <w:r w:rsidRPr="00E6315A">
        <w:rPr>
          <w:b/>
          <w:sz w:val="24"/>
        </w:rPr>
        <w:lastRenderedPageBreak/>
        <w:t>Юридически обязательные варианты: обзор приложений I, III и IV и связанных с ними аспектов приложения IX к Базельской конвенции</w:t>
      </w:r>
    </w:p>
    <w:p w:rsidR="003C152F" w:rsidRPr="002A2DC8" w:rsidRDefault="003C152F" w:rsidP="003C152F">
      <w:pPr>
        <w:suppressAutoHyphens/>
        <w:ind w:left="1247" w:firstLine="624"/>
        <w:rPr>
          <w:rFonts w:eastAsia="Calibri"/>
        </w:rPr>
      </w:pPr>
      <w:r w:rsidRPr="002A2DC8">
        <w:t>21.</w:t>
      </w:r>
      <w:r w:rsidRPr="002A2DC8">
        <w:tab/>
      </w:r>
      <w:r w:rsidRPr="00B004E7">
        <w:rPr>
          <w:i/>
        </w:rPr>
        <w:t>выражает свою признательность</w:t>
      </w:r>
      <w:r w:rsidRPr="002A2DC8">
        <w:t xml:space="preserve"> Канаде как ведущей стране в деле обзора приложений I, III и IV и связанных с ними аспектов приложения IX к Базельской конвенции;</w:t>
      </w:r>
    </w:p>
    <w:p w:rsidR="003C152F" w:rsidRPr="002A2DC8" w:rsidRDefault="003C152F" w:rsidP="003C152F">
      <w:pPr>
        <w:suppressAutoHyphens/>
        <w:ind w:left="1247" w:firstLine="624"/>
        <w:rPr>
          <w:rFonts w:eastAsia="Calibri"/>
        </w:rPr>
      </w:pPr>
      <w:r w:rsidRPr="002A2DC8">
        <w:t>22.</w:t>
      </w:r>
      <w:r w:rsidRPr="002A2DC8">
        <w:tab/>
      </w:r>
      <w:r w:rsidRPr="00B004E7">
        <w:rPr>
          <w:i/>
        </w:rPr>
        <w:t>с удовлетворением отмечает</w:t>
      </w:r>
      <w:r w:rsidRPr="002A2DC8">
        <w:t xml:space="preserve"> доклад Канады об обзоре приложений I, III, IV и связанных с ними аспектов приложения IX к Конвенции</w:t>
      </w:r>
      <w:r w:rsidRPr="00633F4B">
        <w:rPr>
          <w:rStyle w:val="FootnoteReference"/>
        </w:rPr>
        <w:footnoteReference w:id="8"/>
      </w:r>
      <w:r w:rsidRPr="002A2DC8">
        <w:t>, в котором изложена скомпилированная и проанализированная информация, полученная от Сторон и других субъектов, и постановляет, что этот доклад следует принять за основу для проведения дальнейшей работы по обзору этих приложений;</w:t>
      </w:r>
    </w:p>
    <w:p w:rsidR="003C152F" w:rsidRPr="002A2DC8" w:rsidRDefault="003C152F" w:rsidP="003C152F">
      <w:pPr>
        <w:suppressAutoHyphens/>
        <w:ind w:left="1247" w:firstLine="624"/>
        <w:rPr>
          <w:rFonts w:eastAsia="Calibri"/>
        </w:rPr>
      </w:pPr>
      <w:r w:rsidRPr="002A2DC8">
        <w:t>23.</w:t>
      </w:r>
      <w:r w:rsidRPr="002A2DC8">
        <w:tab/>
      </w:r>
      <w:r w:rsidRPr="00B004E7">
        <w:rPr>
          <w:i/>
        </w:rPr>
        <w:t>приветствует с признательностью</w:t>
      </w:r>
      <w:r w:rsidRPr="002A2DC8">
        <w:t xml:space="preserve"> информационный вклад Сторон и других субъектов</w:t>
      </w:r>
      <w:r w:rsidRPr="00633F4B">
        <w:rPr>
          <w:rStyle w:val="FootnoteReference"/>
        </w:rPr>
        <w:footnoteReference w:id="9"/>
      </w:r>
      <w:r w:rsidRPr="002A2DC8">
        <w:t xml:space="preserve">, а также небольшой межсессионной рабочей группы, которая оказала поддержку проведенному ведущей страной анализу; </w:t>
      </w:r>
    </w:p>
    <w:p w:rsidR="003C152F" w:rsidRPr="002A2DC8" w:rsidRDefault="003C152F" w:rsidP="003C152F">
      <w:pPr>
        <w:suppressAutoHyphens/>
        <w:ind w:left="1247" w:firstLine="624"/>
        <w:rPr>
          <w:rFonts w:eastAsia="Calibri"/>
        </w:rPr>
      </w:pPr>
      <w:r w:rsidRPr="002A2DC8">
        <w:t>24.</w:t>
      </w:r>
      <w:r w:rsidRPr="002A2DC8">
        <w:tab/>
      </w:r>
      <w:r w:rsidRPr="00C37522">
        <w:rPr>
          <w:i/>
        </w:rPr>
        <w:t>постановляет</w:t>
      </w:r>
      <w:r w:rsidRPr="002A2DC8">
        <w:t xml:space="preserve"> учредить рабочую группу экспертов, которая носила бы открытый характер, состоящую из 50 членов, кандидатуры которых выдвигаются Сторонами на основе принципа справедливого географического представительства пяти региональных групп Организации Объединенных Наций, и открытую для наблюдателей, с мандатом и кругом ведения, изложенными в приложении II к настоящему решению; и отмечает, что число членов может быть пересмотрено на четырнадцатом совещании Конференции Сторон;</w:t>
      </w:r>
    </w:p>
    <w:p w:rsidR="003C152F" w:rsidRPr="002A2DC8" w:rsidRDefault="003C152F" w:rsidP="003C152F">
      <w:pPr>
        <w:suppressAutoHyphens/>
        <w:ind w:left="1247" w:firstLine="624"/>
        <w:rPr>
          <w:rFonts w:eastAsia="Calibri"/>
        </w:rPr>
      </w:pPr>
      <w:r w:rsidRPr="002A2DC8">
        <w:t>25.</w:t>
      </w:r>
      <w:r w:rsidRPr="002A2DC8">
        <w:tab/>
      </w:r>
      <w:r w:rsidRPr="00C37522">
        <w:rPr>
          <w:i/>
        </w:rPr>
        <w:t>постановляет также</w:t>
      </w:r>
      <w:r w:rsidRPr="002A2DC8">
        <w:t>, что рабочая группа экспертов будет действовать под руководством Рабочей группы открытого состава и подчиняться Конференции Сторон;</w:t>
      </w:r>
    </w:p>
    <w:p w:rsidR="003C152F" w:rsidRPr="002A2DC8" w:rsidRDefault="003C152F" w:rsidP="003C152F">
      <w:pPr>
        <w:suppressAutoHyphens/>
        <w:ind w:left="1247" w:firstLine="624"/>
        <w:rPr>
          <w:rFonts w:eastAsia="Calibri"/>
        </w:rPr>
      </w:pPr>
      <w:r w:rsidRPr="002A2DC8">
        <w:t>26.</w:t>
      </w:r>
      <w:r w:rsidRPr="002A2DC8">
        <w:tab/>
      </w:r>
      <w:r w:rsidRPr="00C37522">
        <w:rPr>
          <w:i/>
        </w:rPr>
        <w:t>просит</w:t>
      </w:r>
      <w:r w:rsidRPr="002A2DC8">
        <w:t xml:space="preserve"> каждую региональную группу выдвинуть до 15 июля 2017 года через своего представителя в Бюро 10 экспертов, обладающих соответствующим опытом, для работы в качестве членов рабочей группы экспертов;</w:t>
      </w:r>
    </w:p>
    <w:p w:rsidR="003C152F" w:rsidRPr="002A2DC8" w:rsidRDefault="003C152F" w:rsidP="003C152F">
      <w:pPr>
        <w:suppressAutoHyphens/>
        <w:ind w:left="1247" w:firstLine="624"/>
        <w:rPr>
          <w:rFonts w:eastAsia="Calibri"/>
        </w:rPr>
      </w:pPr>
      <w:r w:rsidRPr="002A2DC8">
        <w:t>27.</w:t>
      </w:r>
      <w:r w:rsidRPr="002A2DC8">
        <w:tab/>
      </w:r>
      <w:r w:rsidRPr="00C37522">
        <w:rPr>
          <w:i/>
        </w:rPr>
        <w:t>предлагает</w:t>
      </w:r>
      <w:r w:rsidRPr="002A2DC8">
        <w:t xml:space="preserve"> Сторонам выступить в качестве ведущих стран для проведения обзора приложения IV и связанных с ним аспектов приложения IX и/или приложений I и III;</w:t>
      </w:r>
    </w:p>
    <w:p w:rsidR="003C152F" w:rsidRPr="002A2DC8" w:rsidRDefault="003C152F" w:rsidP="003C152F">
      <w:pPr>
        <w:suppressAutoHyphens/>
        <w:ind w:left="1247" w:firstLine="624"/>
      </w:pPr>
      <w:r w:rsidRPr="002A2DC8">
        <w:t>28.</w:t>
      </w:r>
      <w:r w:rsidRPr="002A2DC8">
        <w:tab/>
      </w:r>
      <w:r w:rsidRPr="00C37522">
        <w:rPr>
          <w:i/>
        </w:rPr>
        <w:t>постановляет</w:t>
      </w:r>
      <w:r w:rsidRPr="002A2DC8">
        <w:t>, что в течение следующего двухгодичного периода учрежденной в соответствии с настоящим решением рабочей группе экспертов следует уделять более пристальное внимание работе в отношении приложения IV и связанных с ним аспектов приложения IX;</w:t>
      </w:r>
    </w:p>
    <w:p w:rsidR="003C152F" w:rsidRPr="002A2DC8" w:rsidRDefault="003C152F" w:rsidP="003C152F">
      <w:pPr>
        <w:suppressAutoHyphens/>
        <w:ind w:left="1247" w:firstLine="624"/>
        <w:rPr>
          <w:rFonts w:eastAsia="Calibri"/>
        </w:rPr>
      </w:pPr>
      <w:r w:rsidRPr="002A2DC8">
        <w:t>29.</w:t>
      </w:r>
      <w:r w:rsidRPr="002A2DC8">
        <w:tab/>
      </w:r>
      <w:r w:rsidRPr="00C37522">
        <w:rPr>
          <w:i/>
        </w:rPr>
        <w:t>предлагает</w:t>
      </w:r>
      <w:r w:rsidRPr="002A2DC8">
        <w:t xml:space="preserve"> Сторонам и наблюдателям, участвующим в деятельности рабочей группы экспертов, представить секретариату до 30 сентября 2017 года, принимая во внимание доклад Канады, о котором говорится в пункте 22 выше, замечания в отношении обзора приложений I, III, IV и связанных с ними аспектов приложения IX к Конвенции для рассмотрения рабочей группой экспертов; и просит секретариат разместить любые такие представленные замечания на веб-сайте Базельской конвенции;</w:t>
      </w:r>
      <w:r>
        <w:t xml:space="preserve"> </w:t>
      </w:r>
    </w:p>
    <w:p w:rsidR="003C152F" w:rsidRPr="002A2DC8" w:rsidRDefault="003C152F" w:rsidP="003C152F">
      <w:pPr>
        <w:suppressAutoHyphens/>
        <w:ind w:left="1247" w:firstLine="624"/>
        <w:rPr>
          <w:rFonts w:eastAsia="Calibri"/>
        </w:rPr>
      </w:pPr>
      <w:r w:rsidRPr="002A2DC8">
        <w:t>30.</w:t>
      </w:r>
      <w:r w:rsidRPr="002A2DC8">
        <w:tab/>
      </w:r>
      <w:r w:rsidRPr="00C37522">
        <w:rPr>
          <w:i/>
        </w:rPr>
        <w:t>просит</w:t>
      </w:r>
      <w:r w:rsidRPr="002A2DC8">
        <w:t xml:space="preserve"> секретариат представить Рабочей группе открытого состава на ее одиннадцатом совещании и Конференции Сторон на ее четырнадцатом совещании доклад о выполнении настоящего решения.</w:t>
      </w:r>
    </w:p>
    <w:p w:rsidR="003C152F" w:rsidRPr="00FD7C8D" w:rsidRDefault="003C152F" w:rsidP="003C152F">
      <w:pPr>
        <w:keepNext/>
        <w:keepLines/>
        <w:suppressAutoHyphens/>
        <w:ind w:left="1247"/>
        <w:rPr>
          <w:b/>
          <w:sz w:val="28"/>
        </w:rPr>
      </w:pPr>
      <w:r w:rsidRPr="00FD7C8D">
        <w:rPr>
          <w:b/>
          <w:sz w:val="28"/>
        </w:rPr>
        <w:t>Приложение I к решению БК-13/2</w:t>
      </w:r>
    </w:p>
    <w:p w:rsidR="003C152F" w:rsidRPr="00FD7C8D" w:rsidRDefault="003C152F" w:rsidP="003C152F">
      <w:pPr>
        <w:suppressAutoHyphens/>
        <w:ind w:left="1247" w:right="567"/>
        <w:rPr>
          <w:b/>
          <w:sz w:val="28"/>
        </w:rPr>
      </w:pPr>
      <w:r w:rsidRPr="00FD7C8D">
        <w:rPr>
          <w:b/>
          <w:sz w:val="28"/>
        </w:rPr>
        <w:t>Программа работы рабочей группы экспертов по экологически обоснованному регулированию</w:t>
      </w:r>
    </w:p>
    <w:p w:rsidR="003C152F" w:rsidRPr="00C77527" w:rsidRDefault="003C152F" w:rsidP="003C152F">
      <w:pPr>
        <w:tabs>
          <w:tab w:val="right" w:pos="851"/>
        </w:tabs>
        <w:suppressAutoHyphens/>
        <w:ind w:left="1247" w:right="284" w:hanging="1247"/>
        <w:rPr>
          <w:b/>
          <w:sz w:val="28"/>
        </w:rPr>
      </w:pPr>
      <w:r w:rsidRPr="0014678D">
        <w:rPr>
          <w:b/>
          <w:sz w:val="28"/>
        </w:rPr>
        <w:tab/>
      </w:r>
      <w:r w:rsidRPr="00C77527">
        <w:rPr>
          <w:b/>
          <w:sz w:val="28"/>
          <w:lang w:val="en-US"/>
        </w:rPr>
        <w:t>I</w:t>
      </w:r>
      <w:r w:rsidRPr="0014678D">
        <w:rPr>
          <w:b/>
          <w:sz w:val="28"/>
        </w:rPr>
        <w:t>.</w:t>
      </w:r>
      <w:r w:rsidRPr="0014678D">
        <w:rPr>
          <w:b/>
          <w:sz w:val="28"/>
        </w:rPr>
        <w:tab/>
      </w:r>
      <w:r w:rsidRPr="00C77527">
        <w:rPr>
          <w:b/>
          <w:sz w:val="28"/>
        </w:rPr>
        <w:t>Цель</w:t>
      </w:r>
    </w:p>
    <w:p w:rsidR="003C152F" w:rsidRPr="002A2DC8" w:rsidRDefault="003C152F" w:rsidP="003C152F">
      <w:pPr>
        <w:suppressAutoHyphens/>
        <w:spacing w:after="240"/>
        <w:ind w:left="1247"/>
        <w:rPr>
          <w:rFonts w:eastAsia="Calibri"/>
        </w:rPr>
      </w:pPr>
      <w:r w:rsidRPr="002A2DC8">
        <w:lastRenderedPageBreak/>
        <w:t>1.</w:t>
      </w:r>
      <w:r w:rsidRPr="002A2DC8">
        <w:tab/>
        <w:t>Программа работы рабочей группы экспертов по экологически обоснованному регулированию (ЭОР) будет направлена на поддержку и достижение целей рамочной основы для экологически обоснованного регулирования опасных отходов и других отходов</w:t>
      </w:r>
      <w:r w:rsidRPr="00915028">
        <w:rPr>
          <w:rStyle w:val="FootnoteReference"/>
        </w:rPr>
        <w:footnoteReference w:id="10"/>
      </w:r>
      <w:r w:rsidRPr="002A2DC8">
        <w:t>. Цель программы работы состоит в подготовке «Набора инструментальных средств ЭОР», который включает в себя практические инструменты для пропаганд</w:t>
      </w:r>
      <w:r>
        <w:t>ы</w:t>
      </w:r>
      <w:r w:rsidRPr="002A2DC8">
        <w:t xml:space="preserve"> и осуществления заинтересованными субъектами.</w:t>
      </w:r>
    </w:p>
    <w:p w:rsidR="003C152F" w:rsidRPr="00F57959" w:rsidRDefault="003C152F" w:rsidP="003C152F">
      <w:pPr>
        <w:tabs>
          <w:tab w:val="right" w:pos="851"/>
        </w:tabs>
        <w:suppressAutoHyphens/>
        <w:ind w:left="1247" w:right="284" w:hanging="1247"/>
        <w:rPr>
          <w:b/>
          <w:sz w:val="28"/>
        </w:rPr>
      </w:pPr>
      <w:r w:rsidRPr="00F57959">
        <w:rPr>
          <w:b/>
          <w:sz w:val="28"/>
        </w:rPr>
        <w:tab/>
        <w:t>II.</w:t>
      </w:r>
      <w:r w:rsidRPr="00F57959">
        <w:rPr>
          <w:b/>
          <w:sz w:val="28"/>
        </w:rPr>
        <w:tab/>
        <w:t>Набор инструментальных средств ЭОР и его пропаганд</w:t>
      </w:r>
      <w:r>
        <w:rPr>
          <w:b/>
          <w:sz w:val="28"/>
        </w:rPr>
        <w:t>а</w:t>
      </w:r>
    </w:p>
    <w:p w:rsidR="003C152F" w:rsidRPr="002A2DC8" w:rsidRDefault="003C152F" w:rsidP="003C152F">
      <w:pPr>
        <w:suppressAutoHyphens/>
        <w:ind w:left="1248"/>
        <w:rPr>
          <w:rFonts w:eastAsia="Calibri"/>
        </w:rPr>
      </w:pPr>
      <w:r w:rsidRPr="002A2DC8">
        <w:t>2.</w:t>
      </w:r>
      <w:r w:rsidRPr="002A2DC8">
        <w:tab/>
        <w:t>Изложенные ниже мероприятия по подготовке и осуществлению Набора инструментальных средств ЭОР будут осуществляться в течение двухгодичного периода 2018</w:t>
      </w:r>
      <w:r w:rsidRPr="002A2DC8">
        <w:noBreakHyphen/>
        <w:t xml:space="preserve">2019 годов. </w:t>
      </w:r>
    </w:p>
    <w:tbl>
      <w:tblPr>
        <w:tblW w:w="833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37"/>
        <w:gridCol w:w="6298"/>
      </w:tblGrid>
      <w:tr w:rsidR="003C152F" w:rsidRPr="00243780" w:rsidTr="00D54D45">
        <w:trPr>
          <w:tblHeader/>
          <w:jc w:val="right"/>
        </w:trPr>
        <w:tc>
          <w:tcPr>
            <w:tcW w:w="2037" w:type="dxa"/>
            <w:shd w:val="pct15" w:color="auto" w:fill="auto"/>
            <w:tcMar>
              <w:left w:w="57" w:type="dxa"/>
              <w:right w:w="57" w:type="dxa"/>
            </w:tcMar>
          </w:tcPr>
          <w:p w:rsidR="003C152F" w:rsidRPr="00243780" w:rsidRDefault="003C152F" w:rsidP="00D54D45">
            <w:pPr>
              <w:suppressAutoHyphens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243780">
              <w:rPr>
                <w:b/>
                <w:sz w:val="18"/>
                <w:szCs w:val="18"/>
              </w:rPr>
              <w:t>Тема</w:t>
            </w:r>
          </w:p>
        </w:tc>
        <w:tc>
          <w:tcPr>
            <w:tcW w:w="6298" w:type="dxa"/>
            <w:shd w:val="pct15" w:color="auto" w:fill="auto"/>
            <w:tcMar>
              <w:left w:w="57" w:type="dxa"/>
              <w:right w:w="57" w:type="dxa"/>
            </w:tcMar>
          </w:tcPr>
          <w:p w:rsidR="003C152F" w:rsidRPr="00243780" w:rsidRDefault="003C152F" w:rsidP="00D54D45">
            <w:pPr>
              <w:suppressAutoHyphens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243780">
              <w:rPr>
                <w:b/>
                <w:sz w:val="18"/>
                <w:szCs w:val="18"/>
              </w:rPr>
              <w:t>Предложение для программы работы на период 2018-2019 годов</w:t>
            </w:r>
          </w:p>
        </w:tc>
      </w:tr>
      <w:tr w:rsidR="003C152F" w:rsidRPr="00243780" w:rsidTr="00D54D45">
        <w:trPr>
          <w:jc w:val="right"/>
        </w:trPr>
        <w:tc>
          <w:tcPr>
            <w:tcW w:w="2037" w:type="dxa"/>
            <w:tcMar>
              <w:left w:w="57" w:type="dxa"/>
              <w:right w:w="57" w:type="dxa"/>
            </w:tcMar>
          </w:tcPr>
          <w:p w:rsidR="003C152F" w:rsidRPr="00243780" w:rsidRDefault="003C152F" w:rsidP="00D54D45">
            <w:pPr>
              <w:suppressAutoHyphens/>
              <w:spacing w:before="40" w:after="40"/>
              <w:rPr>
                <w:rFonts w:eastAsia="Calibri"/>
                <w:sz w:val="18"/>
                <w:szCs w:val="18"/>
              </w:rPr>
            </w:pPr>
            <w:r w:rsidRPr="00243780">
              <w:rPr>
                <w:sz w:val="18"/>
                <w:szCs w:val="18"/>
              </w:rPr>
              <w:t>Пособия и фактологические справки</w:t>
            </w:r>
          </w:p>
        </w:tc>
        <w:tc>
          <w:tcPr>
            <w:tcW w:w="6298" w:type="dxa"/>
            <w:tcMar>
              <w:left w:w="57" w:type="dxa"/>
              <w:right w:w="57" w:type="dxa"/>
            </w:tcMar>
          </w:tcPr>
          <w:p w:rsidR="003C152F" w:rsidRPr="00243780" w:rsidRDefault="003C152F" w:rsidP="003C152F">
            <w:pPr>
              <w:numPr>
                <w:ilvl w:val="0"/>
                <w:numId w:val="1"/>
              </w:numPr>
              <w:suppressAutoHyphens/>
              <w:spacing w:before="40" w:after="40"/>
              <w:ind w:left="227" w:hanging="170"/>
              <w:rPr>
                <w:rFonts w:eastAsia="Calibri"/>
                <w:sz w:val="18"/>
                <w:szCs w:val="18"/>
              </w:rPr>
            </w:pPr>
            <w:r w:rsidRPr="00243780">
              <w:rPr>
                <w:sz w:val="18"/>
                <w:szCs w:val="18"/>
              </w:rPr>
              <w:t>Завершение подготовки практического пособия по вопросам страхования и ответственности, принимая во внимание результаты экспериментального проекта в Аргентине и разработку проекта руководящих указаний в отношении страхования, залога и гарантии Комитетом по осуществлению и соблюдению.</w:t>
            </w:r>
          </w:p>
          <w:p w:rsidR="003C152F" w:rsidRPr="00243780" w:rsidRDefault="003C152F" w:rsidP="003C152F">
            <w:pPr>
              <w:numPr>
                <w:ilvl w:val="0"/>
                <w:numId w:val="1"/>
              </w:numPr>
              <w:suppressAutoHyphens/>
              <w:spacing w:before="40" w:after="40"/>
              <w:ind w:left="227" w:hanging="170"/>
              <w:rPr>
                <w:sz w:val="18"/>
                <w:szCs w:val="18"/>
              </w:rPr>
            </w:pPr>
            <w:r w:rsidRPr="00243780">
              <w:rPr>
                <w:sz w:val="18"/>
                <w:szCs w:val="18"/>
              </w:rPr>
              <w:t>Завершение четырех экспериментальных проектов для апробирования пособий и фактологических справок</w:t>
            </w:r>
            <w:r w:rsidRPr="00243780">
              <w:rPr>
                <w:rStyle w:val="FootnoteReference"/>
                <w:sz w:val="18"/>
                <w:szCs w:val="18"/>
              </w:rPr>
              <w:footnoteReference w:id="11"/>
            </w:r>
            <w:r w:rsidRPr="00243780">
              <w:rPr>
                <w:sz w:val="18"/>
                <w:szCs w:val="18"/>
              </w:rPr>
              <w:t>.</w:t>
            </w:r>
          </w:p>
          <w:p w:rsidR="003C152F" w:rsidRPr="00243780" w:rsidRDefault="003C152F" w:rsidP="003C152F">
            <w:pPr>
              <w:numPr>
                <w:ilvl w:val="0"/>
                <w:numId w:val="1"/>
              </w:numPr>
              <w:suppressAutoHyphens/>
              <w:spacing w:before="40" w:after="40"/>
              <w:ind w:left="227" w:hanging="170"/>
              <w:rPr>
                <w:rFonts w:eastAsia="Calibri"/>
                <w:sz w:val="18"/>
                <w:szCs w:val="18"/>
              </w:rPr>
            </w:pPr>
            <w:r w:rsidRPr="00243780">
              <w:rPr>
                <w:sz w:val="18"/>
                <w:szCs w:val="18"/>
              </w:rPr>
              <w:t>Завершение подготовки практических пособий по расширенной ответственности производителей и системам финансирования, в случае необходимости.</w:t>
            </w:r>
          </w:p>
          <w:p w:rsidR="003C152F" w:rsidRPr="00243780" w:rsidRDefault="003C152F" w:rsidP="003C152F">
            <w:pPr>
              <w:numPr>
                <w:ilvl w:val="0"/>
                <w:numId w:val="1"/>
              </w:numPr>
              <w:suppressAutoHyphens/>
              <w:spacing w:before="40" w:after="40"/>
              <w:ind w:left="227" w:hanging="170"/>
              <w:rPr>
                <w:rFonts w:eastAsia="Calibri"/>
                <w:sz w:val="18"/>
                <w:szCs w:val="18"/>
              </w:rPr>
            </w:pPr>
            <w:r w:rsidRPr="00243780">
              <w:rPr>
                <w:sz w:val="18"/>
                <w:szCs w:val="18"/>
              </w:rPr>
              <w:t>Разработка практического пособия для заинтересованных субъектов</w:t>
            </w:r>
            <w:r w:rsidRPr="00243780">
              <w:rPr>
                <w:rStyle w:val="FootnoteReference"/>
                <w:sz w:val="18"/>
                <w:szCs w:val="18"/>
              </w:rPr>
              <w:footnoteReference w:id="12"/>
            </w:r>
            <w:r w:rsidRPr="00243780">
              <w:rPr>
                <w:sz w:val="18"/>
                <w:szCs w:val="18"/>
                <w:vertAlign w:val="superscript"/>
              </w:rPr>
              <w:t xml:space="preserve"> </w:t>
            </w:r>
            <w:r w:rsidRPr="00243780">
              <w:rPr>
                <w:sz w:val="18"/>
                <w:szCs w:val="18"/>
              </w:rPr>
              <w:t>для обеспечения того, чтобы уведомления о трансграничных перевозках отвечали требованиям ЭОР</w:t>
            </w:r>
            <w:r w:rsidRPr="00243780">
              <w:rPr>
                <w:rFonts w:eastAsia="Calibri"/>
                <w:sz w:val="18"/>
                <w:szCs w:val="18"/>
              </w:rPr>
              <w:t>.</w:t>
            </w:r>
          </w:p>
        </w:tc>
      </w:tr>
      <w:tr w:rsidR="003C152F" w:rsidRPr="00243780" w:rsidTr="00D54D45">
        <w:trPr>
          <w:jc w:val="right"/>
        </w:trPr>
        <w:tc>
          <w:tcPr>
            <w:tcW w:w="2037" w:type="dxa"/>
            <w:tcMar>
              <w:left w:w="57" w:type="dxa"/>
              <w:right w:w="57" w:type="dxa"/>
            </w:tcMar>
          </w:tcPr>
          <w:p w:rsidR="003C152F" w:rsidRPr="00243780" w:rsidRDefault="003C152F" w:rsidP="00D54D45">
            <w:pPr>
              <w:suppressAutoHyphens/>
              <w:spacing w:before="40" w:after="40"/>
              <w:rPr>
                <w:rFonts w:eastAsia="Calibri"/>
                <w:sz w:val="18"/>
                <w:szCs w:val="18"/>
              </w:rPr>
            </w:pPr>
            <w:r w:rsidRPr="00243780">
              <w:rPr>
                <w:sz w:val="18"/>
                <w:szCs w:val="18"/>
              </w:rPr>
              <w:t>Руководство по предотвращению и минимизации</w:t>
            </w:r>
            <w:r w:rsidRPr="00243780">
              <w:rPr>
                <w:rStyle w:val="FootnoteReference"/>
                <w:sz w:val="18"/>
                <w:szCs w:val="18"/>
              </w:rPr>
              <w:footnoteReference w:id="13"/>
            </w:r>
          </w:p>
        </w:tc>
        <w:tc>
          <w:tcPr>
            <w:tcW w:w="6298" w:type="dxa"/>
            <w:tcMar>
              <w:left w:w="57" w:type="dxa"/>
              <w:right w:w="57" w:type="dxa"/>
            </w:tcMar>
          </w:tcPr>
          <w:p w:rsidR="003C152F" w:rsidRPr="00243780" w:rsidRDefault="003C152F" w:rsidP="003C152F">
            <w:pPr>
              <w:numPr>
                <w:ilvl w:val="0"/>
                <w:numId w:val="2"/>
              </w:numPr>
              <w:suppressAutoHyphens/>
              <w:spacing w:before="40" w:after="40"/>
              <w:ind w:left="227" w:hanging="170"/>
              <w:rPr>
                <w:sz w:val="18"/>
                <w:szCs w:val="18"/>
              </w:rPr>
            </w:pPr>
            <w:r w:rsidRPr="00243780">
              <w:rPr>
                <w:sz w:val="18"/>
                <w:szCs w:val="18"/>
              </w:rPr>
              <w:t>Продолжение работы по сбору информации о передовой практике и примеров в отношении предотвращения и минимизации образования отходов.</w:t>
            </w:r>
          </w:p>
        </w:tc>
      </w:tr>
      <w:tr w:rsidR="003C152F" w:rsidRPr="00243780" w:rsidTr="00D54D45">
        <w:trPr>
          <w:jc w:val="right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C152F" w:rsidRPr="00243780" w:rsidRDefault="003C152F" w:rsidP="00D54D45">
            <w:pPr>
              <w:suppressAutoHyphens/>
              <w:spacing w:before="40" w:after="40"/>
              <w:rPr>
                <w:rFonts w:eastAsia="Calibri"/>
                <w:sz w:val="18"/>
                <w:szCs w:val="18"/>
              </w:rPr>
            </w:pPr>
            <w:r w:rsidRPr="00243780">
              <w:rPr>
                <w:sz w:val="18"/>
                <w:szCs w:val="18"/>
              </w:rPr>
              <w:t xml:space="preserve">Руководство по рециркуляции и рекуперации 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C152F" w:rsidRPr="00243780" w:rsidRDefault="003C152F" w:rsidP="003C152F">
            <w:pPr>
              <w:numPr>
                <w:ilvl w:val="0"/>
                <w:numId w:val="2"/>
              </w:numPr>
              <w:suppressAutoHyphens/>
              <w:spacing w:before="40" w:after="40"/>
              <w:ind w:left="227" w:hanging="170"/>
              <w:rPr>
                <w:rFonts w:eastAsia="Calibri"/>
                <w:sz w:val="18"/>
                <w:szCs w:val="18"/>
              </w:rPr>
            </w:pPr>
            <w:r w:rsidRPr="00243780">
              <w:rPr>
                <w:sz w:val="18"/>
                <w:szCs w:val="18"/>
              </w:rPr>
              <w:t xml:space="preserve">Подготовка руководящего документа в целях оказания Сторонам содействия в разработке эффективных стратегий рециркуляции и рекуперации опасных отходов и других отходов в рамках мероприятий по осуществлению Картахенской декларации о предупреждении образования, минимизации и рекуперации опасных отходов и других отходов. </w:t>
            </w:r>
          </w:p>
        </w:tc>
      </w:tr>
      <w:tr w:rsidR="003C152F" w:rsidRPr="00243780" w:rsidTr="00D54D45">
        <w:trPr>
          <w:jc w:val="right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C152F" w:rsidRPr="00243780" w:rsidRDefault="003C152F" w:rsidP="00D54D45">
            <w:pPr>
              <w:suppressAutoHyphens/>
              <w:spacing w:before="40" w:after="40"/>
              <w:rPr>
                <w:rFonts w:eastAsia="Calibri"/>
                <w:sz w:val="18"/>
                <w:szCs w:val="18"/>
              </w:rPr>
            </w:pPr>
            <w:r w:rsidRPr="00243780">
              <w:rPr>
                <w:sz w:val="18"/>
                <w:szCs w:val="18"/>
              </w:rPr>
              <w:t>Системы сертификации для поддержки ЭОР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C152F" w:rsidRPr="00243780" w:rsidRDefault="003C152F" w:rsidP="003C152F">
            <w:pPr>
              <w:numPr>
                <w:ilvl w:val="0"/>
                <w:numId w:val="2"/>
              </w:numPr>
              <w:suppressAutoHyphens/>
              <w:spacing w:before="40" w:after="40"/>
              <w:ind w:left="227" w:hanging="170"/>
              <w:rPr>
                <w:rFonts w:eastAsia="Calibri"/>
                <w:sz w:val="18"/>
                <w:szCs w:val="18"/>
              </w:rPr>
            </w:pPr>
            <w:r w:rsidRPr="00243780">
              <w:rPr>
                <w:sz w:val="18"/>
                <w:szCs w:val="18"/>
              </w:rPr>
              <w:t>Инициирование обмена опытом по оперативным аспектам систем сертификации для поддержки ЭОР.</w:t>
            </w:r>
          </w:p>
        </w:tc>
      </w:tr>
      <w:tr w:rsidR="003C152F" w:rsidRPr="00243780" w:rsidTr="00D54D45">
        <w:trPr>
          <w:jc w:val="right"/>
        </w:trPr>
        <w:tc>
          <w:tcPr>
            <w:tcW w:w="2037" w:type="dxa"/>
            <w:tcMar>
              <w:left w:w="57" w:type="dxa"/>
              <w:right w:w="57" w:type="dxa"/>
            </w:tcMar>
          </w:tcPr>
          <w:p w:rsidR="003C152F" w:rsidRPr="00243780" w:rsidRDefault="003C152F" w:rsidP="00D54D45">
            <w:pPr>
              <w:suppressAutoHyphens/>
              <w:spacing w:before="40" w:after="40"/>
              <w:rPr>
                <w:rFonts w:eastAsia="Calibri"/>
                <w:sz w:val="18"/>
                <w:szCs w:val="18"/>
              </w:rPr>
            </w:pPr>
            <w:r w:rsidRPr="00243780">
              <w:rPr>
                <w:sz w:val="18"/>
                <w:szCs w:val="18"/>
              </w:rPr>
              <w:t>Экспериментальные проекты</w:t>
            </w:r>
          </w:p>
        </w:tc>
        <w:tc>
          <w:tcPr>
            <w:tcW w:w="6298" w:type="dxa"/>
            <w:tcMar>
              <w:left w:w="57" w:type="dxa"/>
              <w:right w:w="57" w:type="dxa"/>
            </w:tcMar>
          </w:tcPr>
          <w:p w:rsidR="003C152F" w:rsidRPr="00243780" w:rsidRDefault="003C152F" w:rsidP="003C152F">
            <w:pPr>
              <w:numPr>
                <w:ilvl w:val="0"/>
                <w:numId w:val="2"/>
              </w:numPr>
              <w:suppressAutoHyphens/>
              <w:spacing w:before="40" w:after="40"/>
              <w:ind w:left="227" w:hanging="170"/>
              <w:rPr>
                <w:rFonts w:eastAsia="Calibri"/>
                <w:sz w:val="18"/>
                <w:szCs w:val="18"/>
              </w:rPr>
            </w:pPr>
            <w:r w:rsidRPr="00243780">
              <w:rPr>
                <w:sz w:val="18"/>
                <w:szCs w:val="18"/>
              </w:rPr>
              <w:t>Завершение пяти экспериментальных проектов.</w:t>
            </w:r>
          </w:p>
          <w:p w:rsidR="003C152F" w:rsidRPr="00243780" w:rsidRDefault="003C152F" w:rsidP="003C152F">
            <w:pPr>
              <w:numPr>
                <w:ilvl w:val="0"/>
                <w:numId w:val="2"/>
              </w:numPr>
              <w:suppressAutoHyphens/>
              <w:spacing w:before="40" w:after="40"/>
              <w:ind w:left="227" w:hanging="170"/>
              <w:rPr>
                <w:rFonts w:eastAsia="Calibri"/>
                <w:sz w:val="18"/>
                <w:szCs w:val="18"/>
              </w:rPr>
            </w:pPr>
            <w:r w:rsidRPr="00243780">
              <w:rPr>
                <w:sz w:val="18"/>
                <w:szCs w:val="18"/>
              </w:rPr>
              <w:t>Подготовка итоговых докладов и проведение оценок экспериментальных проектов.</w:t>
            </w:r>
          </w:p>
          <w:p w:rsidR="003C152F" w:rsidRPr="00243780" w:rsidRDefault="003C152F" w:rsidP="003C152F">
            <w:pPr>
              <w:numPr>
                <w:ilvl w:val="0"/>
                <w:numId w:val="2"/>
              </w:numPr>
              <w:suppressAutoHyphens/>
              <w:spacing w:before="40" w:after="40"/>
              <w:ind w:left="227" w:hanging="170"/>
              <w:rPr>
                <w:rFonts w:eastAsia="Calibri"/>
                <w:sz w:val="18"/>
                <w:szCs w:val="18"/>
              </w:rPr>
            </w:pPr>
            <w:r w:rsidRPr="00243780">
              <w:rPr>
                <w:sz w:val="18"/>
                <w:szCs w:val="18"/>
              </w:rPr>
              <w:t xml:space="preserve">Дальнейшая оценка возможности реализации новых экспериментальных проектов. </w:t>
            </w:r>
          </w:p>
        </w:tc>
      </w:tr>
      <w:tr w:rsidR="003C152F" w:rsidRPr="00243780" w:rsidTr="00D54D45">
        <w:trPr>
          <w:jc w:val="right"/>
        </w:trPr>
        <w:tc>
          <w:tcPr>
            <w:tcW w:w="2037" w:type="dxa"/>
            <w:tcMar>
              <w:left w:w="57" w:type="dxa"/>
              <w:right w:w="57" w:type="dxa"/>
            </w:tcMar>
          </w:tcPr>
          <w:p w:rsidR="003C152F" w:rsidRPr="00243780" w:rsidRDefault="003C152F" w:rsidP="00D54D45">
            <w:pPr>
              <w:suppressAutoHyphens/>
              <w:spacing w:before="40" w:after="40"/>
              <w:rPr>
                <w:rFonts w:eastAsia="Calibri"/>
                <w:sz w:val="18"/>
                <w:szCs w:val="18"/>
              </w:rPr>
            </w:pPr>
            <w:r w:rsidRPr="00243780">
              <w:rPr>
                <w:sz w:val="18"/>
                <w:szCs w:val="18"/>
              </w:rPr>
              <w:t>Пропаганд</w:t>
            </w:r>
            <w:r>
              <w:rPr>
                <w:sz w:val="18"/>
                <w:szCs w:val="18"/>
              </w:rPr>
              <w:t>а</w:t>
            </w:r>
            <w:r w:rsidRPr="00243780">
              <w:rPr>
                <w:sz w:val="18"/>
                <w:szCs w:val="18"/>
              </w:rPr>
              <w:t xml:space="preserve"> ЭОР в неформальном секторе</w:t>
            </w:r>
          </w:p>
        </w:tc>
        <w:tc>
          <w:tcPr>
            <w:tcW w:w="6298" w:type="dxa"/>
            <w:tcMar>
              <w:left w:w="57" w:type="dxa"/>
              <w:right w:w="57" w:type="dxa"/>
            </w:tcMar>
          </w:tcPr>
          <w:p w:rsidR="003C152F" w:rsidRPr="00243780" w:rsidRDefault="003C152F" w:rsidP="003C152F">
            <w:pPr>
              <w:numPr>
                <w:ilvl w:val="0"/>
                <w:numId w:val="2"/>
              </w:numPr>
              <w:suppressAutoHyphens/>
              <w:spacing w:before="40" w:after="40"/>
              <w:ind w:left="227" w:hanging="170"/>
              <w:rPr>
                <w:rFonts w:eastAsia="Calibri"/>
                <w:sz w:val="18"/>
                <w:szCs w:val="18"/>
              </w:rPr>
            </w:pPr>
            <w:r w:rsidRPr="00243780">
              <w:rPr>
                <w:sz w:val="18"/>
                <w:szCs w:val="18"/>
              </w:rPr>
              <w:t>Подготовка руководящих указаний в отношении путей осуществления ЭОР в неформальном секторе.</w:t>
            </w:r>
          </w:p>
        </w:tc>
      </w:tr>
    </w:tbl>
    <w:p w:rsidR="003C152F" w:rsidRPr="000F5819" w:rsidRDefault="003C152F" w:rsidP="003C152F">
      <w:pPr>
        <w:suppressAutoHyphens/>
        <w:spacing w:before="240"/>
        <w:ind w:left="1247"/>
        <w:rPr>
          <w:b/>
          <w:sz w:val="28"/>
        </w:rPr>
      </w:pPr>
      <w:r w:rsidRPr="002A2DC8">
        <w:lastRenderedPageBreak/>
        <w:tab/>
      </w:r>
      <w:r w:rsidRPr="000F5819">
        <w:rPr>
          <w:b/>
          <w:sz w:val="28"/>
        </w:rPr>
        <w:t>Приложение II к решению БК-13/2</w:t>
      </w:r>
    </w:p>
    <w:p w:rsidR="003C152F" w:rsidRPr="000F5819" w:rsidRDefault="003C152F" w:rsidP="003C152F">
      <w:pPr>
        <w:suppressAutoHyphens/>
        <w:ind w:left="1248"/>
        <w:rPr>
          <w:b/>
          <w:sz w:val="28"/>
        </w:rPr>
      </w:pPr>
      <w:r w:rsidRPr="000F5819">
        <w:rPr>
          <w:b/>
          <w:sz w:val="28"/>
        </w:rPr>
        <w:t>Круг ведения для обзора приложений</w:t>
      </w:r>
    </w:p>
    <w:p w:rsidR="003C152F" w:rsidRPr="000C76C7" w:rsidRDefault="003C152F" w:rsidP="003C152F">
      <w:pPr>
        <w:tabs>
          <w:tab w:val="right" w:pos="851"/>
        </w:tabs>
        <w:suppressAutoHyphens/>
        <w:ind w:left="1247" w:right="284" w:hanging="1247"/>
        <w:rPr>
          <w:b/>
        </w:rPr>
      </w:pPr>
      <w:r w:rsidRPr="000C76C7">
        <w:rPr>
          <w:b/>
        </w:rPr>
        <w:tab/>
        <w:t>1.</w:t>
      </w:r>
      <w:r w:rsidRPr="000C76C7">
        <w:rPr>
          <w:b/>
        </w:rPr>
        <w:tab/>
        <w:t xml:space="preserve">Мандат </w:t>
      </w:r>
    </w:p>
    <w:p w:rsidR="003C152F" w:rsidRPr="002A2DC8" w:rsidRDefault="003C152F" w:rsidP="003C152F">
      <w:pPr>
        <w:suppressAutoHyphens/>
        <w:ind w:left="1248"/>
      </w:pPr>
      <w:r w:rsidRPr="002A2DC8">
        <w:t>Провести обзор приложений I, III и IV и связанных с ними аспектов приложения IX к Базельской конвенции.</w:t>
      </w:r>
    </w:p>
    <w:p w:rsidR="003C152F" w:rsidRPr="002A2DC8" w:rsidRDefault="003C152F" w:rsidP="003C152F">
      <w:pPr>
        <w:suppressAutoHyphens/>
        <w:ind w:left="1248"/>
      </w:pPr>
      <w:r w:rsidRPr="002A2DC8">
        <w:t>a)</w:t>
      </w:r>
      <w:r w:rsidRPr="002A2DC8">
        <w:tab/>
        <w:t xml:space="preserve">Для приложения IV и связанных с ним аспектов приложения IX: </w:t>
      </w:r>
    </w:p>
    <w:p w:rsidR="003C152F" w:rsidRPr="002A2DC8" w:rsidRDefault="003C152F" w:rsidP="003C152F">
      <w:pPr>
        <w:suppressAutoHyphens/>
        <w:ind w:left="1248"/>
      </w:pPr>
      <w:r w:rsidRPr="002A2DC8">
        <w:t>провести обзор с целью:</w:t>
      </w:r>
    </w:p>
    <w:p w:rsidR="003C152F" w:rsidRPr="002A2DC8" w:rsidRDefault="003C152F" w:rsidP="003C152F">
      <w:pPr>
        <w:suppressAutoHyphens/>
        <w:ind w:left="2495" w:hanging="624"/>
      </w:pPr>
      <w:r w:rsidRPr="002A2DC8">
        <w:t>i)</w:t>
      </w:r>
      <w:r w:rsidRPr="002A2DC8">
        <w:tab/>
        <w:t>улучшения/обновления описания операций по удалению в приложении IV;</w:t>
      </w:r>
    </w:p>
    <w:p w:rsidR="003C152F" w:rsidRPr="002A2DC8" w:rsidRDefault="003C152F" w:rsidP="003C152F">
      <w:pPr>
        <w:suppressAutoHyphens/>
        <w:ind w:left="2495" w:hanging="624"/>
      </w:pPr>
      <w:r w:rsidRPr="002A2DC8">
        <w:t>ii)</w:t>
      </w:r>
      <w:r w:rsidRPr="002A2DC8">
        <w:tab/>
        <w:t>улучшения мер экологического контроля путем включения дополнительных операций по удалению, которые встречаются на практике или могут встречаться на практике, в приложени</w:t>
      </w:r>
      <w:r>
        <w:t>е</w:t>
      </w:r>
      <w:r w:rsidRPr="002A2DC8">
        <w:t xml:space="preserve"> IV; и</w:t>
      </w:r>
    </w:p>
    <w:p w:rsidR="003C152F" w:rsidRPr="002A2DC8" w:rsidRDefault="003C152F" w:rsidP="003C152F">
      <w:pPr>
        <w:suppressAutoHyphens/>
        <w:ind w:left="2495" w:hanging="624"/>
      </w:pPr>
      <w:r w:rsidRPr="002A2DC8">
        <w:t>iii)</w:t>
      </w:r>
      <w:r w:rsidRPr="002A2DC8">
        <w:tab/>
        <w:t>уточнения описаний в приложении IV и приложении IX (B1110) с целью устранения коллизий и дублирования.</w:t>
      </w:r>
    </w:p>
    <w:p w:rsidR="003C152F" w:rsidRPr="002A2DC8" w:rsidRDefault="003C152F" w:rsidP="003C152F">
      <w:pPr>
        <w:suppressAutoHyphens/>
        <w:ind w:left="1248"/>
      </w:pPr>
      <w:r w:rsidRPr="002A2DC8">
        <w:t>b)</w:t>
      </w:r>
      <w:r w:rsidRPr="002A2DC8">
        <w:tab/>
        <w:t>Для приложений I и III:</w:t>
      </w:r>
    </w:p>
    <w:p w:rsidR="003C152F" w:rsidRPr="002A2DC8" w:rsidRDefault="003C152F" w:rsidP="003C152F">
      <w:pPr>
        <w:suppressAutoHyphens/>
        <w:ind w:left="1248"/>
      </w:pPr>
      <w:r w:rsidRPr="002A2DC8">
        <w:t>провести обзор с целью:</w:t>
      </w:r>
    </w:p>
    <w:p w:rsidR="003C152F" w:rsidRPr="002A2DC8" w:rsidRDefault="003C152F" w:rsidP="003C152F">
      <w:pPr>
        <w:suppressAutoHyphens/>
        <w:ind w:left="2495" w:hanging="624"/>
      </w:pPr>
      <w:r w:rsidRPr="002A2DC8">
        <w:t>i)</w:t>
      </w:r>
      <w:r w:rsidRPr="002A2DC8">
        <w:tab/>
        <w:t>улучшения/обновления описания категорий отходов в приложении I и перечня опасных свойств в приложении III;</w:t>
      </w:r>
    </w:p>
    <w:p w:rsidR="003C152F" w:rsidRPr="002A2DC8" w:rsidRDefault="003C152F" w:rsidP="003C152F">
      <w:pPr>
        <w:suppressAutoHyphens/>
        <w:ind w:left="2495" w:hanging="624"/>
      </w:pPr>
      <w:r w:rsidRPr="002A2DC8">
        <w:t>ii)</w:t>
      </w:r>
      <w:r w:rsidRPr="002A2DC8">
        <w:tab/>
        <w:t>улучшения мер экологического контроля путем включения любых дополнительных категорий отходов в приложени</w:t>
      </w:r>
      <w:r>
        <w:t>е</w:t>
      </w:r>
      <w:r w:rsidRPr="002A2DC8">
        <w:t xml:space="preserve"> I и любых дополнительных опасных свойств в приложени</w:t>
      </w:r>
      <w:r>
        <w:t>е</w:t>
      </w:r>
      <w:r w:rsidRPr="002A2DC8">
        <w:t xml:space="preserve"> III, которые встречаются на практике; и</w:t>
      </w:r>
    </w:p>
    <w:p w:rsidR="003C152F" w:rsidRPr="002A2DC8" w:rsidRDefault="003C152F" w:rsidP="003C152F">
      <w:pPr>
        <w:suppressAutoHyphens/>
        <w:ind w:left="2495" w:hanging="624"/>
      </w:pPr>
      <w:r w:rsidRPr="002A2DC8">
        <w:t>iii)</w:t>
      </w:r>
      <w:r w:rsidRPr="002A2DC8">
        <w:tab/>
        <w:t>уточнения описаний в приложениях I и III с целью устранения коллизий и дублирования.</w:t>
      </w:r>
    </w:p>
    <w:p w:rsidR="003C152F" w:rsidRPr="001211B1" w:rsidRDefault="003C152F" w:rsidP="003C152F">
      <w:pPr>
        <w:tabs>
          <w:tab w:val="right" w:pos="851"/>
        </w:tabs>
        <w:suppressAutoHyphens/>
        <w:ind w:left="1247" w:right="284" w:hanging="1247"/>
        <w:rPr>
          <w:b/>
        </w:rPr>
      </w:pPr>
      <w:r w:rsidRPr="001211B1">
        <w:rPr>
          <w:b/>
        </w:rPr>
        <w:tab/>
        <w:t>2.</w:t>
      </w:r>
      <w:r w:rsidRPr="001211B1">
        <w:rPr>
          <w:b/>
        </w:rPr>
        <w:tab/>
        <w:t>Основные цели</w:t>
      </w:r>
    </w:p>
    <w:p w:rsidR="003C152F" w:rsidRPr="002A2DC8" w:rsidRDefault="003C152F" w:rsidP="003C152F">
      <w:pPr>
        <w:suppressAutoHyphens/>
        <w:ind w:left="1248"/>
      </w:pPr>
      <w:r w:rsidRPr="002A2DC8">
        <w:t>Повышение юридической четкости Базельской конвенции для защиты здоровья человека и окружающей среды от неблагоприятных последствий, которые могут возникнуть в результате образования и регулирования опасных отходов и других отходов.</w:t>
      </w:r>
    </w:p>
    <w:p w:rsidR="003C152F" w:rsidRPr="001211B1" w:rsidRDefault="003C152F" w:rsidP="003C152F">
      <w:pPr>
        <w:tabs>
          <w:tab w:val="right" w:pos="851"/>
        </w:tabs>
        <w:suppressAutoHyphens/>
        <w:ind w:left="1247" w:right="284" w:hanging="1247"/>
        <w:rPr>
          <w:b/>
        </w:rPr>
      </w:pPr>
      <w:r w:rsidRPr="001211B1">
        <w:rPr>
          <w:b/>
        </w:rPr>
        <w:tab/>
        <w:t>3.</w:t>
      </w:r>
      <w:r w:rsidRPr="001211B1">
        <w:rPr>
          <w:b/>
        </w:rPr>
        <w:tab/>
        <w:t>Членский состав и участие</w:t>
      </w:r>
    </w:p>
    <w:p w:rsidR="003C152F" w:rsidRPr="002A2DC8" w:rsidRDefault="003C152F" w:rsidP="003C152F">
      <w:pPr>
        <w:suppressAutoHyphens/>
        <w:ind w:left="1248"/>
      </w:pPr>
      <w:r w:rsidRPr="002A2DC8">
        <w:t>Членский состав рабочей группы экспертов открыт для выдвинутых экспертов от Сторон Базельской конвенции.</w:t>
      </w:r>
    </w:p>
    <w:p w:rsidR="003C152F" w:rsidRPr="002A2DC8" w:rsidRDefault="003C152F" w:rsidP="003C152F">
      <w:pPr>
        <w:suppressAutoHyphens/>
        <w:ind w:left="1248"/>
      </w:pPr>
      <w:r w:rsidRPr="002A2DC8">
        <w:t>Рабочая группа экспертов будет открыта для представителей других Сторон и наблюдателей и может на специальной основе принимать решение о приглашении дополнительных экспертов, обладающих специализированными техническими знаниями по вопросу, подлежащему обсуждению на каком-либо совещании, принять участие в этом совещании или отдельных его этапах.</w:t>
      </w:r>
    </w:p>
    <w:p w:rsidR="003C152F" w:rsidRPr="001211B1" w:rsidRDefault="003C152F" w:rsidP="003C152F">
      <w:pPr>
        <w:tabs>
          <w:tab w:val="right" w:pos="851"/>
        </w:tabs>
        <w:suppressAutoHyphens/>
        <w:ind w:left="1247" w:right="284" w:hanging="1247"/>
        <w:rPr>
          <w:b/>
        </w:rPr>
      </w:pPr>
      <w:r w:rsidRPr="001211B1">
        <w:rPr>
          <w:b/>
        </w:rPr>
        <w:tab/>
        <w:t>4.</w:t>
      </w:r>
      <w:r w:rsidRPr="001211B1">
        <w:rPr>
          <w:b/>
        </w:rPr>
        <w:tab/>
        <w:t>Сопредседатели</w:t>
      </w:r>
    </w:p>
    <w:p w:rsidR="003C152F" w:rsidRPr="002A2DC8" w:rsidRDefault="003C152F" w:rsidP="003C152F">
      <w:pPr>
        <w:suppressAutoHyphens/>
        <w:ind w:left="1248"/>
      </w:pPr>
      <w:r w:rsidRPr="002A2DC8">
        <w:t>Рабочая группа экспертов избирает своих сопредседателей.</w:t>
      </w:r>
    </w:p>
    <w:p w:rsidR="003C152F" w:rsidRPr="001211B1" w:rsidRDefault="003C152F" w:rsidP="003C152F">
      <w:pPr>
        <w:keepNext/>
        <w:keepLines/>
        <w:tabs>
          <w:tab w:val="right" w:pos="851"/>
        </w:tabs>
        <w:suppressAutoHyphens/>
        <w:ind w:left="1247" w:right="284" w:hanging="1247"/>
        <w:rPr>
          <w:b/>
        </w:rPr>
      </w:pPr>
      <w:r w:rsidRPr="001211B1">
        <w:rPr>
          <w:b/>
        </w:rPr>
        <w:tab/>
        <w:t>5.</w:t>
      </w:r>
      <w:r w:rsidRPr="001211B1">
        <w:rPr>
          <w:b/>
        </w:rPr>
        <w:tab/>
        <w:t xml:space="preserve">Методы работы </w:t>
      </w:r>
    </w:p>
    <w:p w:rsidR="003C152F" w:rsidRPr="002A2DC8" w:rsidRDefault="003C152F" w:rsidP="003C152F">
      <w:pPr>
        <w:suppressAutoHyphens/>
        <w:ind w:left="1248"/>
      </w:pPr>
      <w:r w:rsidRPr="002A2DC8">
        <w:t>Рабочая группа экспертов будет работать с помощью электронных средств и телеконференций. Очные совещания будут проводиться по усмотрению сопредседателей и при условии наличия ресурсов.</w:t>
      </w:r>
    </w:p>
    <w:p w:rsidR="003C152F" w:rsidRPr="002A2DC8" w:rsidRDefault="003C152F" w:rsidP="003C152F">
      <w:pPr>
        <w:suppressAutoHyphens/>
        <w:ind w:left="1248"/>
      </w:pPr>
      <w:r w:rsidRPr="002A2DC8">
        <w:t>Рабочая группа экспертов может по мере необходимости консультироваться со Сторонами и другими субъектами.</w:t>
      </w:r>
    </w:p>
    <w:p w:rsidR="00291D03" w:rsidRPr="00FE267B" w:rsidRDefault="003C152F" w:rsidP="00FE267B">
      <w:pPr>
        <w:suppressAutoHyphens/>
        <w:spacing w:after="240"/>
        <w:ind w:left="1247"/>
        <w:rPr>
          <w:lang w:val="en-US"/>
        </w:rPr>
      </w:pPr>
      <w:r w:rsidRPr="002A2DC8">
        <w:lastRenderedPageBreak/>
        <w:t>Рабочая группа экспертов строит свои методы работы в соответствии с правилами процедуры Базельской конвенции.</w:t>
      </w:r>
    </w:p>
    <w:sectPr w:rsidR="00291D03" w:rsidRPr="00FE267B" w:rsidSect="00291D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1B4" w:rsidRDefault="002521B4" w:rsidP="003C152F">
      <w:pPr>
        <w:spacing w:after="0"/>
      </w:pPr>
      <w:r>
        <w:separator/>
      </w:r>
    </w:p>
  </w:endnote>
  <w:endnote w:type="continuationSeparator" w:id="0">
    <w:p w:rsidR="002521B4" w:rsidRDefault="002521B4" w:rsidP="003C152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1B4" w:rsidRDefault="002521B4" w:rsidP="003C152F">
      <w:pPr>
        <w:spacing w:after="0"/>
      </w:pPr>
      <w:r>
        <w:separator/>
      </w:r>
    </w:p>
  </w:footnote>
  <w:footnote w:type="continuationSeparator" w:id="0">
    <w:p w:rsidR="002521B4" w:rsidRDefault="002521B4" w:rsidP="003C152F">
      <w:pPr>
        <w:spacing w:after="0"/>
      </w:pPr>
      <w:r>
        <w:continuationSeparator/>
      </w:r>
    </w:p>
  </w:footnote>
  <w:footnote w:id="1">
    <w:p w:rsidR="003C152F" w:rsidRPr="00466EAD" w:rsidRDefault="003C152F" w:rsidP="003C152F">
      <w:pPr>
        <w:pStyle w:val="FootnoteText"/>
        <w:spacing w:before="20" w:after="40"/>
        <w:ind w:left="1247"/>
        <w:rPr>
          <w:sz w:val="18"/>
          <w:szCs w:val="18"/>
          <w:lang w:val="en-US"/>
        </w:rPr>
      </w:pPr>
      <w:bookmarkStart w:id="0" w:name="_DV_C1581"/>
      <w:r w:rsidRPr="00466EAD">
        <w:rPr>
          <w:rStyle w:val="FootnoteReference"/>
          <w:sz w:val="18"/>
          <w:szCs w:val="18"/>
        </w:rPr>
        <w:footnoteRef/>
      </w:r>
      <w:r w:rsidRPr="00466EAD">
        <w:rPr>
          <w:sz w:val="18"/>
          <w:szCs w:val="18"/>
          <w:lang w:val="en-US"/>
        </w:rPr>
        <w:t xml:space="preserve"> </w:t>
      </w:r>
      <w:r w:rsidRPr="00466EAD">
        <w:rPr>
          <w:sz w:val="18"/>
          <w:szCs w:val="18"/>
          <w:lang w:val="en-US"/>
        </w:rPr>
        <w:tab/>
        <w:t>UNEP/CHW.13/4.</w:t>
      </w:r>
    </w:p>
  </w:footnote>
  <w:footnote w:id="2">
    <w:p w:rsidR="003C152F" w:rsidRPr="00466EAD" w:rsidRDefault="003C152F" w:rsidP="003C152F">
      <w:pPr>
        <w:pStyle w:val="FootnoteText"/>
        <w:spacing w:before="20" w:after="40"/>
        <w:ind w:left="1247"/>
        <w:rPr>
          <w:lang w:val="en-US"/>
        </w:rPr>
      </w:pPr>
      <w:bookmarkStart w:id="1" w:name="_DV_C1597"/>
      <w:r w:rsidRPr="00466EAD">
        <w:rPr>
          <w:rStyle w:val="FootnoteReference"/>
          <w:sz w:val="18"/>
          <w:szCs w:val="18"/>
        </w:rPr>
        <w:footnoteRef/>
      </w:r>
      <w:r w:rsidRPr="00466EAD">
        <w:rPr>
          <w:sz w:val="18"/>
          <w:szCs w:val="18"/>
          <w:lang w:val="en-US"/>
        </w:rPr>
        <w:t xml:space="preserve"> </w:t>
      </w:r>
      <w:r w:rsidRPr="00466EAD">
        <w:rPr>
          <w:sz w:val="18"/>
          <w:szCs w:val="18"/>
          <w:lang w:val="en-US"/>
        </w:rPr>
        <w:tab/>
        <w:t>UNEP/</w:t>
      </w:r>
      <w:bookmarkStart w:id="2" w:name="_DV_C1591"/>
      <w:r w:rsidRPr="00466EAD">
        <w:rPr>
          <w:sz w:val="18"/>
          <w:szCs w:val="18"/>
          <w:lang w:val="en-US"/>
        </w:rPr>
        <w:t>CHW.</w:t>
      </w:r>
      <w:bookmarkEnd w:id="2"/>
      <w:r w:rsidRPr="00466EAD">
        <w:rPr>
          <w:sz w:val="18"/>
          <w:szCs w:val="18"/>
          <w:lang w:val="en-US"/>
        </w:rPr>
        <w:t>1</w:t>
      </w:r>
      <w:bookmarkStart w:id="3" w:name="_DV_C1592"/>
      <w:r w:rsidRPr="00466EAD">
        <w:rPr>
          <w:sz w:val="18"/>
          <w:szCs w:val="18"/>
          <w:lang w:val="en-US"/>
        </w:rPr>
        <w:t>3/</w:t>
      </w:r>
      <w:bookmarkEnd w:id="3"/>
      <w:r w:rsidRPr="00466EAD">
        <w:rPr>
          <w:sz w:val="18"/>
          <w:szCs w:val="18"/>
          <w:lang w:val="en-US"/>
        </w:rPr>
        <w:t>4/Add.1</w:t>
      </w:r>
      <w:bookmarkStart w:id="4" w:name="_DV_C1594"/>
      <w:r w:rsidRPr="00466EAD">
        <w:rPr>
          <w:sz w:val="18"/>
          <w:szCs w:val="18"/>
          <w:lang w:val="en-US"/>
        </w:rPr>
        <w:t>/Rev</w:t>
      </w:r>
      <w:bookmarkEnd w:id="4"/>
      <w:r w:rsidRPr="00466EAD">
        <w:rPr>
          <w:sz w:val="18"/>
          <w:szCs w:val="18"/>
          <w:lang w:val="en-US"/>
        </w:rPr>
        <w:t>.1.</w:t>
      </w:r>
    </w:p>
  </w:footnote>
  <w:footnote w:id="3">
    <w:p w:rsidR="003C152F" w:rsidRPr="00C21A5F" w:rsidRDefault="003C152F" w:rsidP="003C152F">
      <w:pPr>
        <w:pStyle w:val="FootnoteText"/>
        <w:spacing w:before="20" w:after="40"/>
        <w:ind w:left="1247"/>
        <w:rPr>
          <w:sz w:val="18"/>
          <w:szCs w:val="18"/>
          <w:lang w:val="en-US"/>
        </w:rPr>
      </w:pPr>
      <w:r w:rsidRPr="00C21A5F">
        <w:rPr>
          <w:rStyle w:val="FootnoteReference"/>
          <w:sz w:val="18"/>
          <w:szCs w:val="18"/>
        </w:rPr>
        <w:footnoteRef/>
      </w:r>
      <w:r w:rsidRPr="00C21A5F">
        <w:rPr>
          <w:sz w:val="18"/>
          <w:szCs w:val="18"/>
          <w:lang w:val="en-US"/>
        </w:rPr>
        <w:t xml:space="preserve"> </w:t>
      </w:r>
      <w:r w:rsidRPr="00C21A5F">
        <w:rPr>
          <w:sz w:val="18"/>
          <w:szCs w:val="18"/>
          <w:lang w:val="en-US"/>
        </w:rPr>
        <w:tab/>
        <w:t>UNEP/CHW.13/INF/7/Rev.1.</w:t>
      </w:r>
    </w:p>
  </w:footnote>
  <w:footnote w:id="4">
    <w:p w:rsidR="003C152F" w:rsidRPr="00DB18F6" w:rsidRDefault="003C152F" w:rsidP="003C152F">
      <w:pPr>
        <w:pStyle w:val="FootnoteText"/>
        <w:spacing w:before="20" w:after="40"/>
        <w:ind w:left="1247"/>
        <w:rPr>
          <w:sz w:val="18"/>
          <w:szCs w:val="18"/>
          <w:lang w:val="en-US"/>
        </w:rPr>
      </w:pPr>
      <w:bookmarkStart w:id="5" w:name="_DV_C1614"/>
      <w:r w:rsidRPr="00C21A5F">
        <w:rPr>
          <w:rStyle w:val="FootnoteReference"/>
          <w:sz w:val="18"/>
          <w:szCs w:val="18"/>
        </w:rPr>
        <w:footnoteRef/>
      </w:r>
      <w:r w:rsidRPr="00DB18F6">
        <w:rPr>
          <w:sz w:val="18"/>
          <w:szCs w:val="18"/>
          <w:lang w:val="en-US"/>
        </w:rPr>
        <w:t xml:space="preserve"> </w:t>
      </w:r>
      <w:r w:rsidRPr="00DB18F6">
        <w:rPr>
          <w:sz w:val="18"/>
          <w:szCs w:val="18"/>
          <w:lang w:val="en-US"/>
        </w:rPr>
        <w:tab/>
      </w:r>
      <w:r w:rsidRPr="00C21A5F">
        <w:rPr>
          <w:sz w:val="18"/>
          <w:szCs w:val="18"/>
          <w:lang w:val="en-US"/>
        </w:rPr>
        <w:t>UNEP</w:t>
      </w:r>
      <w:r w:rsidRPr="00DB18F6">
        <w:rPr>
          <w:sz w:val="18"/>
          <w:szCs w:val="18"/>
          <w:lang w:val="en-US"/>
        </w:rPr>
        <w:t>/</w:t>
      </w:r>
      <w:r w:rsidRPr="00C21A5F">
        <w:rPr>
          <w:sz w:val="18"/>
          <w:szCs w:val="18"/>
          <w:lang w:val="en-US"/>
        </w:rPr>
        <w:t>CHW</w:t>
      </w:r>
      <w:r w:rsidRPr="00DB18F6">
        <w:rPr>
          <w:sz w:val="18"/>
          <w:szCs w:val="18"/>
          <w:lang w:val="en-US"/>
        </w:rPr>
        <w:t>.13/</w:t>
      </w:r>
      <w:r w:rsidRPr="00C21A5F">
        <w:rPr>
          <w:sz w:val="18"/>
          <w:szCs w:val="18"/>
          <w:lang w:val="en-US"/>
        </w:rPr>
        <w:t>INF</w:t>
      </w:r>
      <w:r w:rsidRPr="00DB18F6">
        <w:rPr>
          <w:sz w:val="18"/>
          <w:szCs w:val="18"/>
          <w:lang w:val="en-US"/>
        </w:rPr>
        <w:t>/8.</w:t>
      </w:r>
    </w:p>
  </w:footnote>
  <w:footnote w:id="5">
    <w:p w:rsidR="003C152F" w:rsidRPr="00C21A5F" w:rsidRDefault="003C152F" w:rsidP="003C152F">
      <w:pPr>
        <w:pStyle w:val="FootnoteText"/>
        <w:spacing w:before="20" w:after="40"/>
        <w:ind w:left="1247"/>
        <w:rPr>
          <w:sz w:val="18"/>
          <w:szCs w:val="18"/>
        </w:rPr>
      </w:pPr>
      <w:bookmarkStart w:id="6" w:name="_DV_C1617"/>
      <w:r w:rsidRPr="00C21A5F">
        <w:rPr>
          <w:rStyle w:val="FootnoteReference"/>
          <w:sz w:val="18"/>
          <w:szCs w:val="18"/>
        </w:rPr>
        <w:footnoteRef/>
      </w:r>
      <w:r w:rsidRPr="00C21A5F">
        <w:rPr>
          <w:sz w:val="18"/>
          <w:szCs w:val="18"/>
        </w:rPr>
        <w:t xml:space="preserve"> </w:t>
      </w:r>
      <w:r w:rsidRPr="00C21A5F">
        <w:rPr>
          <w:sz w:val="18"/>
          <w:szCs w:val="18"/>
        </w:rPr>
        <w:tab/>
      </w:r>
      <w:r w:rsidRPr="00C21A5F">
        <w:rPr>
          <w:sz w:val="18"/>
          <w:szCs w:val="18"/>
        </w:rPr>
        <w:t>Как это отражено в докладе о работе шестого совещания рабочей группы экспертов http://www.basel.int/Implementation/CountryLedInitiative/Meetings/EWG6onESM/Overview/tabid/5356/</w:t>
      </w:r>
      <w:r w:rsidRPr="00C21A5F">
        <w:rPr>
          <w:sz w:val="18"/>
          <w:szCs w:val="18"/>
        </w:rPr>
        <w:br/>
        <w:t>Default.aspx.</w:t>
      </w:r>
    </w:p>
  </w:footnote>
  <w:footnote w:id="6">
    <w:p w:rsidR="003C152F" w:rsidRDefault="003C152F" w:rsidP="003C152F">
      <w:pPr>
        <w:pStyle w:val="FootnoteText"/>
        <w:spacing w:before="20" w:after="40"/>
        <w:ind w:left="1247"/>
      </w:pPr>
      <w:bookmarkStart w:id="7" w:name="_DV_C1623"/>
      <w:r w:rsidRPr="00C21A5F">
        <w:rPr>
          <w:rStyle w:val="FootnoteReference"/>
          <w:sz w:val="18"/>
          <w:szCs w:val="18"/>
        </w:rPr>
        <w:footnoteRef/>
      </w:r>
      <w:r w:rsidRPr="00C21A5F">
        <w:rPr>
          <w:sz w:val="18"/>
          <w:szCs w:val="18"/>
        </w:rPr>
        <w:t xml:space="preserve"> </w:t>
      </w:r>
      <w:r w:rsidRPr="00C21A5F">
        <w:rPr>
          <w:sz w:val="18"/>
          <w:szCs w:val="18"/>
        </w:rPr>
        <w:tab/>
      </w:r>
      <w:r w:rsidRPr="00C21A5F">
        <w:rPr>
          <w:sz w:val="18"/>
          <w:szCs w:val="18"/>
        </w:rPr>
        <w:t>UNEP/</w:t>
      </w:r>
      <w:bookmarkStart w:id="8" w:name="_DV_C1625"/>
      <w:r w:rsidRPr="00C21A5F">
        <w:rPr>
          <w:sz w:val="18"/>
          <w:szCs w:val="18"/>
        </w:rPr>
        <w:t>CHW.13/INF/9</w:t>
      </w:r>
      <w:bookmarkEnd w:id="8"/>
      <w:r w:rsidRPr="00C21A5F">
        <w:rPr>
          <w:sz w:val="18"/>
          <w:szCs w:val="18"/>
        </w:rPr>
        <w:t xml:space="preserve">, </w:t>
      </w:r>
      <w:r w:rsidRPr="00C21A5F">
        <w:rPr>
          <w:sz w:val="18"/>
          <w:szCs w:val="18"/>
        </w:rPr>
        <w:t>приложение</w:t>
      </w:r>
      <w:bookmarkStart w:id="9" w:name="_DV_C1626"/>
      <w:r w:rsidRPr="00C21A5F">
        <w:rPr>
          <w:sz w:val="18"/>
          <w:szCs w:val="18"/>
        </w:rPr>
        <w:t xml:space="preserve"> I</w:t>
      </w:r>
      <w:bookmarkEnd w:id="9"/>
      <w:r w:rsidRPr="00C21A5F">
        <w:rPr>
          <w:sz w:val="18"/>
          <w:szCs w:val="18"/>
        </w:rPr>
        <w:t>.</w:t>
      </w:r>
    </w:p>
  </w:footnote>
  <w:footnote w:id="7">
    <w:p w:rsidR="003C152F" w:rsidRPr="00DB18F6" w:rsidRDefault="003C152F" w:rsidP="003C152F">
      <w:pPr>
        <w:pStyle w:val="FootnoteText"/>
        <w:spacing w:before="20" w:after="40"/>
        <w:ind w:left="1247"/>
        <w:rPr>
          <w:sz w:val="18"/>
          <w:szCs w:val="18"/>
        </w:rPr>
      </w:pPr>
      <w:bookmarkStart w:id="10" w:name="_DV_C1682"/>
      <w:r w:rsidRPr="00633F4B">
        <w:rPr>
          <w:rStyle w:val="FootnoteReference"/>
          <w:sz w:val="18"/>
          <w:szCs w:val="18"/>
        </w:rPr>
        <w:footnoteRef/>
      </w:r>
      <w:r w:rsidRPr="00DB18F6">
        <w:rPr>
          <w:sz w:val="18"/>
          <w:szCs w:val="18"/>
        </w:rPr>
        <w:t xml:space="preserve"> </w:t>
      </w:r>
      <w:r w:rsidRPr="00DB18F6">
        <w:rPr>
          <w:sz w:val="18"/>
          <w:szCs w:val="18"/>
        </w:rPr>
        <w:tab/>
      </w:r>
      <w:r w:rsidRPr="00633F4B">
        <w:rPr>
          <w:sz w:val="18"/>
          <w:szCs w:val="18"/>
          <w:lang w:val="en-US"/>
        </w:rPr>
        <w:t>UNEP</w:t>
      </w:r>
      <w:r w:rsidRPr="00DB18F6">
        <w:rPr>
          <w:sz w:val="18"/>
          <w:szCs w:val="18"/>
        </w:rPr>
        <w:t>/</w:t>
      </w:r>
      <w:bookmarkStart w:id="11" w:name="_DV_C1684"/>
      <w:r w:rsidRPr="00633F4B">
        <w:rPr>
          <w:sz w:val="18"/>
          <w:szCs w:val="18"/>
          <w:lang w:val="en-US"/>
        </w:rPr>
        <w:t>CHW</w:t>
      </w:r>
      <w:r w:rsidRPr="00DB18F6">
        <w:rPr>
          <w:sz w:val="18"/>
          <w:szCs w:val="18"/>
        </w:rPr>
        <w:t>.</w:t>
      </w:r>
      <w:bookmarkEnd w:id="11"/>
      <w:r w:rsidRPr="00DB18F6">
        <w:rPr>
          <w:sz w:val="18"/>
          <w:szCs w:val="18"/>
        </w:rPr>
        <w:t>13/</w:t>
      </w:r>
      <w:bookmarkStart w:id="12" w:name="_DV_C1685"/>
      <w:r w:rsidRPr="00DB18F6">
        <w:rPr>
          <w:sz w:val="18"/>
          <w:szCs w:val="18"/>
        </w:rPr>
        <w:t>4/</w:t>
      </w:r>
      <w:bookmarkEnd w:id="12"/>
      <w:r w:rsidRPr="00633F4B">
        <w:rPr>
          <w:sz w:val="18"/>
          <w:szCs w:val="18"/>
          <w:lang w:val="en-US"/>
        </w:rPr>
        <w:t>Add</w:t>
      </w:r>
      <w:r w:rsidRPr="00DB18F6">
        <w:rPr>
          <w:sz w:val="18"/>
          <w:szCs w:val="18"/>
        </w:rPr>
        <w:t>.</w:t>
      </w:r>
      <w:bookmarkStart w:id="13" w:name="_DV_C1687"/>
      <w:r w:rsidRPr="00DB18F6">
        <w:rPr>
          <w:sz w:val="18"/>
          <w:szCs w:val="18"/>
        </w:rPr>
        <w:t>2</w:t>
      </w:r>
      <w:bookmarkEnd w:id="13"/>
      <w:r w:rsidRPr="00DB18F6">
        <w:rPr>
          <w:sz w:val="18"/>
          <w:szCs w:val="18"/>
        </w:rPr>
        <w:t>.</w:t>
      </w:r>
    </w:p>
  </w:footnote>
  <w:footnote w:id="8">
    <w:p w:rsidR="003C152F" w:rsidRPr="00633F4B" w:rsidRDefault="003C152F" w:rsidP="003C152F">
      <w:pPr>
        <w:pStyle w:val="FootnoteText"/>
        <w:spacing w:before="20" w:after="40"/>
        <w:ind w:left="1247"/>
        <w:rPr>
          <w:sz w:val="18"/>
          <w:szCs w:val="18"/>
        </w:rPr>
      </w:pPr>
      <w:bookmarkStart w:id="14" w:name="_DV_C1717"/>
      <w:r w:rsidRPr="00633F4B">
        <w:rPr>
          <w:rStyle w:val="FootnoteReference"/>
          <w:sz w:val="18"/>
          <w:szCs w:val="18"/>
        </w:rPr>
        <w:footnoteRef/>
      </w:r>
      <w:r w:rsidRPr="00633F4B">
        <w:rPr>
          <w:sz w:val="18"/>
          <w:szCs w:val="18"/>
        </w:rPr>
        <w:t xml:space="preserve"> </w:t>
      </w:r>
      <w:r w:rsidRPr="00633F4B">
        <w:rPr>
          <w:sz w:val="18"/>
          <w:szCs w:val="18"/>
        </w:rPr>
        <w:tab/>
      </w:r>
      <w:r w:rsidRPr="00633F4B">
        <w:rPr>
          <w:sz w:val="18"/>
          <w:szCs w:val="18"/>
          <w:lang w:val="en-US"/>
        </w:rPr>
        <w:t>UNEP</w:t>
      </w:r>
      <w:r w:rsidRPr="00633F4B">
        <w:rPr>
          <w:sz w:val="18"/>
          <w:szCs w:val="18"/>
        </w:rPr>
        <w:t>/</w:t>
      </w:r>
      <w:r w:rsidRPr="00633F4B">
        <w:rPr>
          <w:sz w:val="18"/>
          <w:szCs w:val="18"/>
          <w:lang w:val="en-US"/>
        </w:rPr>
        <w:t>CHW</w:t>
      </w:r>
      <w:r w:rsidRPr="00633F4B">
        <w:rPr>
          <w:sz w:val="18"/>
          <w:szCs w:val="18"/>
        </w:rPr>
        <w:t>.13/</w:t>
      </w:r>
      <w:r w:rsidRPr="00633F4B">
        <w:rPr>
          <w:sz w:val="18"/>
          <w:szCs w:val="18"/>
          <w:lang w:val="en-US"/>
        </w:rPr>
        <w:t>INF</w:t>
      </w:r>
      <w:r w:rsidRPr="00633F4B">
        <w:rPr>
          <w:sz w:val="18"/>
          <w:szCs w:val="18"/>
        </w:rPr>
        <w:t>/10.</w:t>
      </w:r>
    </w:p>
  </w:footnote>
  <w:footnote w:id="9">
    <w:p w:rsidR="003C152F" w:rsidRDefault="003C152F" w:rsidP="003C152F">
      <w:pPr>
        <w:pStyle w:val="FootnoteText"/>
        <w:spacing w:before="20" w:after="40"/>
        <w:ind w:left="1247"/>
      </w:pPr>
      <w:bookmarkStart w:id="15" w:name="_DV_C1720"/>
      <w:r w:rsidRPr="00633F4B">
        <w:rPr>
          <w:rStyle w:val="FootnoteReference"/>
          <w:sz w:val="18"/>
          <w:szCs w:val="18"/>
        </w:rPr>
        <w:footnoteRef/>
      </w:r>
      <w:r w:rsidRPr="00633F4B">
        <w:rPr>
          <w:sz w:val="18"/>
          <w:szCs w:val="18"/>
        </w:rPr>
        <w:t xml:space="preserve"> </w:t>
      </w:r>
      <w:r w:rsidRPr="00633F4B">
        <w:rPr>
          <w:sz w:val="18"/>
          <w:szCs w:val="18"/>
        </w:rPr>
        <w:tab/>
      </w:r>
      <w:r w:rsidRPr="00633F4B">
        <w:rPr>
          <w:sz w:val="18"/>
          <w:szCs w:val="18"/>
        </w:rPr>
        <w:t xml:space="preserve">Находится </w:t>
      </w:r>
      <w:r w:rsidRPr="00633F4B">
        <w:rPr>
          <w:sz w:val="18"/>
          <w:szCs w:val="18"/>
        </w:rPr>
        <w:t>по адресу: http://www.basel.int/tabid/4753/Default.aspx.</w:t>
      </w:r>
    </w:p>
  </w:footnote>
  <w:footnote w:id="10">
    <w:p w:rsidR="003C152F" w:rsidRPr="00C20CD1" w:rsidRDefault="003C152F" w:rsidP="003C152F">
      <w:pPr>
        <w:pStyle w:val="FootnoteText"/>
        <w:spacing w:before="20" w:after="40"/>
        <w:ind w:left="1247"/>
        <w:rPr>
          <w:sz w:val="18"/>
          <w:szCs w:val="18"/>
        </w:rPr>
      </w:pPr>
      <w:bookmarkStart w:id="16" w:name="_DV_C1734"/>
      <w:r w:rsidRPr="00C20CD1">
        <w:rPr>
          <w:rStyle w:val="FootnoteReference"/>
          <w:sz w:val="18"/>
          <w:szCs w:val="18"/>
        </w:rPr>
        <w:footnoteRef/>
      </w:r>
      <w:r w:rsidRPr="00C20CD1">
        <w:rPr>
          <w:sz w:val="18"/>
          <w:szCs w:val="18"/>
        </w:rPr>
        <w:t xml:space="preserve"> </w:t>
      </w:r>
      <w:r w:rsidRPr="00C20CD1">
        <w:rPr>
          <w:sz w:val="18"/>
          <w:szCs w:val="18"/>
        </w:rPr>
        <w:tab/>
      </w:r>
      <w:r w:rsidRPr="00C20CD1">
        <w:rPr>
          <w:sz w:val="18"/>
          <w:szCs w:val="18"/>
        </w:rPr>
        <w:t xml:space="preserve">Находится </w:t>
      </w:r>
      <w:r w:rsidRPr="00C20CD1">
        <w:rPr>
          <w:sz w:val="18"/>
          <w:szCs w:val="18"/>
        </w:rPr>
        <w:t>на веб-сайте Базельской конвенции по адресу: http://www.basel.int/Implementation/CountryLedInitiative/EnvironmentallySoundManagement/</w:t>
      </w:r>
      <w:r w:rsidRPr="00C20CD1">
        <w:rPr>
          <w:sz w:val="18"/>
          <w:szCs w:val="18"/>
        </w:rPr>
        <w:br/>
        <w:t>ESMFramework/tabid/3616/Default.aspx.</w:t>
      </w:r>
    </w:p>
  </w:footnote>
  <w:footnote w:id="11">
    <w:p w:rsidR="003C152F" w:rsidRPr="00C20CD1" w:rsidRDefault="003C152F" w:rsidP="003C152F">
      <w:pPr>
        <w:pStyle w:val="FootnoteText"/>
        <w:spacing w:before="20" w:after="40"/>
        <w:ind w:left="1247"/>
        <w:rPr>
          <w:sz w:val="18"/>
          <w:szCs w:val="18"/>
        </w:rPr>
      </w:pPr>
      <w:bookmarkStart w:id="17" w:name="_DV_C1746"/>
      <w:r w:rsidRPr="00C20CD1">
        <w:rPr>
          <w:rStyle w:val="FootnoteReference"/>
          <w:sz w:val="18"/>
          <w:szCs w:val="18"/>
        </w:rPr>
        <w:footnoteRef/>
      </w:r>
      <w:r w:rsidRPr="00C20CD1">
        <w:rPr>
          <w:sz w:val="18"/>
          <w:szCs w:val="18"/>
        </w:rPr>
        <w:t xml:space="preserve"> </w:t>
      </w:r>
      <w:r w:rsidRPr="00C20CD1">
        <w:rPr>
          <w:sz w:val="18"/>
          <w:szCs w:val="18"/>
        </w:rPr>
        <w:tab/>
      </w:r>
      <w:r w:rsidRPr="00C20CD1">
        <w:rPr>
          <w:sz w:val="18"/>
          <w:szCs w:val="18"/>
        </w:rPr>
        <w:t xml:space="preserve">В </w:t>
      </w:r>
      <w:r w:rsidRPr="00C20CD1">
        <w:rPr>
          <w:sz w:val="18"/>
          <w:szCs w:val="18"/>
        </w:rPr>
        <w:t>ходе двухгодичного периода 2016-2017 годов региональными центрами Базельской конвенции в Словакии и Китае будут осуществлены два проекта для апробирования пособий и фактологических справок, подготовленных рабочей группой экспертов. Еще два проекта будут выбраны рабочей группой экспертов после тринадцатого совещания Конференции Сторон.</w:t>
      </w:r>
    </w:p>
  </w:footnote>
  <w:footnote w:id="12">
    <w:p w:rsidR="003C152F" w:rsidRPr="00C20CD1" w:rsidRDefault="003C152F" w:rsidP="003C152F">
      <w:pPr>
        <w:pStyle w:val="FootnoteText"/>
        <w:spacing w:before="20" w:after="40"/>
        <w:ind w:left="1247"/>
        <w:rPr>
          <w:sz w:val="18"/>
          <w:szCs w:val="18"/>
        </w:rPr>
      </w:pPr>
      <w:bookmarkStart w:id="18" w:name="_DV_C1751"/>
      <w:r w:rsidRPr="00C20CD1">
        <w:rPr>
          <w:rStyle w:val="FootnoteReference"/>
          <w:sz w:val="18"/>
          <w:szCs w:val="18"/>
        </w:rPr>
        <w:footnoteRef/>
      </w:r>
      <w:r w:rsidRPr="00C20CD1">
        <w:rPr>
          <w:sz w:val="18"/>
          <w:szCs w:val="18"/>
        </w:rPr>
        <w:t xml:space="preserve"> </w:t>
      </w:r>
      <w:r w:rsidRPr="00C20CD1">
        <w:rPr>
          <w:sz w:val="18"/>
          <w:szCs w:val="18"/>
        </w:rPr>
        <w:tab/>
      </w:r>
      <w:r w:rsidRPr="00C20CD1">
        <w:rPr>
          <w:sz w:val="18"/>
          <w:szCs w:val="18"/>
        </w:rPr>
        <w:t xml:space="preserve">Включая </w:t>
      </w:r>
      <w:r w:rsidRPr="00C20CD1">
        <w:rPr>
          <w:sz w:val="18"/>
          <w:szCs w:val="18"/>
        </w:rPr>
        <w:t>компетентные органы, экспортеров и производителей отходов.</w:t>
      </w:r>
    </w:p>
  </w:footnote>
  <w:footnote w:id="13">
    <w:p w:rsidR="003C152F" w:rsidRDefault="003C152F" w:rsidP="003C152F">
      <w:pPr>
        <w:pStyle w:val="FootnoteText"/>
        <w:spacing w:before="20" w:after="40"/>
        <w:ind w:left="1247"/>
      </w:pPr>
      <w:bookmarkStart w:id="19" w:name="_DV_C1754"/>
      <w:r w:rsidRPr="00C20CD1">
        <w:rPr>
          <w:rStyle w:val="FootnoteReference"/>
          <w:sz w:val="18"/>
          <w:szCs w:val="18"/>
        </w:rPr>
        <w:footnoteRef/>
      </w:r>
      <w:r w:rsidRPr="00C20CD1">
        <w:rPr>
          <w:sz w:val="18"/>
          <w:szCs w:val="18"/>
        </w:rPr>
        <w:t xml:space="preserve"> </w:t>
      </w:r>
      <w:r w:rsidRPr="00C20CD1">
        <w:rPr>
          <w:sz w:val="18"/>
          <w:szCs w:val="18"/>
        </w:rPr>
        <w:tab/>
      </w:r>
      <w:r w:rsidRPr="00C20CD1">
        <w:rPr>
          <w:sz w:val="18"/>
          <w:szCs w:val="18"/>
        </w:rPr>
        <w:t xml:space="preserve">Во </w:t>
      </w:r>
      <w:r w:rsidRPr="00C20CD1">
        <w:rPr>
          <w:sz w:val="18"/>
          <w:szCs w:val="18"/>
        </w:rPr>
        <w:t>исполнение просьбы, содержащейся в плане мероприятий по осуществлению Картахенской декларации о предупреждении образования, минимизации и рекуперации опасных отходов и других отходов (решение БК-12/2).</w:t>
      </w:r>
      <w:bookmarkEnd w:id="19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E2B74"/>
    <w:multiLevelType w:val="hybridMultilevel"/>
    <w:tmpl w:val="6A0A7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D633C1"/>
    <w:multiLevelType w:val="hybridMultilevel"/>
    <w:tmpl w:val="1C66C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152F"/>
    <w:rsid w:val="002521B4"/>
    <w:rsid w:val="00291D03"/>
    <w:rsid w:val="003C152F"/>
    <w:rsid w:val="00FE2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52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Geneva 9,Font: Geneva 9,Boston 10,f,DNV-FT,footnote3,text,Geneva,92,Font:,Boston,10,FOOTNOTES,fn,single space,Footnote Text Rail EIS,ft,Footnotes,Footnote ak,fn cafc,Footnotes Char Char,Footnote Text Char Char,fn Char Char,footnote text"/>
    <w:basedOn w:val="Normal"/>
    <w:link w:val="FootnoteTextChar"/>
    <w:rsid w:val="003C152F"/>
  </w:style>
  <w:style w:type="character" w:customStyle="1" w:styleId="FootnoteTextChar">
    <w:name w:val="Footnote Text Char"/>
    <w:aliases w:val="Geneva 9 Char,Font: Geneva 9 Char,Boston 10 Char,f Char,DNV-FT Char,footnote3 Char,text Char,Geneva Char,92 Char,Font: Char,Boston Char,10 Char,FOOTNOTES Char,fn Char,single space Char,Footnote Text Rail EIS Char,ft Char,fn cafc Char"/>
    <w:basedOn w:val="DefaultParagraphFont"/>
    <w:link w:val="FootnoteText"/>
    <w:rsid w:val="003C152F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Footnote Reference1,stylish,Footnote symbol"/>
    <w:uiPriority w:val="99"/>
    <w:rsid w:val="003C152F"/>
    <w:rPr>
      <w:rFonts w:ascii="Times New Roman" w:hAnsi="Times New Roman"/>
      <w:noProof w:val="0"/>
      <w:sz w:val="22"/>
      <w:vertAlign w:val="superscript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1931</Words>
  <Characters>11007</Characters>
  <Application>Microsoft Office Word</Application>
  <DocSecurity>0</DocSecurity>
  <Lines>91</Lines>
  <Paragraphs>25</Paragraphs>
  <ScaleCrop>false</ScaleCrop>
  <Company>BRS</Company>
  <LinksUpToDate>false</LinksUpToDate>
  <CharactersWithSpaces>12913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2</cp:revision>
  <dcterms:created xsi:type="dcterms:W3CDTF">2018-01-04T09:51:00Z</dcterms:created>
  <dcterms:modified xsi:type="dcterms:W3CDTF">2018-01-04T09:52:00Z</dcterms:modified>
</cp:coreProperties>
</file>