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4CC18D72"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9546D6">
              <w:t>9</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786F0451" w14:textId="1036F687" w:rsidR="00312042" w:rsidRPr="00631C1C" w:rsidRDefault="00312042" w:rsidP="009546D6">
      <w:pPr>
        <w:pStyle w:val="CH2"/>
        <w:rPr>
          <w:rFonts w:asciiTheme="majorBidi" w:hAnsiTheme="majorBidi" w:cstheme="majorBidi"/>
        </w:rPr>
      </w:pPr>
      <w:r w:rsidRPr="00631C1C">
        <w:tab/>
      </w:r>
      <w:r w:rsidRPr="00631C1C">
        <w:tab/>
      </w:r>
      <w:bookmarkStart w:id="7" w:name="_Toc213853066"/>
      <w:bookmarkStart w:id="8" w:name="_Toc219712806"/>
      <w:r w:rsidRPr="00631C1C">
        <w:rPr>
          <w:rFonts w:asciiTheme="majorBidi" w:hAnsiTheme="majorBidi" w:cstheme="majorBidi"/>
        </w:rPr>
        <w:t>Decision MC-6/9: Advancing work related to mercury waste</w:t>
      </w:r>
      <w:bookmarkEnd w:id="7"/>
      <w:bookmarkEnd w:id="8"/>
    </w:p>
    <w:p w14:paraId="5605A1BE" w14:textId="77777777" w:rsidR="00312042" w:rsidRPr="00631C1C" w:rsidRDefault="00312042" w:rsidP="00312042">
      <w:pPr>
        <w:pStyle w:val="NormalNonumber"/>
        <w:tabs>
          <w:tab w:val="clear" w:pos="1247"/>
        </w:tabs>
        <w:ind w:firstLine="624"/>
        <w:rPr>
          <w:rFonts w:asciiTheme="majorBidi" w:eastAsia="Yu Mincho" w:hAnsiTheme="majorBidi" w:cstheme="majorBidi"/>
          <w:i/>
          <w:iCs/>
          <w:lang w:eastAsia="ja-JP"/>
        </w:rPr>
      </w:pPr>
      <w:r w:rsidRPr="00631C1C">
        <w:rPr>
          <w:rFonts w:asciiTheme="majorBidi" w:eastAsia="Yu Mincho" w:hAnsiTheme="majorBidi" w:cstheme="majorBidi"/>
          <w:i/>
          <w:iCs/>
        </w:rPr>
        <w:t>The Conference of the Parties,</w:t>
      </w:r>
    </w:p>
    <w:p w14:paraId="311ADBDA" w14:textId="3113F442" w:rsidR="00312042" w:rsidRPr="00631C1C" w:rsidRDefault="00312042" w:rsidP="00312042">
      <w:pPr>
        <w:pStyle w:val="NormalNonumber"/>
        <w:tabs>
          <w:tab w:val="clear" w:pos="1247"/>
        </w:tabs>
        <w:ind w:firstLine="624"/>
        <w:rPr>
          <w:rFonts w:asciiTheme="majorBidi" w:eastAsia="Yu Mincho" w:hAnsiTheme="majorBidi" w:cstheme="majorBidi"/>
          <w:lang w:eastAsia="ja-JP"/>
        </w:rPr>
      </w:pPr>
      <w:r w:rsidRPr="00631C1C">
        <w:rPr>
          <w:rFonts w:asciiTheme="majorBidi" w:eastAsia="Yu Mincho" w:hAnsiTheme="majorBidi" w:cstheme="majorBidi"/>
          <w:i/>
          <w:iCs/>
        </w:rPr>
        <w:t>Recalling</w:t>
      </w:r>
      <w:r w:rsidRPr="00631C1C">
        <w:rPr>
          <w:rFonts w:asciiTheme="majorBidi" w:eastAsia="Yu Mincho" w:hAnsiTheme="majorBidi" w:cstheme="majorBidi"/>
        </w:rPr>
        <w:t xml:space="preserve"> that</w:t>
      </w:r>
      <w:r w:rsidR="000946E9" w:rsidRPr="00631C1C">
        <w:rPr>
          <w:rFonts w:asciiTheme="majorBidi" w:eastAsia="Yu Mincho" w:hAnsiTheme="majorBidi" w:cstheme="majorBidi"/>
        </w:rPr>
        <w:t>,</w:t>
      </w:r>
      <w:r w:rsidRPr="00631C1C">
        <w:rPr>
          <w:rFonts w:asciiTheme="majorBidi" w:eastAsia="Yu Mincho" w:hAnsiTheme="majorBidi" w:cstheme="majorBidi"/>
        </w:rPr>
        <w:t xml:space="preserve"> in decisions MC-3/5, MC-4/6 and MC-5/10</w:t>
      </w:r>
      <w:r w:rsidR="00953187" w:rsidRPr="00631C1C">
        <w:rPr>
          <w:rFonts w:asciiTheme="majorBidi" w:eastAsia="Yu Mincho" w:hAnsiTheme="majorBidi" w:cstheme="majorBidi"/>
        </w:rPr>
        <w:t>,</w:t>
      </w:r>
      <w:r w:rsidRPr="00631C1C">
        <w:rPr>
          <w:rFonts w:asciiTheme="majorBidi" w:eastAsia="Yu Mincho" w:hAnsiTheme="majorBidi" w:cstheme="majorBidi"/>
        </w:rPr>
        <w:t xml:space="preserve"> the Conference of the Parties to the Minamata Convention on Mercury decided on thresholds for different categories of mercury wastes under article 11 of the Convention,</w:t>
      </w:r>
    </w:p>
    <w:p w14:paraId="6E710E43" w14:textId="5C9C7082" w:rsidR="00312042" w:rsidRPr="00631C1C" w:rsidRDefault="00312042" w:rsidP="00312042">
      <w:pPr>
        <w:pStyle w:val="NormalNonumber"/>
        <w:tabs>
          <w:tab w:val="clear" w:pos="1247"/>
        </w:tabs>
        <w:ind w:firstLine="624"/>
        <w:rPr>
          <w:rFonts w:asciiTheme="majorBidi" w:eastAsia="Yu Mincho" w:hAnsiTheme="majorBidi" w:cstheme="majorBidi"/>
          <w:kern w:val="2"/>
          <w:lang w:eastAsia="ja-JP"/>
          <w14:ligatures w14:val="standardContextual"/>
        </w:rPr>
      </w:pPr>
      <w:r w:rsidRPr="00631C1C">
        <w:rPr>
          <w:rFonts w:asciiTheme="majorBidi" w:eastAsia="Yu Mincho" w:hAnsiTheme="majorBidi" w:cstheme="majorBidi"/>
          <w:i/>
          <w:iCs/>
          <w:kern w:val="2"/>
          <w14:ligatures w14:val="standardContextual"/>
        </w:rPr>
        <w:t>Welcoming</w:t>
      </w:r>
      <w:r w:rsidRPr="00631C1C">
        <w:rPr>
          <w:rFonts w:asciiTheme="majorBidi" w:eastAsia="Yu Mincho" w:hAnsiTheme="majorBidi" w:cstheme="majorBidi"/>
          <w:kern w:val="2"/>
          <w14:ligatures w14:val="standardContextual"/>
        </w:rPr>
        <w:t xml:space="preserve"> </w:t>
      </w:r>
      <w:r w:rsidRPr="00631C1C">
        <w:rPr>
          <w:rFonts w:asciiTheme="majorBidi" w:eastAsia="Yu Mincho" w:hAnsiTheme="majorBidi" w:cstheme="majorBidi"/>
          <w:i/>
          <w:iCs/>
          <w:kern w:val="2"/>
          <w14:ligatures w14:val="standardContextual"/>
        </w:rPr>
        <w:t>with appreciation</w:t>
      </w:r>
      <w:r w:rsidRPr="00631C1C">
        <w:rPr>
          <w:rFonts w:asciiTheme="majorBidi" w:eastAsia="Yu Mincho" w:hAnsiTheme="majorBidi" w:cstheme="majorBidi"/>
          <w:kern w:val="2"/>
          <w14:ligatures w14:val="standardContextual"/>
        </w:rPr>
        <w:t xml:space="preserve"> decision BC-17/14 of the Conference of the Parties to the Basel Convention</w:t>
      </w:r>
      <w:r w:rsidRPr="00631C1C">
        <w:rPr>
          <w:rFonts w:asciiTheme="majorBidi" w:hAnsiTheme="majorBidi" w:cstheme="majorBidi"/>
        </w:rPr>
        <w:t xml:space="preserve"> </w:t>
      </w:r>
      <w:r w:rsidRPr="00631C1C">
        <w:rPr>
          <w:rFonts w:asciiTheme="majorBidi" w:eastAsia="Yu Mincho" w:hAnsiTheme="majorBidi" w:cstheme="majorBidi"/>
        </w:rPr>
        <w:t>on the Control of Transboundary Movements of Hazardous Wastes and Their Disposal</w:t>
      </w:r>
      <w:r w:rsidRPr="00631C1C">
        <w:rPr>
          <w:rFonts w:asciiTheme="majorBidi" w:eastAsia="Yu Mincho" w:hAnsiTheme="majorBidi" w:cstheme="majorBidi"/>
          <w:kern w:val="2"/>
          <w14:ligatures w14:val="standardContextual"/>
        </w:rPr>
        <w:t xml:space="preserve">, according to which the work programme of the Committee Administering the Mechanism for Promoting Implementation and Compliance for the biennium 2026–2027 includes </w:t>
      </w:r>
      <w:r w:rsidR="00644201" w:rsidRPr="00631C1C">
        <w:rPr>
          <w:rFonts w:asciiTheme="majorBidi" w:eastAsia="Yu Mincho" w:hAnsiTheme="majorBidi" w:cstheme="majorBidi"/>
          <w:kern w:val="2"/>
          <w14:ligatures w14:val="standardContextual"/>
        </w:rPr>
        <w:t xml:space="preserve">a </w:t>
      </w:r>
      <w:r w:rsidRPr="00631C1C">
        <w:rPr>
          <w:rFonts w:asciiTheme="majorBidi" w:eastAsia="Yu Mincho" w:hAnsiTheme="majorBidi" w:cstheme="majorBidi"/>
          <w:kern w:val="2"/>
          <w14:ligatures w14:val="standardContextual"/>
        </w:rPr>
        <w:t>review of information provided in national reports on illegal traffic of mercury wastes, in response to the invitation in paragraph 12 of decision MC-5/10 of the Conference of Parties to the Minamata Convention</w:t>
      </w:r>
      <w:r w:rsidR="00B31ABE" w:rsidRPr="00631C1C">
        <w:rPr>
          <w:rFonts w:asciiTheme="majorBidi" w:eastAsia="Yu Mincho" w:hAnsiTheme="majorBidi" w:cstheme="majorBidi"/>
          <w:kern w:val="2"/>
          <w14:ligatures w14:val="standardContextual"/>
        </w:rPr>
        <w:t xml:space="preserve"> </w:t>
      </w:r>
      <w:r w:rsidR="00B31ABE" w:rsidRPr="00631C1C">
        <w:rPr>
          <w:rFonts w:asciiTheme="majorBidi" w:eastAsia="Yu Mincho" w:hAnsiTheme="majorBidi" w:cstheme="majorBidi"/>
        </w:rPr>
        <w:t>on Mercury</w:t>
      </w:r>
      <w:r w:rsidRPr="00631C1C">
        <w:rPr>
          <w:rFonts w:asciiTheme="majorBidi" w:eastAsia="Yu Mincho" w:hAnsiTheme="majorBidi" w:cstheme="majorBidi"/>
          <w:kern w:val="2"/>
          <w14:ligatures w14:val="standardContextual"/>
        </w:rPr>
        <w:t>,</w:t>
      </w:r>
    </w:p>
    <w:p w14:paraId="023D18E7" w14:textId="7895055D" w:rsidR="00312042" w:rsidRPr="00631C1C" w:rsidRDefault="00312042" w:rsidP="00312042">
      <w:pPr>
        <w:pStyle w:val="NormalNonumber"/>
        <w:tabs>
          <w:tab w:val="clear" w:pos="1247"/>
        </w:tabs>
        <w:ind w:firstLine="624"/>
        <w:rPr>
          <w:rFonts w:asciiTheme="majorBidi" w:eastAsia="Yu Mincho" w:hAnsiTheme="majorBidi" w:cstheme="majorBidi"/>
          <w:kern w:val="2"/>
          <w14:ligatures w14:val="standardContextual"/>
        </w:rPr>
      </w:pPr>
      <w:r w:rsidRPr="00631C1C">
        <w:rPr>
          <w:rFonts w:asciiTheme="majorBidi" w:eastAsia="Yu Mincho" w:hAnsiTheme="majorBidi" w:cstheme="majorBidi"/>
          <w:i/>
          <w:iCs/>
          <w:kern w:val="2"/>
          <w14:ligatures w14:val="standardContextual"/>
        </w:rPr>
        <w:t>Welcoming</w:t>
      </w:r>
      <w:r w:rsidRPr="00631C1C">
        <w:rPr>
          <w:rFonts w:asciiTheme="majorBidi" w:eastAsia="Yu Mincho" w:hAnsiTheme="majorBidi" w:cstheme="majorBidi"/>
          <w:kern w:val="2"/>
          <w14:ligatures w14:val="standardContextual"/>
        </w:rPr>
        <w:t xml:space="preserve"> decision BC-17/7 of the Conference of the Parties to the Basel Convention</w:t>
      </w:r>
      <w:r w:rsidR="00644201" w:rsidRPr="00631C1C">
        <w:rPr>
          <w:rFonts w:asciiTheme="majorBidi" w:eastAsia="Yu Mincho" w:hAnsiTheme="majorBidi" w:cstheme="majorBidi"/>
          <w:kern w:val="2"/>
          <w14:ligatures w14:val="standardContextual"/>
        </w:rPr>
        <w:t>, in which the Conference decided</w:t>
      </w:r>
      <w:r w:rsidRPr="00631C1C">
        <w:rPr>
          <w:rFonts w:asciiTheme="majorBidi" w:eastAsia="Yu Mincho" w:hAnsiTheme="majorBidi" w:cstheme="majorBidi"/>
          <w:kern w:val="2"/>
          <w14:ligatures w14:val="standardContextual"/>
        </w:rPr>
        <w:t xml:space="preserve"> to update the technical guidelines on the environmentally sound management of wastes consisting of, containing or contaminated with mercury or mercury compounds in order to reflect adjustments consequential to the establishment of the threshold for mercury wastes falling under </w:t>
      </w:r>
      <w:r w:rsidRPr="00631C1C">
        <w:rPr>
          <w:rFonts w:asciiTheme="majorBidi" w:eastAsia="Yu Mincho" w:hAnsiTheme="majorBidi" w:cstheme="majorBidi"/>
        </w:rPr>
        <w:t>paragraph 2 (c) of article 11 of the Minamata Convention</w:t>
      </w:r>
      <w:r w:rsidR="00B31ABE" w:rsidRPr="00631C1C">
        <w:rPr>
          <w:rFonts w:asciiTheme="majorBidi" w:eastAsia="Yu Mincho" w:hAnsiTheme="majorBidi" w:cstheme="majorBidi"/>
        </w:rPr>
        <w:t xml:space="preserve"> on Mercury</w:t>
      </w:r>
      <w:r w:rsidRPr="00631C1C">
        <w:rPr>
          <w:rFonts w:asciiTheme="majorBidi" w:eastAsia="Yu Mincho" w:hAnsiTheme="majorBidi" w:cstheme="majorBidi"/>
        </w:rPr>
        <w:t>, in accordance with decision MC-5/10,</w:t>
      </w:r>
    </w:p>
    <w:p w14:paraId="7CF1136E" w14:textId="5BF4113E" w:rsidR="00312042" w:rsidRPr="00631C1C" w:rsidRDefault="00312042" w:rsidP="00312042">
      <w:pPr>
        <w:pStyle w:val="NormalNonumber"/>
        <w:tabs>
          <w:tab w:val="clear" w:pos="1247"/>
        </w:tabs>
        <w:ind w:firstLine="624"/>
        <w:rPr>
          <w:rFonts w:asciiTheme="majorBidi" w:eastAsia="Yu Mincho" w:hAnsiTheme="majorBidi" w:cstheme="majorBidi"/>
          <w:kern w:val="2"/>
          <w:lang w:eastAsia="ja-JP"/>
          <w14:ligatures w14:val="standardContextual"/>
        </w:rPr>
      </w:pPr>
      <w:r w:rsidRPr="00631C1C">
        <w:rPr>
          <w:rFonts w:asciiTheme="majorBidi" w:eastAsia="Yu Mincho" w:hAnsiTheme="majorBidi" w:cstheme="majorBidi"/>
          <w:i/>
          <w:iCs/>
          <w:kern w:val="2"/>
          <w:lang w:eastAsia="ja-JP"/>
          <w14:ligatures w14:val="standardContextual"/>
        </w:rPr>
        <w:t>Recognizing</w:t>
      </w:r>
      <w:r w:rsidRPr="00631C1C">
        <w:rPr>
          <w:rFonts w:asciiTheme="majorBidi" w:eastAsia="Yu Mincho" w:hAnsiTheme="majorBidi" w:cstheme="majorBidi"/>
          <w:kern w:val="2"/>
          <w:lang w:eastAsia="ja-JP"/>
          <w14:ligatures w14:val="standardContextual"/>
        </w:rPr>
        <w:t xml:space="preserve"> that the environmentally sound management of mercury waste remains particularly challenging for developing countries, and </w:t>
      </w:r>
      <w:proofErr w:type="gramStart"/>
      <w:r w:rsidRPr="00631C1C">
        <w:rPr>
          <w:rFonts w:asciiTheme="majorBidi" w:eastAsia="Yu Mincho" w:hAnsiTheme="majorBidi" w:cstheme="majorBidi"/>
          <w:kern w:val="2"/>
          <w:lang w:eastAsia="ja-JP"/>
          <w14:ligatures w14:val="standardContextual"/>
        </w:rPr>
        <w:t>taking into account</w:t>
      </w:r>
      <w:proofErr w:type="gramEnd"/>
      <w:r w:rsidRPr="00631C1C">
        <w:rPr>
          <w:rFonts w:asciiTheme="majorBidi" w:eastAsia="Yu Mincho" w:hAnsiTheme="majorBidi" w:cstheme="majorBidi"/>
          <w:kern w:val="2"/>
          <w:lang w:eastAsia="ja-JP"/>
          <w14:ligatures w14:val="standardContextual"/>
        </w:rPr>
        <w:t xml:space="preserve"> article 14,</w:t>
      </w:r>
    </w:p>
    <w:p w14:paraId="47836809" w14:textId="5D5BBBEF"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lang w:eastAsia="ja-JP"/>
        </w:rPr>
      </w:pPr>
      <w:r w:rsidRPr="00631C1C">
        <w:rPr>
          <w:rFonts w:asciiTheme="majorBidi" w:eastAsia="MS Mincho" w:hAnsiTheme="majorBidi" w:cstheme="majorBidi"/>
          <w:i/>
          <w:iCs/>
          <w:lang w:eastAsia="ja-JP"/>
        </w:rPr>
        <w:t xml:space="preserve">Invites </w:t>
      </w:r>
      <w:r w:rsidR="00127310" w:rsidRPr="00631C1C">
        <w:rPr>
          <w:rFonts w:asciiTheme="majorBidi" w:eastAsia="MS Mincho" w:hAnsiTheme="majorBidi" w:cstheme="majorBidi"/>
          <w:lang w:eastAsia="ja-JP"/>
        </w:rPr>
        <w:t>p</w:t>
      </w:r>
      <w:r w:rsidRPr="00631C1C">
        <w:rPr>
          <w:rFonts w:asciiTheme="majorBidi" w:eastAsia="MS Mincho" w:hAnsiTheme="majorBidi" w:cstheme="majorBidi"/>
          <w:lang w:eastAsia="ja-JP"/>
        </w:rPr>
        <w:t xml:space="preserve">arties and </w:t>
      </w:r>
      <w:r w:rsidRPr="00631C1C">
        <w:rPr>
          <w:rFonts w:asciiTheme="majorBidi" w:hAnsiTheme="majorBidi" w:cstheme="majorBidi"/>
        </w:rPr>
        <w:t>relevant</w:t>
      </w:r>
      <w:r w:rsidRPr="00631C1C">
        <w:rPr>
          <w:rFonts w:asciiTheme="majorBidi" w:eastAsia="MS Mincho" w:hAnsiTheme="majorBidi" w:cstheme="majorBidi"/>
          <w:lang w:eastAsia="ja-JP"/>
        </w:rPr>
        <w:t xml:space="preserve"> stakeholders to submit, as appropriate, any proposed updates to the lists in tables 1, 2 and 3 of the annex to decision MC-3/5 to the secretariat </w:t>
      </w:r>
      <w:r w:rsidR="00643B57">
        <w:rPr>
          <w:rFonts w:asciiTheme="majorBidi" w:eastAsia="MS Mincho" w:hAnsiTheme="majorBidi" w:cstheme="majorBidi"/>
          <w:lang w:eastAsia="ja-JP"/>
        </w:rPr>
        <w:t>no later than</w:t>
      </w:r>
      <w:r w:rsidRPr="00631C1C">
        <w:rPr>
          <w:rFonts w:asciiTheme="majorBidi" w:eastAsia="MS Mincho" w:hAnsiTheme="majorBidi" w:cstheme="majorBidi"/>
          <w:lang w:eastAsia="ja-JP"/>
        </w:rPr>
        <w:t xml:space="preserve"> six months before the seventh meeting of the Conference of the Parties for the secretariat to</w:t>
      </w:r>
      <w:r w:rsidR="00DC0B04" w:rsidRPr="00631C1C">
        <w:rPr>
          <w:rFonts w:asciiTheme="majorBidi" w:eastAsia="MS Mincho" w:hAnsiTheme="majorBidi" w:cstheme="majorBidi"/>
          <w:lang w:eastAsia="ja-JP"/>
        </w:rPr>
        <w:t xml:space="preserve"> compile</w:t>
      </w:r>
      <w:r w:rsidRPr="00631C1C">
        <w:rPr>
          <w:rFonts w:asciiTheme="majorBidi" w:eastAsia="MS Mincho" w:hAnsiTheme="majorBidi" w:cstheme="majorBidi"/>
          <w:lang w:eastAsia="ja-JP"/>
        </w:rPr>
        <w:t>, subject to the availability of resources, for consideration by the Conference of the Parties at its seventh meeting;</w:t>
      </w:r>
    </w:p>
    <w:p w14:paraId="173B029B" w14:textId="50445FC8"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pPr>
      <w:r w:rsidRPr="00631C1C">
        <w:rPr>
          <w:rFonts w:asciiTheme="majorBidi" w:eastAsia="MS Mincho" w:hAnsiTheme="majorBidi" w:cstheme="majorBidi"/>
          <w:i/>
          <w:iCs/>
          <w:kern w:val="2"/>
          <w:lang w:eastAsia="ja-JP"/>
          <w14:ligatures w14:val="standardContextual"/>
        </w:rPr>
        <w:t>Requests</w:t>
      </w:r>
      <w:r w:rsidRPr="00631C1C">
        <w:rPr>
          <w:rFonts w:asciiTheme="majorBidi" w:eastAsia="MS Mincho" w:hAnsiTheme="majorBidi" w:cstheme="majorBidi"/>
          <w:kern w:val="2"/>
          <w:lang w:eastAsia="ja-JP"/>
          <w14:ligatures w14:val="standardContextual"/>
        </w:rPr>
        <w:t xml:space="preserve"> the parties and the secretariat to take the actions agreed on in decision MC</w:t>
      </w:r>
      <w:r w:rsidRPr="00631C1C">
        <w:rPr>
          <w:rFonts w:asciiTheme="majorBidi" w:eastAsia="MS Mincho" w:hAnsiTheme="majorBidi" w:cstheme="majorBidi"/>
          <w:kern w:val="2"/>
          <w:lang w:eastAsia="ja-JP"/>
          <w14:ligatures w14:val="standardContextual"/>
        </w:rPr>
        <w:noBreakHyphen/>
        <w:t>5/10 as soon as practicable or as required to facilitate the implementation of article 11;</w:t>
      </w:r>
    </w:p>
    <w:p w14:paraId="4DDFA5E9" w14:textId="23459D7D" w:rsidR="00312042" w:rsidRPr="00631C1C"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pPr>
      <w:r w:rsidRPr="00631C1C">
        <w:rPr>
          <w:rFonts w:asciiTheme="majorBidi" w:eastAsia="MS Mincho" w:hAnsiTheme="majorBidi" w:cstheme="majorBidi"/>
          <w:i/>
          <w:iCs/>
          <w:kern w:val="2"/>
          <w:lang w:eastAsia="ja-JP"/>
          <w14:ligatures w14:val="standardContextual"/>
        </w:rPr>
        <w:t>Requests</w:t>
      </w:r>
      <w:r w:rsidRPr="00631C1C">
        <w:rPr>
          <w:rFonts w:asciiTheme="majorBidi" w:eastAsia="MS Mincho" w:hAnsiTheme="majorBidi" w:cstheme="majorBidi"/>
          <w:kern w:val="2"/>
          <w:lang w:eastAsia="ja-JP"/>
          <w14:ligatures w14:val="standardContextual"/>
        </w:rPr>
        <w:t xml:space="preserve"> the secretariat to compile and summarize submissions from parties and relevant stakeholders of any scientific and regulatory data on the effectiveness of the threshold for waste falling under paragraph 2 (c) of article 11, as well as on challenges and experiences related to its use, for consideration by the Conference of the Parties at its seventh meeting;</w:t>
      </w:r>
    </w:p>
    <w:p w14:paraId="0FD1DBB1" w14:textId="77777777" w:rsidR="00312042"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eastAsia="ja-JP"/>
          <w14:ligatures w14:val="standardContextual"/>
        </w:rPr>
      </w:pPr>
      <w:r w:rsidRPr="00631C1C">
        <w:rPr>
          <w:rFonts w:asciiTheme="majorBidi" w:eastAsia="MS Mincho" w:hAnsiTheme="majorBidi" w:cstheme="majorBidi"/>
          <w:i/>
          <w:iCs/>
          <w:kern w:val="2"/>
          <w:lang w:eastAsia="ja-JP"/>
          <w14:ligatures w14:val="standardContextual"/>
        </w:rPr>
        <w:lastRenderedPageBreak/>
        <w:t>Also requests</w:t>
      </w:r>
      <w:r w:rsidRPr="00631C1C">
        <w:rPr>
          <w:rFonts w:asciiTheme="majorBidi" w:eastAsia="MS Mincho" w:hAnsiTheme="majorBidi" w:cstheme="majorBidi"/>
          <w:kern w:val="2"/>
          <w:lang w:eastAsia="ja-JP"/>
          <w14:ligatures w14:val="standardContextual"/>
        </w:rPr>
        <w:t xml:space="preserve"> the secretariat to compile and summarize submissions from parties of any information on the implementation of the different approach referred to in paragraph 2 of decision MC-5/10, for consideration by the Conference of the Parties at its seventh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320808F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9546D6">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9334" w14:textId="77777777" w:rsidR="00A0017F" w:rsidRPr="00CD5597" w:rsidRDefault="00A0017F">
      <w:r w:rsidRPr="00CD5597">
        <w:separator/>
      </w:r>
    </w:p>
  </w:endnote>
  <w:endnote w:type="continuationSeparator" w:id="0">
    <w:p w14:paraId="634D8EFD" w14:textId="77777777" w:rsidR="00A0017F" w:rsidRPr="00CD5597" w:rsidRDefault="00A0017F">
      <w:r w:rsidRPr="00CD5597">
        <w:continuationSeparator/>
      </w:r>
    </w:p>
  </w:endnote>
  <w:endnote w:type="continuationNotice" w:id="1">
    <w:p w14:paraId="3609B597" w14:textId="77777777" w:rsidR="00A0017F" w:rsidRDefault="00A00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59796"/>
      <w:docPartObj>
        <w:docPartGallery w:val="Page Numbers (Bottom of Page)"/>
        <w:docPartUnique/>
      </w:docPartObj>
    </w:sdtPr>
    <w:sdtEndPr>
      <w:rPr>
        <w:b/>
        <w:bCs/>
        <w:noProof/>
      </w:rPr>
    </w:sdtEndPr>
    <w:sdtContent>
      <w:p w14:paraId="3D12BDBD" w14:textId="35CC1041" w:rsidR="009546D6" w:rsidRPr="007B4809" w:rsidRDefault="007B4809" w:rsidP="007B4809">
        <w:pPr>
          <w:pStyle w:val="Footer"/>
          <w:rPr>
            <w:b/>
            <w:bCs/>
          </w:rPr>
        </w:pPr>
        <w:r w:rsidRPr="007B4809">
          <w:rPr>
            <w:b/>
            <w:bCs/>
          </w:rPr>
          <w:fldChar w:fldCharType="begin"/>
        </w:r>
        <w:r w:rsidRPr="007B4809">
          <w:rPr>
            <w:b/>
            <w:bCs/>
          </w:rPr>
          <w:instrText xml:space="preserve"> PAGE   \* MERGEFORMAT </w:instrText>
        </w:r>
        <w:r w:rsidRPr="007B4809">
          <w:rPr>
            <w:b/>
            <w:bCs/>
          </w:rPr>
          <w:fldChar w:fldCharType="separate"/>
        </w:r>
        <w:r w:rsidRPr="007B4809">
          <w:rPr>
            <w:b/>
            <w:bCs/>
            <w:noProof/>
          </w:rPr>
          <w:t>2</w:t>
        </w:r>
        <w:r w:rsidRPr="007B4809">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3A88591" w:rsidR="00CD5597" w:rsidRPr="009546D6" w:rsidRDefault="009546D6" w:rsidP="007B4809">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AACB" w14:textId="77777777" w:rsidR="00A0017F" w:rsidRPr="00CD5597" w:rsidRDefault="00A0017F" w:rsidP="00C70B49">
      <w:pPr>
        <w:pStyle w:val="Footnote-Separator"/>
        <w:rPr>
          <w:szCs w:val="18"/>
        </w:rPr>
      </w:pPr>
      <w:r w:rsidRPr="00CD5597">
        <w:separator/>
      </w:r>
    </w:p>
  </w:footnote>
  <w:footnote w:type="continuationSeparator" w:id="0">
    <w:p w14:paraId="634FA46B" w14:textId="77777777" w:rsidR="00A0017F" w:rsidRPr="00CD5597" w:rsidRDefault="00A0017F" w:rsidP="00C70B49">
      <w:pPr>
        <w:pStyle w:val="Footnote-Separator"/>
      </w:pPr>
      <w:r w:rsidRPr="00CD5597">
        <w:continuationSeparator/>
      </w:r>
    </w:p>
  </w:footnote>
  <w:footnote w:type="continuationNotice" w:id="1">
    <w:p w14:paraId="62299AA1" w14:textId="77777777" w:rsidR="00A0017F" w:rsidRPr="00CD5597" w:rsidRDefault="00A0017F"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046675E" w:rsidR="002C072B" w:rsidRDefault="00703E96" w:rsidP="00703E96">
    <w:pPr>
      <w:pStyle w:val="Header-pool"/>
    </w:pPr>
    <w:r>
      <w:fldChar w:fldCharType="begin"/>
    </w:r>
    <w:r>
      <w:instrText xml:space="preserve"> StyleRef A_Symbol </w:instrText>
    </w:r>
    <w:r>
      <w:fldChar w:fldCharType="separate"/>
    </w:r>
    <w:r w:rsidR="007B4809">
      <w:rPr>
        <w:noProof/>
      </w:rPr>
      <w:t>UNEP/MC/COP.6/Dec.9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E4ECF11" w:rsidR="002C072B" w:rsidRDefault="00703E96" w:rsidP="00703E96">
    <w:pPr>
      <w:pStyle w:val="Header-pool"/>
      <w:jc w:val="right"/>
    </w:pPr>
    <w:r>
      <w:fldChar w:fldCharType="begin"/>
    </w:r>
    <w:r>
      <w:instrText xml:space="preserve"> StyleRef A_Symbol </w:instrText>
    </w:r>
    <w:r>
      <w:fldChar w:fldCharType="separate"/>
    </w:r>
    <w:r w:rsidR="009546D6">
      <w:rPr>
        <w:noProof/>
      </w:rPr>
      <w:t>UNEP/MC/COP.6/Dec.9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6D57"/>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B78"/>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154"/>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09"/>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6D6"/>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17F"/>
    <w:rsid w:val="00A00CF7"/>
    <w:rsid w:val="00A03709"/>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55F3"/>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10</TotalTime>
  <Pages>2</Pages>
  <Words>464</Words>
  <Characters>2646</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18</cp:revision>
  <cp:lastPrinted>2026-03-17T15:22:00Z</cp:lastPrinted>
  <dcterms:created xsi:type="dcterms:W3CDTF">2026-03-17T15:21:00Z</dcterms:created>
  <dcterms:modified xsi:type="dcterms:W3CDTF">2026-04-14T12:45:00Z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