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B66" w:rsidRPr="00F02C5D" w:rsidRDefault="00933B66" w:rsidP="00933B66">
      <w:pPr>
        <w:tabs>
          <w:tab w:val="left" w:pos="1864"/>
          <w:tab w:val="left" w:pos="2431"/>
          <w:tab w:val="left" w:pos="2998"/>
          <w:tab w:val="left" w:pos="3515"/>
          <w:tab w:val="left" w:pos="4082"/>
        </w:tabs>
        <w:spacing w:after="120" w:line="400" w:lineRule="exact"/>
        <w:ind w:left="1134"/>
        <w:jc w:val="both"/>
        <w:textDirection w:val="tbRlV"/>
        <w:rPr>
          <w:rFonts w:ascii="Times New Roman" w:hAnsi="Calibri" w:cs="Traditional Arabic"/>
          <w:b/>
          <w:bCs/>
          <w:noProof w:val="0"/>
          <w:sz w:val="32"/>
          <w:szCs w:val="32"/>
          <w:rtl/>
          <w:lang w:val="en-GB" w:eastAsia="zh-TW"/>
        </w:rPr>
      </w:pPr>
      <w:r w:rsidRPr="00F02C5D">
        <w:rPr>
          <w:rFonts w:ascii="Times New Roman" w:hAnsi="Calibri" w:cs="Traditional Arabic"/>
          <w:b/>
          <w:bCs/>
          <w:noProof w:val="0"/>
          <w:sz w:val="32"/>
          <w:szCs w:val="32"/>
          <w:rtl/>
          <w:lang w:val="en-GB" w:eastAsia="zh-TW"/>
        </w:rPr>
        <w:t>ل.ا.</w:t>
      </w:r>
      <w:r w:rsidRPr="00F02C5D">
        <w:rPr>
          <w:rFonts w:ascii="Times New Roman" w:hAnsi="Calibri" w:cs="Traditional Arabic" w:hint="cs"/>
          <w:b/>
          <w:bCs/>
          <w:noProof w:val="0"/>
          <w:sz w:val="32"/>
          <w:szCs w:val="32"/>
          <w:rtl/>
          <w:lang w:val="en-GB" w:eastAsia="zh-TW"/>
        </w:rPr>
        <w:t>م</w:t>
      </w:r>
      <w:r w:rsidRPr="00F02C5D">
        <w:rPr>
          <w:rFonts w:ascii="Times New Roman" w:hAnsi="Calibri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- 14/1: الأسيتوكلور</w:t>
      </w:r>
    </w:p>
    <w:p w:rsidR="00933B66" w:rsidRPr="00391020" w:rsidRDefault="00933B66" w:rsidP="00933B66">
      <w:pPr>
        <w:tabs>
          <w:tab w:val="left" w:pos="2431"/>
          <w:tab w:val="left" w:pos="2998"/>
          <w:tab w:val="left" w:pos="3515"/>
          <w:tab w:val="left" w:pos="4082"/>
        </w:tabs>
        <w:spacing w:after="120" w:line="400" w:lineRule="exact"/>
        <w:ind w:left="1134" w:firstLine="730"/>
        <w:jc w:val="both"/>
        <w:textDirection w:val="tbRlV"/>
        <w:rPr>
          <w:rFonts w:ascii="Times New Roman" w:hAnsi="Calibri" w:cs="Traditional Arabic"/>
          <w:noProof w:val="0"/>
          <w:szCs w:val="30"/>
          <w:rtl/>
          <w:lang w:val="en-GB" w:eastAsia="zh-TW"/>
        </w:rPr>
      </w:pPr>
      <w:r w:rsidRPr="00391020">
        <w:rPr>
          <w:rFonts w:ascii="Times New Roman" w:eastAsia="SimSun" w:hAnsi="Calibri" w:cs="Traditional Arabic"/>
          <w:i/>
          <w:iCs/>
          <w:noProof w:val="0"/>
          <w:sz w:val="24"/>
          <w:szCs w:val="30"/>
          <w:rtl/>
          <w:lang w:val="en-GB" w:eastAsia="zh-TW"/>
        </w:rPr>
        <w:t>إن لجنة استعراض المواد الكيميائية،</w:t>
      </w:r>
    </w:p>
    <w:p w:rsidR="00933B66" w:rsidRPr="00391020" w:rsidRDefault="00933B66" w:rsidP="00933B66">
      <w:pPr>
        <w:tabs>
          <w:tab w:val="left" w:pos="2431"/>
          <w:tab w:val="left" w:pos="2998"/>
        </w:tabs>
        <w:spacing w:after="120" w:line="400" w:lineRule="exact"/>
        <w:ind w:left="1134" w:firstLine="730"/>
        <w:jc w:val="both"/>
        <w:textDirection w:val="tbRlV"/>
        <w:rPr>
          <w:rFonts w:ascii="Times New Roman" w:hAnsi="Calibri" w:cs="Traditional Arabic"/>
          <w:noProof w:val="0"/>
          <w:szCs w:val="30"/>
          <w:rtl/>
          <w:lang w:val="en-GB" w:eastAsia="zh-TW"/>
        </w:rPr>
      </w:pPr>
      <w:r w:rsidRPr="00391020">
        <w:rPr>
          <w:rFonts w:ascii="Times New Roman" w:eastAsia="SimSun" w:hAnsi="Calibri" w:cs="Traditional Arabic"/>
          <w:i/>
          <w:iCs/>
          <w:noProof w:val="0"/>
          <w:sz w:val="24"/>
          <w:szCs w:val="30"/>
          <w:rtl/>
          <w:lang w:val="en-GB" w:eastAsia="zh-TW"/>
        </w:rPr>
        <w:t>إذ تشير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 xml:space="preserve"> إلى الفقرتين 1 و2 من المادة 7 من اتفاقية روتردام المتعلقة بتطبيق إجراء الموافقة المسبقة عن علم على مواد كيميائية ومبيدات آفات معيَّنة خطرة متداولة في التجارة الدولية،</w:t>
      </w:r>
    </w:p>
    <w:p w:rsidR="00933B66" w:rsidRPr="00391020" w:rsidRDefault="00933B66" w:rsidP="00933B66">
      <w:pPr>
        <w:tabs>
          <w:tab w:val="left" w:pos="624"/>
          <w:tab w:val="left" w:pos="2431"/>
          <w:tab w:val="left" w:pos="2998"/>
        </w:tabs>
        <w:spacing w:after="120" w:line="400" w:lineRule="exact"/>
        <w:ind w:left="1134" w:firstLine="730"/>
        <w:jc w:val="both"/>
        <w:textDirection w:val="tbRlV"/>
        <w:rPr>
          <w:rFonts w:ascii="Times New Roman" w:hAnsi="Calibri" w:cs="Traditional Arabic"/>
          <w:noProof w:val="0"/>
          <w:szCs w:val="30"/>
          <w:rtl/>
          <w:lang w:val="en-GB" w:eastAsia="zh-TW"/>
        </w:rPr>
      </w:pPr>
      <w:r w:rsidRPr="00391020">
        <w:rPr>
          <w:rFonts w:ascii="Times New Roman" w:eastAsia="SimSun" w:hAnsi="Calibri" w:cs="Traditional Arabic"/>
          <w:i/>
          <w:iCs/>
          <w:noProof w:val="0"/>
          <w:sz w:val="24"/>
          <w:szCs w:val="30"/>
          <w:rtl/>
          <w:lang w:val="en-GB" w:eastAsia="zh-TW"/>
        </w:rPr>
        <w:t>وإذ تشير أيضاً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 xml:space="preserve"> إلى مقررها ل.ا.</w:t>
      </w:r>
      <w:r>
        <w:rPr>
          <w:rFonts w:ascii="Times New Roman" w:eastAsia="SimSun" w:hAnsi="Calibri" w:cs="Traditional Arabic" w:hint="cs"/>
          <w:noProof w:val="0"/>
          <w:sz w:val="24"/>
          <w:szCs w:val="30"/>
          <w:rtl/>
          <w:lang w:val="en-GB" w:eastAsia="zh-TW"/>
        </w:rPr>
        <w:t>م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>- 13/1 الذي اعتمدته في اجتماعها الثالث عشر، وأوصت فيه، وفقاً للفقرة 6 من المادة 5 من الاتفاقية، بأن يدرج مؤتمر الأطراف الأسيتوكلور في المرفق الثالث للاتفاقية بوصفه مبيد آفات،</w:t>
      </w:r>
    </w:p>
    <w:p w:rsidR="00933B66" w:rsidRPr="00391020" w:rsidRDefault="00933B66" w:rsidP="00933B66">
      <w:pPr>
        <w:tabs>
          <w:tab w:val="left" w:pos="624"/>
          <w:tab w:val="left" w:pos="2431"/>
          <w:tab w:val="left" w:pos="2998"/>
        </w:tabs>
        <w:spacing w:after="120" w:line="400" w:lineRule="exact"/>
        <w:ind w:left="1134" w:firstLine="731"/>
        <w:jc w:val="both"/>
        <w:textDirection w:val="tbRlV"/>
        <w:rPr>
          <w:rFonts w:ascii="Times New Roman" w:eastAsia="SimSun" w:hAnsi="Calibri" w:cs="Calibri"/>
          <w:noProof w:val="0"/>
          <w:szCs w:val="30"/>
          <w:rtl/>
          <w:lang w:val="en-GB" w:eastAsia="zh-TW"/>
        </w:rPr>
      </w:pPr>
      <w:r w:rsidRPr="00391020">
        <w:rPr>
          <w:rFonts w:ascii="Times New Roman" w:eastAsia="SimSun" w:hAnsi="Calibri" w:cs="Traditional Arabic"/>
          <w:i/>
          <w:iCs/>
          <w:noProof w:val="0"/>
          <w:sz w:val="24"/>
          <w:szCs w:val="30"/>
          <w:rtl/>
          <w:lang w:val="en-GB" w:eastAsia="zh-TW"/>
        </w:rPr>
        <w:t>تعتمد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 xml:space="preserve"> مشروع وثيقة توجيه القرارات المتعلقة بالأسيتوكلور</w:t>
      </w:r>
      <w:r w:rsidRPr="00391020">
        <w:rPr>
          <w:rFonts w:ascii="Times New Roman" w:eastAsia="SimSun" w:hAnsi="Calibri" w:cs="Traditional Arabic" w:hint="cs"/>
          <w:noProof w:val="0"/>
          <w:sz w:val="24"/>
          <w:szCs w:val="30"/>
          <w:vertAlign w:val="superscript"/>
          <w:rtl/>
          <w:lang w:val="en-GB" w:eastAsia="zh-TW"/>
        </w:rPr>
        <w:t>(</w:t>
      </w:r>
      <w:r w:rsidRPr="00943AF0">
        <w:rPr>
          <w:rStyle w:val="FootnoteReference"/>
          <w:rFonts w:eastAsia="SimSun" w:hint="cs"/>
          <w:rtl/>
        </w:rPr>
        <w:footnoteReference w:id="1"/>
      </w:r>
      <w:r w:rsidRPr="00391020">
        <w:rPr>
          <w:rFonts w:ascii="Times New Roman" w:eastAsia="SimSun" w:hAnsi="Calibri" w:cs="Traditional Arabic" w:hint="cs"/>
          <w:noProof w:val="0"/>
          <w:sz w:val="24"/>
          <w:szCs w:val="30"/>
          <w:vertAlign w:val="superscript"/>
          <w:rtl/>
          <w:lang w:val="en-GB" w:eastAsia="zh-TW"/>
        </w:rPr>
        <w:t>)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 xml:space="preserve"> (الرقم في سجل دائرة المستخلصات الكيميائية 1-82-34256) وتقرر أن تحيله، مشفوعاً بالموجز المجدول للتعليقات المتعلق به</w:t>
      </w:r>
      <w:r w:rsidRPr="00391020">
        <w:rPr>
          <w:rFonts w:ascii="Times New Roman" w:eastAsia="SimSun" w:hAnsi="Calibri" w:cs="Traditional Arabic" w:hint="cs"/>
          <w:noProof w:val="0"/>
          <w:sz w:val="24"/>
          <w:szCs w:val="30"/>
          <w:vertAlign w:val="superscript"/>
          <w:rtl/>
          <w:lang w:val="en-GB" w:eastAsia="zh-TW"/>
        </w:rPr>
        <w:t>(</w:t>
      </w:r>
      <w:r w:rsidRPr="00943AF0">
        <w:rPr>
          <w:rStyle w:val="FootnoteReference"/>
          <w:rFonts w:eastAsia="SimSun" w:hint="cs"/>
          <w:rtl/>
        </w:rPr>
        <w:footnoteReference w:id="2"/>
      </w:r>
      <w:r w:rsidRPr="00391020">
        <w:rPr>
          <w:rFonts w:ascii="Traditional Arabic" w:eastAsia="SimSun" w:hAnsi="Traditional Arabic" w:cs="Traditional Arabic" w:hint="cs"/>
          <w:noProof w:val="0"/>
          <w:sz w:val="24"/>
          <w:szCs w:val="30"/>
          <w:vertAlign w:val="superscript"/>
          <w:rtl/>
          <w:lang w:val="en-GB" w:eastAsia="zh-TW"/>
        </w:rPr>
        <w:t>)</w:t>
      </w:r>
      <w:r w:rsidRPr="00391020">
        <w:rPr>
          <w:rFonts w:ascii="Times New Roman" w:eastAsia="SimSun" w:hAnsi="Calibri" w:cs="Traditional Arabic" w:hint="cs"/>
          <w:noProof w:val="0"/>
          <w:sz w:val="24"/>
          <w:szCs w:val="30"/>
          <w:rtl/>
          <w:lang w:val="en-GB" w:eastAsia="zh-TW"/>
        </w:rPr>
        <w:t>،</w:t>
      </w:r>
      <w:r w:rsidRPr="00391020">
        <w:rPr>
          <w:rFonts w:ascii="Times New Roman" w:eastAsia="SimSun" w:hAnsi="Calibri" w:cs="Traditional Arabic"/>
          <w:noProof w:val="0"/>
          <w:sz w:val="24"/>
          <w:szCs w:val="30"/>
          <w:rtl/>
          <w:lang w:val="en-GB" w:eastAsia="zh-TW"/>
        </w:rPr>
        <w:t xml:space="preserve"> إلى مؤتمر الأطراف للنظر فيه.</w:t>
      </w:r>
    </w:p>
    <w:p w:rsidR="00CF7497" w:rsidRDefault="00CF7497">
      <w:bookmarkStart w:id="0" w:name="_GoBack"/>
      <w:bookmarkEnd w:id="0"/>
    </w:p>
    <w:sectPr w:rsidR="00CF7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26D1" w:rsidRDefault="003D26D1" w:rsidP="00933B66">
      <w:r>
        <w:separator/>
      </w:r>
    </w:p>
  </w:endnote>
  <w:endnote w:type="continuationSeparator" w:id="0">
    <w:p w:rsidR="003D26D1" w:rsidRDefault="003D26D1" w:rsidP="0093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26D1" w:rsidRDefault="003D26D1" w:rsidP="00933B66">
      <w:r>
        <w:separator/>
      </w:r>
    </w:p>
  </w:footnote>
  <w:footnote w:type="continuationSeparator" w:id="0">
    <w:p w:rsidR="003D26D1" w:rsidRDefault="003D26D1" w:rsidP="00933B66">
      <w:r>
        <w:continuationSeparator/>
      </w:r>
    </w:p>
  </w:footnote>
  <w:footnote w:id="1">
    <w:p w:rsidR="00933B66" w:rsidRPr="00780CC7" w:rsidRDefault="00933B66" w:rsidP="00933B66">
      <w:pPr>
        <w:pStyle w:val="FootnoteText"/>
        <w:spacing w:after="40" w:line="280" w:lineRule="exact"/>
        <w:ind w:firstLine="1259"/>
        <w:textDirection w:val="tbRlV"/>
        <w:rPr>
          <w:sz w:val="18"/>
          <w:szCs w:val="18"/>
          <w:rtl/>
          <w:lang w:eastAsia="zh-TW"/>
        </w:rPr>
      </w:pPr>
      <w:r w:rsidRPr="00597938">
        <w:rPr>
          <w:rFonts w:ascii="Traditional Arabic" w:eastAsia="Calibri" w:hAnsi="Traditional Arabic" w:cs="Traditional Arabic"/>
          <w:sz w:val="26"/>
          <w:szCs w:val="26"/>
          <w:rtl/>
          <w:lang w:eastAsia="zh-TW"/>
        </w:rPr>
        <w:t>(</w:t>
      </w:r>
      <w:r w:rsidRPr="00597938">
        <w:rPr>
          <w:rStyle w:val="FootnoteReference"/>
          <w:rFonts w:ascii="Traditional Arabic" w:eastAsia="Calibri" w:hAnsi="Traditional Arabic" w:cs="Traditional Arabic"/>
          <w:sz w:val="26"/>
          <w:szCs w:val="26"/>
          <w:rtl/>
        </w:rPr>
        <w:footnoteRef/>
      </w:r>
      <w:r w:rsidRPr="00597938">
        <w:rPr>
          <w:rFonts w:ascii="Traditional Arabic" w:eastAsia="Calibri" w:hAnsi="Traditional Arabic" w:cs="Traditional Arabic"/>
          <w:sz w:val="26"/>
          <w:szCs w:val="26"/>
          <w:rtl/>
          <w:lang w:eastAsia="zh-TW"/>
        </w:rPr>
        <w:t>)</w:t>
      </w:r>
      <w:r w:rsidRPr="001F194A">
        <w:rPr>
          <w:rFonts w:hint="cs"/>
          <w:rtl/>
          <w:lang w:eastAsia="zh-TW"/>
        </w:rPr>
        <w:t xml:space="preserve"> </w:t>
      </w:r>
      <w:r w:rsidRPr="002465FB">
        <w:rPr>
          <w:rFonts w:hint="cs"/>
          <w:rtl/>
          <w:lang w:eastAsia="zh-TW"/>
        </w:rPr>
        <w:t xml:space="preserve"> </w:t>
      </w:r>
      <w:r w:rsidRPr="004C1658">
        <w:rPr>
          <w:rFonts w:ascii="Traditional Arabic" w:hAnsi="Traditional Arabic" w:cs="Traditional Arabic" w:hint="cs"/>
          <w:sz w:val="26"/>
          <w:szCs w:val="26"/>
          <w:lang w:eastAsia="zh-TW"/>
        </w:rPr>
        <w:t>.</w:t>
      </w:r>
      <w:r w:rsidRPr="004C1658">
        <w:rPr>
          <w:sz w:val="18"/>
          <w:szCs w:val="18"/>
          <w:lang w:eastAsia="zh-TW"/>
        </w:rPr>
        <w:t>UNEP/FAO/RC/CRC.14/3/Rev.1</w:t>
      </w:r>
    </w:p>
  </w:footnote>
  <w:footnote w:id="2">
    <w:p w:rsidR="00933B66" w:rsidRPr="00780CC7" w:rsidRDefault="00933B66" w:rsidP="00933B66">
      <w:pPr>
        <w:pStyle w:val="FootnoteText"/>
        <w:tabs>
          <w:tab w:val="left" w:pos="9180"/>
        </w:tabs>
        <w:spacing w:after="40" w:line="280" w:lineRule="exact"/>
        <w:ind w:firstLine="1259"/>
        <w:textDirection w:val="tbRlV"/>
        <w:rPr>
          <w:sz w:val="18"/>
          <w:szCs w:val="18"/>
          <w:rtl/>
          <w:lang w:eastAsia="zh-TW"/>
        </w:rPr>
      </w:pPr>
      <w:r w:rsidRPr="00597938">
        <w:rPr>
          <w:rFonts w:ascii="Traditional Arabic" w:eastAsia="Calibri" w:hAnsi="Traditional Arabic" w:cs="Traditional Arabic"/>
          <w:sz w:val="26"/>
          <w:szCs w:val="26"/>
          <w:rtl/>
          <w:lang w:eastAsia="zh-TW"/>
        </w:rPr>
        <w:t>(</w:t>
      </w:r>
      <w:r w:rsidRPr="00597938">
        <w:rPr>
          <w:rStyle w:val="FootnoteReference"/>
          <w:rFonts w:ascii="Traditional Arabic" w:eastAsia="Calibri" w:hAnsi="Traditional Arabic" w:cs="Traditional Arabic"/>
          <w:sz w:val="26"/>
          <w:szCs w:val="26"/>
          <w:rtl/>
        </w:rPr>
        <w:footnoteRef/>
      </w:r>
      <w:r w:rsidRPr="00597938">
        <w:rPr>
          <w:rFonts w:ascii="Traditional Arabic" w:eastAsia="Calibri" w:hAnsi="Traditional Arabic" w:cs="Traditional Arabic"/>
          <w:sz w:val="26"/>
          <w:szCs w:val="26"/>
          <w:rtl/>
          <w:lang w:eastAsia="zh-TW"/>
        </w:rPr>
        <w:t>)</w:t>
      </w:r>
      <w:r>
        <w:rPr>
          <w:rFonts w:hint="cs"/>
          <w:rtl/>
          <w:lang w:eastAsia="zh-TW"/>
        </w:rPr>
        <w:t xml:space="preserve"> </w:t>
      </w:r>
      <w:r w:rsidRPr="002465FB">
        <w:rPr>
          <w:rFonts w:hint="cs"/>
          <w:rtl/>
          <w:lang w:eastAsia="zh-TW"/>
        </w:rPr>
        <w:t xml:space="preserve"> </w:t>
      </w:r>
      <w:r w:rsidRPr="00120693">
        <w:rPr>
          <w:lang w:eastAsia="zh-TW"/>
        </w:rPr>
        <w:t>.</w:t>
      </w:r>
      <w:r w:rsidRPr="004C1658">
        <w:rPr>
          <w:sz w:val="18"/>
          <w:szCs w:val="18"/>
          <w:lang w:eastAsia="zh-TW"/>
        </w:rPr>
        <w:t>UNEP/FAO/RC/CRC.14/INF/6/Rev.1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B66"/>
    <w:rsid w:val="00304CF0"/>
    <w:rsid w:val="003D26D1"/>
    <w:rsid w:val="00933B66"/>
    <w:rsid w:val="00987DB3"/>
    <w:rsid w:val="009D258D"/>
    <w:rsid w:val="00C873CC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07CDB5-C706-4D09-A31E-C3722E00E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B66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uiPriority w:val="99"/>
    <w:rsid w:val="00933B66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uiPriority w:val="99"/>
    <w:rsid w:val="00933B66"/>
    <w:rPr>
      <w:rFonts w:ascii="Times" w:eastAsia="Times New Roman" w:hAnsi="Times" w:cs="Simplified Arabic"/>
      <w:noProof/>
      <w:sz w:val="20"/>
      <w:szCs w:val="20"/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rsid w:val="00933B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2019-01-03T14:01:00Z</dcterms:created>
  <dcterms:modified xsi:type="dcterms:W3CDTF">2019-01-03T14:01:00Z</dcterms:modified>
</cp:coreProperties>
</file>