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193" w:rsidRPr="00EF0115" w:rsidRDefault="00412193" w:rsidP="00412193">
      <w:pPr>
        <w:spacing w:after="120" w:line="400" w:lineRule="exact"/>
        <w:ind w:left="1134"/>
        <w:jc w:val="both"/>
        <w:rPr>
          <w:rFonts w:ascii="Times New Roman" w:hAnsi="Times New Roman" w:cs="Traditional Arabic"/>
          <w:szCs w:val="30"/>
          <w:rtl/>
          <w:lang w:eastAsia="zh-TW"/>
        </w:rPr>
      </w:pPr>
    </w:p>
    <w:p w:rsidR="00412193" w:rsidRPr="005B4476" w:rsidRDefault="00412193" w:rsidP="00412193">
      <w:pPr>
        <w:pStyle w:val="CH1"/>
        <w:tabs>
          <w:tab w:val="clear" w:pos="851"/>
          <w:tab w:val="clear" w:pos="1247"/>
          <w:tab w:val="clear" w:pos="1814"/>
          <w:tab w:val="clear" w:pos="2381"/>
          <w:tab w:val="clear" w:pos="2948"/>
          <w:tab w:val="clear" w:pos="3515"/>
          <w:tab w:val="clear" w:pos="4082"/>
          <w:tab w:val="left" w:pos="2975"/>
        </w:tabs>
        <w:bidi/>
        <w:spacing w:before="0" w:line="400" w:lineRule="exact"/>
        <w:ind w:left="1134" w:right="0" w:firstLine="0"/>
        <w:jc w:val="both"/>
        <w:textDirection w:val="tbRlV"/>
        <w:rPr>
          <w:rFonts w:cs="Traditional Arabic"/>
          <w:bCs/>
          <w:sz w:val="32"/>
          <w:szCs w:val="32"/>
          <w:rtl/>
          <w:lang w:eastAsia="zh-TW"/>
        </w:rPr>
      </w:pPr>
      <w:r w:rsidRPr="005B4476">
        <w:rPr>
          <w:rFonts w:cs="Traditional Arabic"/>
          <w:bCs/>
          <w:sz w:val="32"/>
          <w:szCs w:val="32"/>
          <w:rtl/>
          <w:lang w:eastAsia="zh-TW"/>
        </w:rPr>
        <w:t>ل</w:t>
      </w:r>
      <w:r>
        <w:rPr>
          <w:rFonts w:cs="Traditional Arabic" w:hint="cs"/>
          <w:bCs/>
          <w:sz w:val="32"/>
          <w:szCs w:val="32"/>
          <w:rtl/>
          <w:lang w:eastAsia="zh-TW"/>
        </w:rPr>
        <w:t>.</w:t>
      </w:r>
      <w:r w:rsidRPr="005B4476">
        <w:rPr>
          <w:rFonts w:cs="Traditional Arabic"/>
          <w:bCs/>
          <w:sz w:val="32"/>
          <w:szCs w:val="32"/>
          <w:rtl/>
          <w:lang w:eastAsia="zh-TW"/>
        </w:rPr>
        <w:t>ا</w:t>
      </w:r>
      <w:r>
        <w:rPr>
          <w:rFonts w:cs="Traditional Arabic" w:hint="cs"/>
          <w:bCs/>
          <w:sz w:val="32"/>
          <w:szCs w:val="32"/>
          <w:rtl/>
          <w:lang w:eastAsia="zh-TW"/>
        </w:rPr>
        <w:t>.</w:t>
      </w:r>
      <w:r w:rsidRPr="005B4476">
        <w:rPr>
          <w:rFonts w:cs="Traditional Arabic"/>
          <w:bCs/>
          <w:sz w:val="32"/>
          <w:szCs w:val="32"/>
          <w:rtl/>
          <w:lang w:eastAsia="zh-TW"/>
        </w:rPr>
        <w:t>م - 13/1:</w:t>
      </w:r>
      <w:r w:rsidRPr="005B4476">
        <w:rPr>
          <w:rFonts w:cs="Traditional Arabic"/>
          <w:bCs/>
          <w:sz w:val="32"/>
          <w:szCs w:val="32"/>
          <w:rtl/>
          <w:lang w:eastAsia="zh-TW"/>
        </w:rPr>
        <w:tab/>
        <w:t>الأسيتوكلور</w:t>
      </w:r>
    </w:p>
    <w:p w:rsidR="00412193" w:rsidRPr="00493C2E" w:rsidRDefault="00412193" w:rsidP="00412193">
      <w:pPr>
        <w:keepNext/>
        <w:spacing w:after="120" w:line="400" w:lineRule="exact"/>
        <w:ind w:left="1134" w:firstLine="707"/>
        <w:jc w:val="both"/>
        <w:textDirection w:val="tbRlV"/>
        <w:rPr>
          <w:rFonts w:ascii="Times New Roman" w:hAnsi="Times New Roman" w:cs="Traditional Arabic"/>
          <w:szCs w:val="30"/>
          <w:rtl/>
          <w:lang w:eastAsia="zh-TW"/>
        </w:rPr>
      </w:pPr>
      <w:r w:rsidRPr="00FA6E8B">
        <w:rPr>
          <w:rFonts w:ascii="Times New Roman" w:hAnsi="Times New Roman" w:cs="Traditional Arabic"/>
          <w:i/>
          <w:iCs/>
          <w:szCs w:val="30"/>
          <w:rtl/>
          <w:lang w:eastAsia="zh-TW"/>
        </w:rPr>
        <w:t>إن لجنة استعراض المواد الكيميائية،</w:t>
      </w:r>
    </w:p>
    <w:p w:rsidR="00412193" w:rsidRPr="00EF0115" w:rsidRDefault="00412193" w:rsidP="00412193">
      <w:pPr>
        <w:spacing w:after="120" w:line="400" w:lineRule="exact"/>
        <w:ind w:left="1134" w:firstLine="707"/>
        <w:jc w:val="both"/>
        <w:textDirection w:val="tbRlV"/>
        <w:rPr>
          <w:rFonts w:ascii="Times New Roman" w:hAnsi="Times New Roman" w:cs="Traditional Arabic"/>
          <w:szCs w:val="30"/>
          <w:rtl/>
          <w:lang w:eastAsia="zh-TW"/>
        </w:rPr>
      </w:pPr>
      <w:r w:rsidRPr="00FA6E8B">
        <w:rPr>
          <w:rFonts w:ascii="Times New Roman" w:hAnsi="Times New Roman" w:cs="Traditional Arabic"/>
          <w:i/>
          <w:iCs/>
          <w:szCs w:val="30"/>
          <w:rtl/>
          <w:lang w:eastAsia="zh-TW"/>
        </w:rPr>
        <w:t>إذ تشير</w:t>
      </w:r>
      <w:r w:rsidRPr="00EF0115">
        <w:rPr>
          <w:rFonts w:ascii="Times New Roman" w:hAnsi="Times New Roman" w:cs="Traditional Arabic"/>
          <w:szCs w:val="30"/>
          <w:rtl/>
          <w:lang w:eastAsia="zh-TW"/>
        </w:rPr>
        <w:t xml:space="preserve"> إلى المادة 5 من اتفاقية روتردام المتعلقة بتطبيق إجراء الموافقة المسبقة عن علم على مواد كيميائية ومبيدات آفات معينة خطرة متداولة في التجارة الدولية،</w:t>
      </w:r>
    </w:p>
    <w:p w:rsidR="00412193" w:rsidRPr="00EF0115" w:rsidRDefault="00412193" w:rsidP="00412193">
      <w:pPr>
        <w:tabs>
          <w:tab w:val="left" w:pos="2520"/>
        </w:tabs>
        <w:spacing w:after="120" w:line="400" w:lineRule="exact"/>
        <w:ind w:left="1134" w:firstLine="707"/>
        <w:jc w:val="both"/>
        <w:textDirection w:val="tbRlV"/>
        <w:rPr>
          <w:rFonts w:ascii="Times New Roman" w:hAnsi="Times New Roman" w:cs="Traditional Arabic"/>
          <w:szCs w:val="30"/>
          <w:rtl/>
          <w:lang w:eastAsia="zh-TW"/>
        </w:rPr>
      </w:pPr>
      <w:r w:rsidRPr="00EF0115">
        <w:rPr>
          <w:rFonts w:ascii="Times New Roman" w:hAnsi="Times New Roman" w:cs="Traditional Arabic"/>
          <w:szCs w:val="30"/>
          <w:rtl/>
          <w:lang w:eastAsia="zh-TW"/>
        </w:rPr>
        <w:t>١-</w:t>
      </w:r>
      <w:r w:rsidRPr="00EF0115">
        <w:rPr>
          <w:rFonts w:ascii="Times New Roman" w:hAnsi="Times New Roman" w:cs="Traditional Arabic"/>
          <w:szCs w:val="30"/>
          <w:rtl/>
          <w:lang w:eastAsia="zh-TW"/>
        </w:rPr>
        <w:tab/>
      </w:r>
      <w:r w:rsidRPr="00FA6E8B">
        <w:rPr>
          <w:rFonts w:ascii="Times New Roman" w:hAnsi="Times New Roman" w:cs="Traditional Arabic"/>
          <w:i/>
          <w:iCs/>
          <w:szCs w:val="30"/>
          <w:rtl/>
          <w:lang w:eastAsia="zh-TW"/>
        </w:rPr>
        <w:t>تستنتج</w:t>
      </w:r>
      <w:r w:rsidRPr="00EF0115">
        <w:rPr>
          <w:rFonts w:ascii="Times New Roman" w:hAnsi="Times New Roman" w:cs="Traditional Arabic"/>
          <w:szCs w:val="30"/>
          <w:rtl/>
          <w:lang w:eastAsia="zh-TW"/>
        </w:rPr>
        <w:t xml:space="preserve"> أن الإخطارات بالإجراء التنظيمي النهائي بشأن الأسيتوكلور التي قدمها الاتحاد الأوروبي، وبوركينا فاسو وتشاد وتوغو والسنغال وغينيا -بيساو وغامبيا وكابو فيردي ومالي وموريتانيا والنيجر</w:t>
      </w:r>
      <w:r w:rsidRPr="00EF0115">
        <w:rPr>
          <w:rFonts w:ascii="Times New Roman" w:hAnsi="Times New Roman" w:cs="Traditional Arabic"/>
          <w:szCs w:val="30"/>
          <w:vertAlign w:val="superscript"/>
          <w:rtl/>
          <w:lang w:eastAsia="zh-TW"/>
        </w:rPr>
        <w:t>(</w:t>
      </w:r>
      <w:r w:rsidRPr="00EF0115">
        <w:rPr>
          <w:rStyle w:val="FootnoteReference"/>
          <w:rFonts w:ascii="Times New Roman" w:hAnsi="Times New Roman" w:cs="Traditional Arabic"/>
          <w:szCs w:val="30"/>
          <w:rtl/>
          <w:lang w:eastAsia="zh-TW"/>
        </w:rPr>
        <w:footnoteReference w:customMarkFollows="1" w:id="1"/>
        <w:t>1</w:t>
      </w:r>
      <w:r w:rsidRPr="00EF0115">
        <w:rPr>
          <w:rFonts w:ascii="Times New Roman" w:hAnsi="Times New Roman" w:cs="Traditional Arabic"/>
          <w:szCs w:val="30"/>
          <w:vertAlign w:val="superscript"/>
          <w:rtl/>
          <w:lang w:eastAsia="zh-TW"/>
        </w:rPr>
        <w:t>)</w:t>
      </w:r>
      <w:r w:rsidRPr="00EF0115">
        <w:rPr>
          <w:rFonts w:ascii="Times New Roman" w:hAnsi="Times New Roman" w:cs="Traditional Arabic"/>
          <w:szCs w:val="30"/>
          <w:rtl/>
          <w:lang w:eastAsia="zh-TW"/>
        </w:rPr>
        <w:t xml:space="preserve"> تستوفي المعايير الواردة في المرفق الثاني للاتفاقية؛</w:t>
      </w:r>
    </w:p>
    <w:p w:rsidR="00412193" w:rsidRPr="00EF0115" w:rsidRDefault="00412193" w:rsidP="00412193">
      <w:pPr>
        <w:pStyle w:val="Normal-pool"/>
        <w:tabs>
          <w:tab w:val="clear" w:pos="1247"/>
          <w:tab w:val="clear" w:pos="1814"/>
          <w:tab w:val="clear" w:pos="2381"/>
          <w:tab w:val="clear" w:pos="2948"/>
          <w:tab w:val="clear" w:pos="3515"/>
          <w:tab w:val="left" w:pos="2520"/>
        </w:tabs>
        <w:bidi/>
        <w:spacing w:after="120" w:line="400" w:lineRule="exact"/>
        <w:ind w:left="1134" w:firstLine="707"/>
        <w:jc w:val="both"/>
        <w:textDirection w:val="tbRlV"/>
        <w:rPr>
          <w:rFonts w:cs="Traditional Arabic"/>
          <w:szCs w:val="30"/>
          <w:rtl/>
          <w:lang w:eastAsia="zh-TW"/>
        </w:rPr>
      </w:pPr>
      <w:r w:rsidRPr="00EF0115">
        <w:rPr>
          <w:rFonts w:cs="Traditional Arabic"/>
          <w:szCs w:val="30"/>
          <w:rtl/>
          <w:lang w:eastAsia="zh-TW"/>
        </w:rPr>
        <w:t>٢-</w:t>
      </w:r>
      <w:r>
        <w:rPr>
          <w:rFonts w:cs="Traditional Arabic"/>
          <w:szCs w:val="30"/>
          <w:rtl/>
          <w:lang w:eastAsia="zh-TW"/>
        </w:rPr>
        <w:tab/>
      </w:r>
      <w:r w:rsidRPr="00FA6E8B">
        <w:rPr>
          <w:rFonts w:cs="Traditional Arabic"/>
          <w:i/>
          <w:iCs/>
          <w:szCs w:val="30"/>
          <w:rtl/>
          <w:lang w:eastAsia="zh-TW"/>
        </w:rPr>
        <w:t>تعتمد</w:t>
      </w:r>
      <w:r w:rsidRPr="00EF0115">
        <w:rPr>
          <w:rFonts w:cs="Traditional Arabic"/>
          <w:szCs w:val="30"/>
          <w:rtl/>
          <w:lang w:eastAsia="zh-TW"/>
        </w:rPr>
        <w:t xml:space="preserve"> الأساس النظري لاستنتاج اللجنة الوارد في مرفق هذا المقرر؛</w:t>
      </w:r>
    </w:p>
    <w:p w:rsidR="00412193" w:rsidRPr="00EF0115" w:rsidRDefault="00412193" w:rsidP="00412193">
      <w:pPr>
        <w:pStyle w:val="Normal-pool"/>
        <w:tabs>
          <w:tab w:val="clear" w:pos="1247"/>
          <w:tab w:val="clear" w:pos="1814"/>
          <w:tab w:val="clear" w:pos="2381"/>
          <w:tab w:val="clear" w:pos="2948"/>
          <w:tab w:val="clear" w:pos="3515"/>
          <w:tab w:val="left" w:pos="2520"/>
        </w:tabs>
        <w:bidi/>
        <w:spacing w:after="120" w:line="400" w:lineRule="exact"/>
        <w:ind w:left="1134" w:firstLine="707"/>
        <w:jc w:val="both"/>
        <w:textDirection w:val="tbRlV"/>
        <w:rPr>
          <w:rFonts w:cs="Traditional Arabic"/>
          <w:szCs w:val="30"/>
          <w:rtl/>
          <w:lang w:eastAsia="zh-TW"/>
        </w:rPr>
      </w:pPr>
      <w:r w:rsidRPr="00EF0115">
        <w:rPr>
          <w:rFonts w:cs="Traditional Arabic"/>
          <w:szCs w:val="30"/>
          <w:rtl/>
          <w:lang w:eastAsia="zh-TW"/>
        </w:rPr>
        <w:t>٣-</w:t>
      </w:r>
      <w:r>
        <w:rPr>
          <w:rFonts w:cs="Traditional Arabic"/>
          <w:szCs w:val="30"/>
          <w:rtl/>
          <w:lang w:eastAsia="zh-TW"/>
        </w:rPr>
        <w:tab/>
      </w:r>
      <w:r w:rsidRPr="00FA6E8B">
        <w:rPr>
          <w:rFonts w:cs="Traditional Arabic"/>
          <w:i/>
          <w:iCs/>
          <w:szCs w:val="30"/>
          <w:rtl/>
          <w:lang w:eastAsia="zh-TW"/>
        </w:rPr>
        <w:t>توصي</w:t>
      </w:r>
      <w:r w:rsidRPr="00EF0115">
        <w:rPr>
          <w:rFonts w:cs="Traditional Arabic"/>
          <w:szCs w:val="30"/>
          <w:rtl/>
          <w:lang w:eastAsia="zh-TW"/>
        </w:rPr>
        <w:t>، وفقاً للفقرة 6 من المادة 5 من الاتفاقية، بأن يُدرج مؤتمر الأطراف الأسيتوكلور في المرفق الثالث للاتفاقية بوصفه مبيد آفات؛</w:t>
      </w:r>
    </w:p>
    <w:p w:rsidR="00412193" w:rsidRPr="00EF0115" w:rsidRDefault="00412193" w:rsidP="00412193">
      <w:pPr>
        <w:pStyle w:val="Normal-pool"/>
        <w:tabs>
          <w:tab w:val="clear" w:pos="1247"/>
          <w:tab w:val="clear" w:pos="1814"/>
          <w:tab w:val="clear" w:pos="2381"/>
          <w:tab w:val="clear" w:pos="2948"/>
          <w:tab w:val="clear" w:pos="3515"/>
          <w:tab w:val="left" w:pos="2520"/>
        </w:tabs>
        <w:bidi/>
        <w:spacing w:after="120" w:line="400" w:lineRule="exact"/>
        <w:ind w:left="1134" w:firstLine="707"/>
        <w:jc w:val="both"/>
        <w:textDirection w:val="tbRlV"/>
        <w:rPr>
          <w:rFonts w:cs="Traditional Arabic"/>
          <w:szCs w:val="30"/>
          <w:rtl/>
          <w:lang w:eastAsia="zh-TW"/>
        </w:rPr>
      </w:pPr>
      <w:r w:rsidRPr="00EF0115">
        <w:rPr>
          <w:rFonts w:cs="Traditional Arabic"/>
          <w:szCs w:val="30"/>
          <w:rtl/>
          <w:lang w:eastAsia="zh-TW"/>
        </w:rPr>
        <w:t>٤-</w:t>
      </w:r>
      <w:r>
        <w:rPr>
          <w:rFonts w:cs="Traditional Arabic"/>
          <w:szCs w:val="30"/>
          <w:rtl/>
          <w:lang w:eastAsia="zh-TW"/>
        </w:rPr>
        <w:tab/>
      </w:r>
      <w:r w:rsidRPr="00FA6E8B">
        <w:rPr>
          <w:rFonts w:cs="Traditional Arabic"/>
          <w:i/>
          <w:iCs/>
          <w:szCs w:val="30"/>
          <w:rtl/>
          <w:lang w:eastAsia="zh-TW"/>
        </w:rPr>
        <w:t>تقرر</w:t>
      </w:r>
      <w:r w:rsidRPr="00EF0115">
        <w:rPr>
          <w:rFonts w:cs="Traditional Arabic" w:hint="cs"/>
          <w:szCs w:val="30"/>
          <w:rtl/>
          <w:lang w:eastAsia="zh-TW"/>
        </w:rPr>
        <w:t>،</w:t>
      </w:r>
      <w:r w:rsidRPr="00EF0115">
        <w:rPr>
          <w:rFonts w:cs="Traditional Arabic"/>
          <w:szCs w:val="30"/>
          <w:rtl/>
          <w:lang w:eastAsia="zh-TW"/>
        </w:rPr>
        <w:t xml:space="preserve"> وفقاً للفقرة 1 من المادة 7 من الاتفاقية إعداد مشروع وثيقة توجيه قرارات للأسيتوكلور؛</w:t>
      </w:r>
    </w:p>
    <w:p w:rsidR="00412193" w:rsidRPr="00EF0115" w:rsidRDefault="00412193" w:rsidP="00412193">
      <w:pPr>
        <w:pStyle w:val="Normal-pool"/>
        <w:tabs>
          <w:tab w:val="clear" w:pos="1247"/>
          <w:tab w:val="clear" w:pos="1814"/>
          <w:tab w:val="clear" w:pos="2381"/>
          <w:tab w:val="clear" w:pos="2948"/>
          <w:tab w:val="clear" w:pos="3515"/>
          <w:tab w:val="left" w:pos="2520"/>
        </w:tabs>
        <w:bidi/>
        <w:spacing w:after="120" w:line="400" w:lineRule="exact"/>
        <w:ind w:left="1134" w:firstLine="707"/>
        <w:jc w:val="both"/>
        <w:textDirection w:val="tbRlV"/>
        <w:rPr>
          <w:rFonts w:cs="Traditional Arabic"/>
          <w:szCs w:val="30"/>
          <w:rtl/>
          <w:lang w:eastAsia="zh-TW"/>
        </w:rPr>
      </w:pPr>
      <w:r w:rsidRPr="00EF0115">
        <w:rPr>
          <w:rFonts w:cs="Traditional Arabic"/>
          <w:szCs w:val="30"/>
          <w:rtl/>
          <w:lang w:eastAsia="zh-TW"/>
        </w:rPr>
        <w:t>٥-</w:t>
      </w:r>
      <w:bookmarkStart w:id="0" w:name="_Hlk504987236"/>
      <w:r>
        <w:rPr>
          <w:rFonts w:cs="Traditional Arabic"/>
          <w:szCs w:val="30"/>
          <w:rtl/>
          <w:lang w:eastAsia="zh-TW"/>
        </w:rPr>
        <w:tab/>
      </w:r>
      <w:r w:rsidRPr="00FA6E8B">
        <w:rPr>
          <w:rFonts w:cs="Traditional Arabic"/>
          <w:i/>
          <w:iCs/>
          <w:szCs w:val="30"/>
          <w:rtl/>
          <w:lang w:eastAsia="zh-TW"/>
        </w:rPr>
        <w:t>تقرر أيضاً</w:t>
      </w:r>
      <w:r w:rsidRPr="00EF0115">
        <w:rPr>
          <w:rFonts w:cs="Traditional Arabic"/>
          <w:szCs w:val="30"/>
          <w:rtl/>
          <w:lang w:eastAsia="zh-TW"/>
        </w:rPr>
        <w:t>، وفقاً لعملية صياغة وثائق توجيه القرارات الواردة في المقرر ا</w:t>
      </w:r>
      <w:r w:rsidRPr="00EF0115">
        <w:rPr>
          <w:rFonts w:cs="Traditional Arabic" w:hint="cs"/>
          <w:szCs w:val="30"/>
          <w:rtl/>
          <w:lang w:eastAsia="zh-TW"/>
        </w:rPr>
        <w:t xml:space="preserve"> </w:t>
      </w:r>
      <w:r w:rsidRPr="00EF0115">
        <w:rPr>
          <w:rFonts w:cs="Traditional Arabic"/>
          <w:szCs w:val="30"/>
          <w:rtl/>
          <w:lang w:eastAsia="zh-TW"/>
        </w:rPr>
        <w:t xml:space="preserve">ر- 2/2 المعدل بموجب المقرر ا ر-6/3، أن </w:t>
      </w:r>
      <w:r w:rsidRPr="00EF0115">
        <w:rPr>
          <w:rFonts w:cs="Traditional Arabic" w:hint="cs"/>
          <w:szCs w:val="30"/>
          <w:rtl/>
          <w:lang w:eastAsia="zh-TW"/>
        </w:rPr>
        <w:t>يتم</w:t>
      </w:r>
      <w:r w:rsidRPr="00EF0115">
        <w:rPr>
          <w:rFonts w:cs="Traditional Arabic"/>
          <w:szCs w:val="30"/>
          <w:rtl/>
          <w:lang w:eastAsia="zh-TW"/>
        </w:rPr>
        <w:t xml:space="preserve"> تشكيل فريق الصياغة بين الدورات المكلف بإعداد وثيقة توجيه القرارات بشأن الأسيتوكلور </w:t>
      </w:r>
      <w:r w:rsidRPr="00EF0115">
        <w:rPr>
          <w:rFonts w:cs="Traditional Arabic" w:hint="cs"/>
          <w:szCs w:val="30"/>
          <w:rtl/>
          <w:lang w:eastAsia="zh-TW"/>
        </w:rPr>
        <w:t>على النحو الوارد في المرفق الثاني</w:t>
      </w:r>
      <w:r w:rsidRPr="00EF0115">
        <w:rPr>
          <w:rFonts w:cs="Traditional Arabic"/>
          <w:szCs w:val="30"/>
          <w:rtl/>
          <w:lang w:eastAsia="zh-TW"/>
        </w:rPr>
        <w:t xml:space="preserve"> لتقرير اللجنة عن أعمال اجتماعها الثالث عشر</w:t>
      </w:r>
      <w:r w:rsidRPr="00EF0115">
        <w:rPr>
          <w:rFonts w:cs="Traditional Arabic" w:hint="cs"/>
          <w:szCs w:val="30"/>
          <w:rtl/>
          <w:lang w:eastAsia="zh-TW"/>
        </w:rPr>
        <w:t xml:space="preserve">، </w:t>
      </w:r>
      <w:r w:rsidRPr="00EF0115">
        <w:rPr>
          <w:rFonts w:cs="Traditional Arabic"/>
          <w:szCs w:val="30"/>
          <w:rtl/>
          <w:lang w:eastAsia="zh-TW"/>
        </w:rPr>
        <w:t xml:space="preserve">وخطة عمل الفريق على النحو الوارد في </w:t>
      </w:r>
      <w:r w:rsidRPr="00EF0115">
        <w:rPr>
          <w:rFonts w:cs="Traditional Arabic" w:hint="cs"/>
          <w:szCs w:val="30"/>
          <w:rtl/>
          <w:lang w:eastAsia="zh-TW"/>
        </w:rPr>
        <w:t xml:space="preserve">مرفقه </w:t>
      </w:r>
      <w:r w:rsidRPr="00EF0115">
        <w:rPr>
          <w:rFonts w:cs="Traditional Arabic"/>
          <w:szCs w:val="30"/>
          <w:rtl/>
          <w:lang w:eastAsia="zh-TW"/>
        </w:rPr>
        <w:t>الثالث.</w:t>
      </w:r>
      <w:bookmarkEnd w:id="0"/>
    </w:p>
    <w:p w:rsidR="00412193" w:rsidRPr="00FA6E8B"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firstLine="0"/>
        <w:jc w:val="both"/>
        <w:textDirection w:val="tbRlV"/>
        <w:rPr>
          <w:rFonts w:cs="Traditional Arabic"/>
          <w:bCs/>
          <w:sz w:val="32"/>
          <w:szCs w:val="32"/>
          <w:rtl/>
          <w:lang w:eastAsia="zh-TW"/>
        </w:rPr>
      </w:pPr>
      <w:r w:rsidRPr="00FA6E8B">
        <w:rPr>
          <w:rFonts w:cs="Traditional Arabic"/>
          <w:bCs/>
          <w:sz w:val="32"/>
          <w:szCs w:val="32"/>
          <w:rtl/>
          <w:lang w:eastAsia="zh-TW"/>
        </w:rPr>
        <w:t xml:space="preserve">مرفق المقرر </w:t>
      </w:r>
      <w:r w:rsidRPr="005B4476">
        <w:rPr>
          <w:rFonts w:cs="Traditional Arabic"/>
          <w:bCs/>
          <w:sz w:val="32"/>
          <w:szCs w:val="32"/>
          <w:rtl/>
          <w:lang w:eastAsia="zh-TW"/>
        </w:rPr>
        <w:t>ل</w:t>
      </w:r>
      <w:r>
        <w:rPr>
          <w:rFonts w:cs="Traditional Arabic" w:hint="cs"/>
          <w:bCs/>
          <w:sz w:val="32"/>
          <w:szCs w:val="32"/>
          <w:rtl/>
          <w:lang w:eastAsia="zh-TW"/>
        </w:rPr>
        <w:t>.</w:t>
      </w:r>
      <w:r w:rsidRPr="005B4476">
        <w:rPr>
          <w:rFonts w:cs="Traditional Arabic"/>
          <w:bCs/>
          <w:sz w:val="32"/>
          <w:szCs w:val="32"/>
          <w:rtl/>
          <w:lang w:eastAsia="zh-TW"/>
        </w:rPr>
        <w:t>ا</w:t>
      </w:r>
      <w:r>
        <w:rPr>
          <w:rFonts w:cs="Traditional Arabic" w:hint="cs"/>
          <w:bCs/>
          <w:sz w:val="32"/>
          <w:szCs w:val="32"/>
          <w:rtl/>
          <w:lang w:eastAsia="zh-TW"/>
        </w:rPr>
        <w:t>.</w:t>
      </w:r>
      <w:r w:rsidRPr="005B4476">
        <w:rPr>
          <w:rFonts w:cs="Traditional Arabic"/>
          <w:bCs/>
          <w:sz w:val="32"/>
          <w:szCs w:val="32"/>
          <w:rtl/>
          <w:lang w:eastAsia="zh-TW"/>
        </w:rPr>
        <w:t>م</w:t>
      </w:r>
      <w:r w:rsidRPr="00FA6E8B">
        <w:rPr>
          <w:rFonts w:cs="Traditional Arabic"/>
          <w:bCs/>
          <w:sz w:val="32"/>
          <w:szCs w:val="32"/>
          <w:rtl/>
          <w:lang w:eastAsia="zh-TW"/>
        </w:rPr>
        <w:t xml:space="preserve"> - 13/1</w:t>
      </w:r>
    </w:p>
    <w:p w:rsidR="00412193" w:rsidRPr="00EF0115"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firstLine="0"/>
        <w:jc w:val="both"/>
        <w:textDirection w:val="tbRlV"/>
        <w:rPr>
          <w:rFonts w:cs="Traditional Arabic"/>
          <w:b w:val="0"/>
          <w:sz w:val="20"/>
          <w:szCs w:val="30"/>
          <w:rtl/>
          <w:lang w:eastAsia="zh-TW"/>
        </w:rPr>
      </w:pPr>
      <w:r w:rsidRPr="00FA6E8B">
        <w:rPr>
          <w:rFonts w:cs="Traditional Arabic"/>
          <w:bCs/>
          <w:sz w:val="32"/>
          <w:szCs w:val="32"/>
          <w:rtl/>
          <w:lang w:eastAsia="zh-TW"/>
        </w:rPr>
        <w:t>الأساس النظري الذي استندت إليه لجنة استعراض المواد الكيميائية في استنتاجها بأن الإخطارات بالإجراء التنظيمي النهائي التي قدمها الاتحاد الأوروبي</w:t>
      </w:r>
      <w:r w:rsidRPr="00FA6E8B">
        <w:rPr>
          <w:rFonts w:cs="Traditional Arabic" w:hint="cs"/>
          <w:bCs/>
          <w:sz w:val="32"/>
          <w:szCs w:val="32"/>
          <w:rtl/>
          <w:lang w:eastAsia="zh-TW"/>
        </w:rPr>
        <w:t>،</w:t>
      </w:r>
      <w:r w:rsidRPr="00FA6E8B">
        <w:rPr>
          <w:rFonts w:cs="Traditional Arabic"/>
          <w:bCs/>
          <w:sz w:val="32"/>
          <w:szCs w:val="32"/>
          <w:rtl/>
          <w:lang w:eastAsia="zh-TW"/>
        </w:rPr>
        <w:t xml:space="preserve"> وبوركينا فاسو وتشاد وتوغو والسنغال وغينيا- بيساو </w:t>
      </w:r>
      <w:r w:rsidRPr="00FA6E8B">
        <w:rPr>
          <w:rFonts w:cs="Traditional Arabic" w:hint="cs"/>
          <w:bCs/>
          <w:sz w:val="32"/>
          <w:szCs w:val="32"/>
          <w:rtl/>
          <w:lang w:eastAsia="zh-TW"/>
        </w:rPr>
        <w:t>و</w:t>
      </w:r>
      <w:r w:rsidRPr="00FA6E8B">
        <w:rPr>
          <w:rFonts w:cs="Traditional Arabic"/>
          <w:bCs/>
          <w:sz w:val="32"/>
          <w:szCs w:val="32"/>
          <w:rtl/>
          <w:lang w:eastAsia="zh-TW"/>
        </w:rPr>
        <w:t>غامبيا وكابو فيردي ومالي وموريتانيا والنيجر ب</w:t>
      </w:r>
      <w:r w:rsidRPr="00FA6E8B">
        <w:rPr>
          <w:rFonts w:cs="Traditional Arabic" w:hint="cs"/>
          <w:bCs/>
          <w:sz w:val="32"/>
          <w:szCs w:val="32"/>
          <w:rtl/>
          <w:lang w:eastAsia="zh-TW"/>
        </w:rPr>
        <w:t xml:space="preserve">شأن </w:t>
      </w:r>
      <w:r w:rsidRPr="00FA6E8B">
        <w:rPr>
          <w:rFonts w:cs="Traditional Arabic"/>
          <w:bCs/>
          <w:sz w:val="32"/>
          <w:szCs w:val="32"/>
          <w:rtl/>
          <w:lang w:eastAsia="zh-TW"/>
        </w:rPr>
        <w:t xml:space="preserve">الأسيتوكلور </w:t>
      </w:r>
      <w:r w:rsidRPr="00FA6E8B">
        <w:rPr>
          <w:rFonts w:cs="Traditional Arabic" w:hint="cs"/>
          <w:bCs/>
          <w:sz w:val="32"/>
          <w:szCs w:val="32"/>
          <w:rtl/>
          <w:lang w:eastAsia="zh-TW"/>
        </w:rPr>
        <w:t>ضمن</w:t>
      </w:r>
      <w:r w:rsidRPr="00FA6E8B">
        <w:rPr>
          <w:rFonts w:cs="Traditional Arabic"/>
          <w:bCs/>
          <w:sz w:val="32"/>
          <w:szCs w:val="32"/>
          <w:rtl/>
          <w:lang w:eastAsia="zh-TW"/>
        </w:rPr>
        <w:t xml:space="preserve"> فئة مبيدات الآفات تستوفي معايير المرفق الثاني لاتفاقية روتردام</w:t>
      </w:r>
    </w:p>
    <w:p w:rsidR="00412193" w:rsidRPr="00EF0115" w:rsidRDefault="00412193" w:rsidP="00412193">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في سياق استعراض الإخطارات بالإجراء</w:t>
      </w:r>
      <w:r w:rsidRPr="00EF0115">
        <w:rPr>
          <w:rFonts w:cs="Traditional Arabic" w:hint="cs"/>
          <w:szCs w:val="30"/>
          <w:rtl/>
          <w:lang w:eastAsia="zh-TW"/>
        </w:rPr>
        <w:t>ات</w:t>
      </w:r>
      <w:r w:rsidRPr="00EF0115">
        <w:rPr>
          <w:rFonts w:cs="Traditional Arabic"/>
          <w:szCs w:val="30"/>
          <w:rtl/>
          <w:lang w:eastAsia="zh-TW"/>
        </w:rPr>
        <w:t xml:space="preserve"> التنظيمي</w:t>
      </w:r>
      <w:r w:rsidRPr="00EF0115">
        <w:rPr>
          <w:rFonts w:cs="Traditional Arabic" w:hint="cs"/>
          <w:szCs w:val="30"/>
          <w:rtl/>
          <w:lang w:eastAsia="zh-TW"/>
        </w:rPr>
        <w:t>ة</w:t>
      </w:r>
      <w:r w:rsidRPr="00EF0115">
        <w:rPr>
          <w:rFonts w:cs="Traditional Arabic"/>
          <w:szCs w:val="30"/>
          <w:rtl/>
          <w:lang w:eastAsia="zh-TW"/>
        </w:rPr>
        <w:t xml:space="preserve"> النهائي</w:t>
      </w:r>
      <w:r w:rsidRPr="00EF0115">
        <w:rPr>
          <w:rFonts w:cs="Traditional Arabic" w:hint="cs"/>
          <w:szCs w:val="30"/>
          <w:rtl/>
          <w:lang w:eastAsia="zh-TW"/>
        </w:rPr>
        <w:t>ة</w:t>
      </w:r>
      <w:r w:rsidRPr="00EF0115">
        <w:rPr>
          <w:rFonts w:cs="Traditional Arabic"/>
          <w:szCs w:val="30"/>
          <w:rtl/>
          <w:lang w:eastAsia="zh-TW"/>
        </w:rPr>
        <w:t xml:space="preserve"> </w:t>
      </w:r>
      <w:r w:rsidRPr="00EF0115">
        <w:rPr>
          <w:rFonts w:cs="Traditional Arabic" w:hint="cs"/>
          <w:szCs w:val="30"/>
          <w:rtl/>
          <w:lang w:eastAsia="zh-TW"/>
        </w:rPr>
        <w:t xml:space="preserve">التي قدمها </w:t>
      </w:r>
      <w:r w:rsidRPr="00EF0115">
        <w:rPr>
          <w:rFonts w:cs="Traditional Arabic"/>
          <w:szCs w:val="30"/>
          <w:rtl/>
          <w:lang w:eastAsia="zh-TW"/>
        </w:rPr>
        <w:t>الاتحاد الأوروبي</w:t>
      </w:r>
      <w:r w:rsidRPr="00EF0115">
        <w:rPr>
          <w:rFonts w:cs="Traditional Arabic" w:hint="cs"/>
          <w:szCs w:val="30"/>
          <w:rtl/>
          <w:lang w:eastAsia="zh-TW"/>
        </w:rPr>
        <w:t>،</w:t>
      </w:r>
      <w:r w:rsidRPr="00EF0115">
        <w:rPr>
          <w:rFonts w:cs="Traditional Arabic"/>
          <w:szCs w:val="30"/>
          <w:rtl/>
          <w:lang w:eastAsia="zh-TW"/>
        </w:rPr>
        <w:t xml:space="preserve"> وبوركينا فاسو وتشاد وتوغو والسنغال وغينيا - بيساو وغامبيا وكابو فيردي ومالي وموريتانيا والنيجر لحظر استخدام الأسيتوكلور كمبيد آفات، المشفوعة بوثائق داعمة </w:t>
      </w:r>
      <w:r w:rsidRPr="00EF0115">
        <w:rPr>
          <w:rFonts w:cs="Traditional Arabic" w:hint="cs"/>
          <w:szCs w:val="30"/>
          <w:rtl/>
          <w:lang w:eastAsia="zh-TW"/>
        </w:rPr>
        <w:t xml:space="preserve">قدمتها </w:t>
      </w:r>
      <w:r w:rsidRPr="00EF0115">
        <w:rPr>
          <w:rFonts w:cs="Traditional Arabic"/>
          <w:szCs w:val="30"/>
          <w:rtl/>
          <w:lang w:eastAsia="zh-TW"/>
        </w:rPr>
        <w:t>هذه الأطراف، استطاعت اللجنة أن تتأكد من أن الإجراء التنظيمي النهائي قد اتخذ لحماية صحة ال</w:t>
      </w:r>
      <w:r w:rsidRPr="00EF0115">
        <w:rPr>
          <w:rFonts w:cs="Traditional Arabic" w:hint="cs"/>
          <w:szCs w:val="30"/>
          <w:rtl/>
          <w:lang w:eastAsia="zh-TW"/>
        </w:rPr>
        <w:t>بش</w:t>
      </w:r>
      <w:r>
        <w:rPr>
          <w:rFonts w:cs="Traditional Arabic" w:hint="cs"/>
          <w:szCs w:val="30"/>
          <w:rtl/>
          <w:lang w:eastAsia="zh-TW"/>
        </w:rPr>
        <w:t>ر</w:t>
      </w:r>
      <w:r w:rsidRPr="00EF0115">
        <w:rPr>
          <w:rFonts w:cs="Traditional Arabic"/>
          <w:szCs w:val="30"/>
          <w:rtl/>
          <w:lang w:eastAsia="zh-TW"/>
        </w:rPr>
        <w:t xml:space="preserve"> والبيئة. ووُجد أن الإخطارات التي قدّمتها هذه الأطراف تستوفي المعلومات ال</w:t>
      </w:r>
      <w:r w:rsidRPr="00EF0115">
        <w:rPr>
          <w:rFonts w:cs="Traditional Arabic" w:hint="cs"/>
          <w:szCs w:val="30"/>
          <w:rtl/>
          <w:lang w:eastAsia="zh-TW"/>
        </w:rPr>
        <w:t xml:space="preserve">مطلوبة بموجب </w:t>
      </w:r>
      <w:r w:rsidRPr="00EF0115">
        <w:rPr>
          <w:rFonts w:cs="Traditional Arabic"/>
          <w:szCs w:val="30"/>
          <w:rtl/>
          <w:lang w:eastAsia="zh-TW"/>
        </w:rPr>
        <w:t xml:space="preserve">المرفق الأول </w:t>
      </w:r>
      <w:r w:rsidRPr="00EF0115">
        <w:rPr>
          <w:rFonts w:cs="Traditional Arabic" w:hint="cs"/>
          <w:szCs w:val="30"/>
          <w:rtl/>
          <w:lang w:eastAsia="zh-TW"/>
        </w:rPr>
        <w:t>ل</w:t>
      </w:r>
      <w:r w:rsidRPr="00EF0115">
        <w:rPr>
          <w:rFonts w:cs="Traditional Arabic"/>
          <w:szCs w:val="30"/>
          <w:rtl/>
          <w:lang w:eastAsia="zh-TW"/>
        </w:rPr>
        <w:t>اتفاقية روتردام.</w:t>
      </w:r>
    </w:p>
    <w:p w:rsidR="00412193" w:rsidRPr="00EF0115" w:rsidRDefault="00412193" w:rsidP="00412193">
      <w:pPr>
        <w:pStyle w:val="Normalnumber"/>
        <w:numPr>
          <w:ilvl w:val="0"/>
          <w:numId w:val="2"/>
        </w:numPr>
        <w:tabs>
          <w:tab w:val="clear" w:pos="624"/>
        </w:tabs>
        <w:bidi/>
        <w:spacing w:line="400" w:lineRule="exact"/>
        <w:ind w:left="1134" w:firstLine="0"/>
        <w:jc w:val="lowKashida"/>
        <w:textDirection w:val="tbRlV"/>
        <w:rPr>
          <w:rFonts w:cs="Traditional Arabic"/>
          <w:szCs w:val="30"/>
          <w:rtl/>
          <w:lang w:eastAsia="zh-TW"/>
        </w:rPr>
      </w:pPr>
      <w:r w:rsidRPr="00EF0115">
        <w:rPr>
          <w:rFonts w:cs="Traditional Arabic"/>
          <w:szCs w:val="30"/>
          <w:rtl/>
          <w:lang w:eastAsia="zh-TW"/>
        </w:rPr>
        <w:lastRenderedPageBreak/>
        <w:t>وأتيح</w:t>
      </w:r>
      <w:r w:rsidRPr="00EF0115">
        <w:rPr>
          <w:rFonts w:cs="Traditional Arabic" w:hint="cs"/>
          <w:szCs w:val="30"/>
          <w:rtl/>
          <w:lang w:eastAsia="zh-TW"/>
        </w:rPr>
        <w:t>ت</w:t>
      </w:r>
      <w:r w:rsidRPr="00EF0115">
        <w:rPr>
          <w:rFonts w:cs="Traditional Arabic"/>
          <w:szCs w:val="30"/>
          <w:rtl/>
          <w:lang w:eastAsia="zh-TW"/>
        </w:rPr>
        <w:t xml:space="preserve"> للجنة في الوثائق </w:t>
      </w:r>
      <w:r w:rsidRPr="00EF0115">
        <w:rPr>
          <w:rFonts w:cs="Traditional Arabic"/>
          <w:szCs w:val="30"/>
        </w:rPr>
        <w:t>UNEP/FAO/RC/CRC.13/2, UNEP/FAO/RC/CRC.13/3</w:t>
      </w:r>
      <w:r w:rsidRPr="00EF0115">
        <w:rPr>
          <w:rFonts w:cs="Traditional Arabic" w:hint="cs"/>
          <w:szCs w:val="30"/>
          <w:rtl/>
          <w:lang w:eastAsia="zh-TW"/>
        </w:rPr>
        <w:t>، و</w:t>
      </w:r>
      <w:r w:rsidRPr="00EF0115">
        <w:rPr>
          <w:rFonts w:cs="Traditional Arabic"/>
          <w:szCs w:val="30"/>
        </w:rPr>
        <w:t>UNEP/FAO/RC/CRC.13/INF/7</w:t>
      </w:r>
      <w:r w:rsidRPr="00EF0115">
        <w:rPr>
          <w:rFonts w:cs="Traditional Arabic" w:hint="cs"/>
          <w:szCs w:val="30"/>
          <w:rtl/>
          <w:lang w:eastAsia="zh-TW"/>
        </w:rPr>
        <w:t>، و</w:t>
      </w:r>
      <w:r w:rsidRPr="00EF0115">
        <w:rPr>
          <w:rFonts w:cs="Traditional Arabic"/>
          <w:szCs w:val="30"/>
        </w:rPr>
        <w:t>UNEP/FAO/RC/CRC.13/INF/8</w:t>
      </w:r>
      <w:r w:rsidRPr="00EF0115">
        <w:rPr>
          <w:rFonts w:cs="Traditional Arabic"/>
          <w:szCs w:val="30"/>
          <w:rtl/>
          <w:lang w:eastAsia="zh-TW"/>
        </w:rPr>
        <w:t xml:space="preserve"> الإخطارات والوثائق الداعمة </w:t>
      </w:r>
      <w:r w:rsidRPr="00EF0115">
        <w:rPr>
          <w:rFonts w:cs="Traditional Arabic" w:hint="cs"/>
          <w:szCs w:val="30"/>
          <w:rtl/>
          <w:lang w:eastAsia="zh-TW"/>
        </w:rPr>
        <w:t xml:space="preserve">لها </w:t>
      </w:r>
      <w:r w:rsidRPr="00EF0115">
        <w:rPr>
          <w:rFonts w:cs="Traditional Arabic"/>
          <w:szCs w:val="30"/>
          <w:rtl/>
          <w:lang w:eastAsia="zh-TW"/>
        </w:rPr>
        <w:t>للنظر فيها. وقدم الاتحاد الأوروبي و</w:t>
      </w:r>
      <w:r w:rsidRPr="00EF0115">
        <w:rPr>
          <w:rFonts w:cs="Traditional Arabic" w:hint="cs"/>
          <w:szCs w:val="30"/>
          <w:rtl/>
          <w:lang w:eastAsia="zh-TW"/>
        </w:rPr>
        <w:t>المنظمة الدولية لحياة المحاصيل</w:t>
      </w:r>
      <w:r w:rsidRPr="00EF0115">
        <w:rPr>
          <w:rFonts w:cs="Traditional Arabic"/>
          <w:szCs w:val="30"/>
          <w:rtl/>
          <w:lang w:eastAsia="zh-TW"/>
        </w:rPr>
        <w:t xml:space="preserve"> معلومات عن استمرار </w:t>
      </w:r>
      <w:r w:rsidRPr="00EF0115">
        <w:rPr>
          <w:rFonts w:cs="Traditional Arabic" w:hint="cs"/>
          <w:szCs w:val="30"/>
          <w:rtl/>
          <w:lang w:eastAsia="zh-TW"/>
        </w:rPr>
        <w:t xml:space="preserve">التجارة الدولية في </w:t>
      </w:r>
      <w:r w:rsidRPr="00EF0115">
        <w:rPr>
          <w:rFonts w:cs="Traditional Arabic"/>
          <w:szCs w:val="30"/>
          <w:rtl/>
          <w:lang w:eastAsia="zh-TW"/>
        </w:rPr>
        <w:t xml:space="preserve">هذه المواد، وترد </w:t>
      </w:r>
      <w:r w:rsidRPr="00EF0115">
        <w:rPr>
          <w:rFonts w:cs="Traditional Arabic" w:hint="cs"/>
          <w:szCs w:val="30"/>
          <w:rtl/>
          <w:lang w:eastAsia="zh-TW"/>
        </w:rPr>
        <w:t>تلك</w:t>
      </w:r>
      <w:r w:rsidRPr="00EF0115">
        <w:rPr>
          <w:rFonts w:cs="Traditional Arabic"/>
          <w:szCs w:val="30"/>
          <w:rtl/>
          <w:lang w:eastAsia="zh-TW"/>
        </w:rPr>
        <w:t xml:space="preserve"> المعلومات في الوثيقة </w:t>
      </w:r>
      <w:r w:rsidRPr="00EF0115">
        <w:rPr>
          <w:rFonts w:cs="Traditional Arabic"/>
          <w:szCs w:val="30"/>
          <w:lang w:eastAsia="zh-TW"/>
        </w:rPr>
        <w:t>UNEP/FAO/RC/CRC.13/INF/5</w:t>
      </w:r>
      <w:r w:rsidRPr="00EF0115">
        <w:rPr>
          <w:rFonts w:cs="Traditional Arabic"/>
          <w:szCs w:val="30"/>
          <w:rtl/>
          <w:lang w:eastAsia="zh-TW"/>
        </w:rPr>
        <w:t>.</w:t>
      </w:r>
    </w:p>
    <w:p w:rsidR="00412193" w:rsidRPr="005B4476"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2"/>
          <w:szCs w:val="32"/>
          <w:rtl/>
          <w:lang w:eastAsia="zh-TW"/>
        </w:rPr>
      </w:pPr>
      <w:r w:rsidRPr="005B4476">
        <w:rPr>
          <w:rFonts w:cs="Traditional Arabic"/>
          <w:bCs/>
          <w:sz w:val="32"/>
          <w:szCs w:val="32"/>
          <w:rtl/>
          <w:lang w:eastAsia="zh-TW"/>
        </w:rPr>
        <w:t>أولا</w:t>
      </w:r>
      <w:r>
        <w:rPr>
          <w:rFonts w:cs="Traditional Arabic" w:hint="cs"/>
          <w:bCs/>
          <w:sz w:val="32"/>
          <w:szCs w:val="32"/>
          <w:rtl/>
          <w:lang w:eastAsia="zh-TW"/>
        </w:rPr>
        <w:t>ً</w:t>
      </w:r>
      <w:r w:rsidRPr="005B4476">
        <w:rPr>
          <w:rFonts w:cs="Traditional Arabic"/>
          <w:bCs/>
          <w:sz w:val="32"/>
          <w:szCs w:val="32"/>
          <w:rtl/>
          <w:lang w:eastAsia="zh-TW"/>
        </w:rPr>
        <w:t>-</w:t>
      </w:r>
      <w:r>
        <w:rPr>
          <w:rFonts w:cs="Traditional Arabic"/>
          <w:bCs/>
          <w:sz w:val="32"/>
          <w:szCs w:val="32"/>
          <w:rtl/>
          <w:lang w:eastAsia="zh-TW"/>
        </w:rPr>
        <w:tab/>
      </w:r>
      <w:r w:rsidRPr="005B4476">
        <w:rPr>
          <w:rFonts w:cs="Traditional Arabic"/>
          <w:bCs/>
          <w:sz w:val="32"/>
          <w:szCs w:val="32"/>
          <w:rtl/>
          <w:lang w:eastAsia="zh-TW"/>
        </w:rPr>
        <w:t>بوركينا فاسو وكابو فيردي ومالي وموريتانيا والنيجر والسنغال وتوغو وتشاد وغامبيا وغينيا -</w:t>
      </w:r>
      <w:r w:rsidRPr="005B4476">
        <w:rPr>
          <w:rFonts w:cs="Traditional Arabic" w:hint="cs"/>
          <w:bCs/>
          <w:sz w:val="32"/>
          <w:szCs w:val="32"/>
          <w:rtl/>
          <w:lang w:eastAsia="zh-TW"/>
        </w:rPr>
        <w:t xml:space="preserve"> </w:t>
      </w:r>
      <w:r w:rsidRPr="005B4476">
        <w:rPr>
          <w:rFonts w:cs="Traditional Arabic"/>
          <w:bCs/>
          <w:sz w:val="32"/>
          <w:szCs w:val="32"/>
          <w:rtl/>
          <w:lang w:eastAsia="zh-TW"/>
        </w:rPr>
        <w:t>بيساو</w:t>
      </w:r>
    </w:p>
    <w:p w:rsidR="00412193" w:rsidRPr="00FA6E8B"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r w:rsidRPr="00FA6E8B">
        <w:rPr>
          <w:rFonts w:cs="Traditional Arabic"/>
          <w:bCs/>
          <w:sz w:val="30"/>
          <w:szCs w:val="30"/>
          <w:rtl/>
          <w:lang w:eastAsia="zh-TW"/>
        </w:rPr>
        <w:t>(أ)</w:t>
      </w:r>
      <w:r w:rsidRPr="00FA6E8B">
        <w:rPr>
          <w:rFonts w:cs="Traditional Arabic"/>
          <w:bCs/>
          <w:sz w:val="30"/>
          <w:szCs w:val="30"/>
          <w:rtl/>
          <w:lang w:eastAsia="zh-TW"/>
        </w:rPr>
        <w:tab/>
        <w:t>نطاق الإجراء التنظيمي الذي تم الإخطار بشأنه</w:t>
      </w:r>
    </w:p>
    <w:p w:rsidR="00412193" w:rsidRPr="00EF0115" w:rsidRDefault="00412193" w:rsidP="00412193">
      <w:pPr>
        <w:pStyle w:val="Normalnumber"/>
        <w:numPr>
          <w:ilvl w:val="0"/>
          <w:numId w:val="2"/>
        </w:numPr>
        <w:tabs>
          <w:tab w:val="clear" w:pos="624"/>
          <w:tab w:val="left" w:pos="1841"/>
        </w:tabs>
        <w:bidi/>
        <w:spacing w:line="360" w:lineRule="exact"/>
        <w:ind w:left="1134" w:firstLine="0"/>
        <w:jc w:val="both"/>
        <w:textDirection w:val="tbRlV"/>
        <w:rPr>
          <w:rFonts w:cs="Traditional Arabic"/>
          <w:szCs w:val="30"/>
          <w:rtl/>
          <w:lang w:eastAsia="zh-TW"/>
        </w:rPr>
      </w:pPr>
      <w:r w:rsidRPr="00EF0115">
        <w:rPr>
          <w:rFonts w:cs="Traditional Arabic"/>
          <w:szCs w:val="30"/>
          <w:rtl/>
          <w:lang w:eastAsia="zh-TW"/>
        </w:rPr>
        <w:t>يتعلق الإجراء التنظيمي الذي أ</w:t>
      </w:r>
      <w:r w:rsidRPr="00EF0115">
        <w:rPr>
          <w:rFonts w:cs="Traditional Arabic" w:hint="cs"/>
          <w:szCs w:val="30"/>
          <w:rtl/>
          <w:lang w:eastAsia="zh-TW"/>
        </w:rPr>
        <w:t>َ</w:t>
      </w:r>
      <w:r w:rsidRPr="00EF0115">
        <w:rPr>
          <w:rFonts w:cs="Traditional Arabic"/>
          <w:szCs w:val="30"/>
          <w:rtl/>
          <w:lang w:eastAsia="zh-TW"/>
        </w:rPr>
        <w:t>خط</w:t>
      </w:r>
      <w:r w:rsidRPr="00EF0115">
        <w:rPr>
          <w:rFonts w:cs="Traditional Arabic" w:hint="cs"/>
          <w:szCs w:val="30"/>
          <w:rtl/>
          <w:lang w:eastAsia="zh-TW"/>
        </w:rPr>
        <w:t>َ</w:t>
      </w:r>
      <w:r w:rsidRPr="00EF0115">
        <w:rPr>
          <w:rFonts w:cs="Traditional Arabic"/>
          <w:szCs w:val="30"/>
          <w:rtl/>
          <w:lang w:eastAsia="zh-TW"/>
        </w:rPr>
        <w:t>رت به البلدان الأعضاء في اللجنة الدائمة المشتركة بين الدول المعنية بمكافحة الجفاف في منطقة الساحل، وهي بوركينا فاسو وكابو فيردي ومالي وموريتانيا والنيجر والسنغال وتوغو وتشاد وغامبيا وغينيا - بيساو (المشار إليها لاحقاً باسم بلدان لجنة مكافحة الجفاف في منطقة الساحل)، باستخدام الأسيتوكلور بوصفه مبيد آفات. ويحظر الإجراء التنظيمي النهائي، الذي دخل حيز النفاذ في ٢٠ آذار/مارس ٢٠١٧، استخدام جميع تركيبات مبيدات الآفات المحتوية على الأسيتوكلور بسبب المخاطر المحتملة على صحة ال</w:t>
      </w:r>
      <w:r w:rsidRPr="00EF0115">
        <w:rPr>
          <w:rFonts w:cs="Traditional Arabic" w:hint="cs"/>
          <w:szCs w:val="30"/>
          <w:rtl/>
          <w:lang w:eastAsia="zh-TW"/>
        </w:rPr>
        <w:t>بشر</w:t>
      </w:r>
      <w:r w:rsidRPr="00EF0115">
        <w:rPr>
          <w:rFonts w:cs="Traditional Arabic"/>
          <w:szCs w:val="30"/>
          <w:rtl/>
          <w:lang w:eastAsia="zh-TW"/>
        </w:rPr>
        <w:t xml:space="preserve"> والبيئة. ويحظر كذلك الاستيراد والتصنيع للاستخدام المحلي، والتوزيع والبيع </w:t>
      </w:r>
      <w:r w:rsidRPr="00493C2E">
        <w:rPr>
          <w:rFonts w:asciiTheme="majorBidi" w:hAnsiTheme="majorBidi" w:cstheme="majorBidi"/>
          <w:rtl/>
          <w:lang w:eastAsia="zh-TW"/>
        </w:rPr>
        <w:t>(</w:t>
      </w:r>
      <w:r w:rsidRPr="00493C2E">
        <w:rPr>
          <w:rFonts w:asciiTheme="majorBidi" w:hAnsiTheme="majorBidi" w:cstheme="majorBidi"/>
          <w:lang w:eastAsia="zh-TW"/>
        </w:rPr>
        <w:t>UNEP/FAO/RC/CRC.13/3</w:t>
      </w:r>
      <w:r w:rsidRPr="00EF0115">
        <w:rPr>
          <w:rFonts w:cs="Traditional Arabic"/>
          <w:szCs w:val="30"/>
          <w:rtl/>
          <w:lang w:eastAsia="zh-TW"/>
        </w:rPr>
        <w:t>، المرفق، الجزء باء، الفروع 2-1، و2-2-1، و2-2-3).</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ووجد أن الإخطار يستوفي متطلبات </w:t>
      </w:r>
      <w:r w:rsidRPr="00EF0115">
        <w:rPr>
          <w:rFonts w:cs="Traditional Arabic" w:hint="cs"/>
          <w:szCs w:val="30"/>
          <w:rtl/>
          <w:lang w:eastAsia="zh-TW"/>
        </w:rPr>
        <w:t>تقديم</w:t>
      </w:r>
      <w:r w:rsidRPr="00EF0115">
        <w:rPr>
          <w:rFonts w:cs="Traditional Arabic" w:hint="cs"/>
          <w:szCs w:val="30"/>
          <w:lang w:eastAsia="zh-TW"/>
        </w:rPr>
        <w:t xml:space="preserve"> </w:t>
      </w:r>
      <w:r w:rsidRPr="00EF0115">
        <w:rPr>
          <w:rFonts w:cs="Traditional Arabic"/>
          <w:szCs w:val="30"/>
          <w:rtl/>
          <w:lang w:eastAsia="zh-TW"/>
        </w:rPr>
        <w:t>المعلومات</w:t>
      </w:r>
      <w:r w:rsidRPr="00EF0115">
        <w:rPr>
          <w:rFonts w:cs="Traditional Arabic" w:hint="cs"/>
          <w:szCs w:val="30"/>
          <w:lang w:eastAsia="zh-TW"/>
        </w:rPr>
        <w:t xml:space="preserve"> </w:t>
      </w:r>
      <w:r w:rsidRPr="00EF0115">
        <w:rPr>
          <w:rFonts w:cs="Traditional Arabic" w:hint="cs"/>
          <w:szCs w:val="30"/>
          <w:rtl/>
          <w:lang w:eastAsia="zh-TW"/>
        </w:rPr>
        <w:t>بموجب</w:t>
      </w:r>
      <w:r w:rsidRPr="00EF0115">
        <w:rPr>
          <w:rFonts w:cs="Traditional Arabic" w:hint="cs"/>
          <w:szCs w:val="30"/>
          <w:lang w:eastAsia="zh-TW"/>
        </w:rPr>
        <w:t xml:space="preserve"> </w:t>
      </w:r>
      <w:r w:rsidRPr="00EF0115">
        <w:rPr>
          <w:rFonts w:cs="Traditional Arabic"/>
          <w:szCs w:val="30"/>
          <w:rtl/>
          <w:lang w:eastAsia="zh-TW"/>
        </w:rPr>
        <w:t>المرفق الأول.</w:t>
      </w:r>
    </w:p>
    <w:p w:rsidR="00412193" w:rsidRPr="0085112A"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r w:rsidRPr="0085112A">
        <w:rPr>
          <w:rFonts w:cs="Traditional Arabic"/>
          <w:bCs/>
          <w:sz w:val="30"/>
          <w:szCs w:val="30"/>
          <w:rtl/>
          <w:lang w:eastAsia="zh-TW"/>
        </w:rPr>
        <w:t>(ب)</w:t>
      </w:r>
      <w:r w:rsidRPr="0085112A">
        <w:rPr>
          <w:rFonts w:cs="Traditional Arabic"/>
          <w:bCs/>
          <w:sz w:val="30"/>
          <w:szCs w:val="30"/>
          <w:rtl/>
          <w:lang w:eastAsia="zh-TW"/>
        </w:rPr>
        <w:tab/>
        <w:t>المعيار الوارد في الفقرة (أ) من المرفق الثاني</w:t>
      </w:r>
    </w:p>
    <w:p w:rsidR="00412193" w:rsidRPr="0085112A" w:rsidRDefault="00412193" w:rsidP="00412193">
      <w:pPr>
        <w:pStyle w:val="Normalnumber"/>
        <w:numPr>
          <w:ilvl w:val="0"/>
          <w:numId w:val="0"/>
        </w:numPr>
        <w:tabs>
          <w:tab w:val="clear" w:pos="624"/>
          <w:tab w:val="left" w:pos="2408"/>
        </w:tabs>
        <w:bidi/>
        <w:spacing w:line="400" w:lineRule="exact"/>
        <w:ind w:left="1841"/>
        <w:jc w:val="both"/>
        <w:textDirection w:val="tbRlV"/>
        <w:rPr>
          <w:rFonts w:cs="Traditional Arabic"/>
          <w:i/>
          <w:iCs/>
          <w:szCs w:val="30"/>
          <w:rtl/>
          <w:lang w:eastAsia="zh-TW"/>
        </w:rPr>
      </w:pPr>
      <w:r w:rsidRPr="0085112A">
        <w:rPr>
          <w:rFonts w:cs="Traditional Arabic"/>
          <w:i/>
          <w:iCs/>
          <w:szCs w:val="30"/>
          <w:rtl/>
          <w:lang w:eastAsia="zh-TW"/>
        </w:rPr>
        <w:t>(أ)</w:t>
      </w:r>
      <w:r w:rsidRPr="0085112A">
        <w:rPr>
          <w:rFonts w:cs="Traditional Arabic"/>
          <w:i/>
          <w:iCs/>
          <w:szCs w:val="30"/>
          <w:rtl/>
          <w:lang w:eastAsia="zh-TW"/>
        </w:rPr>
        <w:tab/>
        <w:t>التأكّد من أن الإجراء التنظيمي النهائي قد اتخذ من أجل حماية صحة البشر أو البيئة</w:t>
      </w:r>
      <w:r>
        <w:rPr>
          <w:rFonts w:cs="Traditional Arabic" w:hint="cs"/>
          <w:i/>
          <w:iCs/>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lowKashida"/>
        <w:textDirection w:val="tbRlV"/>
        <w:rPr>
          <w:rFonts w:cs="Traditional Arabic"/>
          <w:szCs w:val="30"/>
          <w:rtl/>
          <w:lang w:eastAsia="zh-TW"/>
        </w:rPr>
      </w:pPr>
      <w:r w:rsidRPr="00EF0115">
        <w:rPr>
          <w:rFonts w:cs="Traditional Arabic"/>
          <w:szCs w:val="30"/>
          <w:rtl/>
          <w:lang w:eastAsia="zh-TW"/>
        </w:rPr>
        <w:t>تؤكّد اللجنة أن الإجراء التنظيمي قد اتخذ من أجل حماية صحة ال</w:t>
      </w:r>
      <w:r w:rsidRPr="00EF0115">
        <w:rPr>
          <w:rFonts w:cs="Traditional Arabic" w:hint="cs"/>
          <w:szCs w:val="30"/>
          <w:rtl/>
          <w:lang w:eastAsia="zh-TW"/>
        </w:rPr>
        <w:t>بشر</w:t>
      </w:r>
      <w:r w:rsidRPr="00EF0115">
        <w:rPr>
          <w:rFonts w:cs="Traditional Arabic"/>
          <w:szCs w:val="30"/>
          <w:rtl/>
          <w:lang w:eastAsia="zh-TW"/>
        </w:rPr>
        <w:t xml:space="preserve"> والبيئة </w:t>
      </w:r>
      <w:r w:rsidRPr="00493C2E">
        <w:rPr>
          <w:rFonts w:asciiTheme="majorBidi" w:hAnsiTheme="majorBidi" w:cstheme="majorBidi"/>
          <w:rtl/>
          <w:lang w:eastAsia="zh-TW"/>
        </w:rPr>
        <w:t>(</w:t>
      </w:r>
      <w:r w:rsidRPr="0085112A">
        <w:rPr>
          <w:rFonts w:cs="Traditional Arabic"/>
          <w:lang w:eastAsia="zh-TW"/>
        </w:rPr>
        <w:t>UNEP/FAO/RC/CRC.13/3</w:t>
      </w:r>
      <w:r w:rsidRPr="00EF0115">
        <w:rPr>
          <w:rFonts w:cs="Traditional Arabic"/>
          <w:szCs w:val="30"/>
          <w:rtl/>
          <w:lang w:eastAsia="zh-TW"/>
        </w:rPr>
        <w:t>، المرفق، الجزء باء، الفرعان 2-4-1 و2-4-2).</w:t>
      </w:r>
    </w:p>
    <w:p w:rsidR="00412193" w:rsidRPr="00EF0115" w:rsidRDefault="00412193" w:rsidP="00412193">
      <w:pPr>
        <w:pStyle w:val="Normalnumber"/>
        <w:numPr>
          <w:ilvl w:val="0"/>
          <w:numId w:val="2"/>
        </w:numPr>
        <w:tabs>
          <w:tab w:val="clear" w:pos="624"/>
          <w:tab w:val="left" w:pos="1841"/>
        </w:tabs>
        <w:bidi/>
        <w:spacing w:line="38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استخدم الأسيتوكلور في بلدان لجنة مكافحة الجفاف في منطقة الساحل بوصفه مبيد آفات. واستخدم في شكل مبيد أعشاب انتقائي على الذرة الصفراء </w:t>
      </w:r>
      <w:r w:rsidRPr="00493C2E">
        <w:rPr>
          <w:rFonts w:asciiTheme="majorBidi" w:hAnsiTheme="majorBidi" w:cstheme="majorBidi"/>
          <w:rtl/>
          <w:lang w:eastAsia="zh-TW"/>
        </w:rPr>
        <w:t>(</w:t>
      </w:r>
      <w:r w:rsidRPr="00493C2E">
        <w:rPr>
          <w:rFonts w:asciiTheme="majorBidi" w:hAnsiTheme="majorBidi" w:cstheme="majorBidi"/>
          <w:lang w:eastAsia="zh-TW"/>
        </w:rPr>
        <w:t>UNEP/FAO/RC/CRC.13/3</w:t>
      </w:r>
      <w:r w:rsidRPr="00EF0115">
        <w:rPr>
          <w:rFonts w:cs="Traditional Arabic"/>
          <w:szCs w:val="30"/>
          <w:rtl/>
          <w:lang w:eastAsia="zh-TW"/>
        </w:rPr>
        <w:t>، الفرع 2-3-1). وكان يُسمح في هذه البلدان باستخدام تركيبات عديدة لمبيدات الآفات تحتوي على الأسيتوكلور في الفترة بين عامي 2010 و2012. وفي عام ٢٠١٤ عقدت لجنة مبيدات الآفات في منطقة الساحل دورة عمل. و</w:t>
      </w:r>
      <w:r>
        <w:rPr>
          <w:rFonts w:cs="Traditional Arabic"/>
          <w:szCs w:val="30"/>
          <w:rtl/>
          <w:lang w:eastAsia="zh-TW"/>
        </w:rPr>
        <w:t>استناداً</w:t>
      </w:r>
      <w:r w:rsidRPr="00EF0115">
        <w:rPr>
          <w:rFonts w:cs="Traditional Arabic"/>
          <w:szCs w:val="30"/>
          <w:rtl/>
          <w:lang w:eastAsia="zh-TW"/>
        </w:rPr>
        <w:t xml:space="preserve"> إلى مقترح قُدم خلال </w:t>
      </w:r>
      <w:r w:rsidRPr="00EF0115">
        <w:rPr>
          <w:rFonts w:cs="Traditional Arabic" w:hint="cs"/>
          <w:szCs w:val="30"/>
          <w:rtl/>
          <w:lang w:eastAsia="zh-TW"/>
        </w:rPr>
        <w:t>تلك ال</w:t>
      </w:r>
      <w:r w:rsidRPr="00EF0115">
        <w:rPr>
          <w:rFonts w:cs="Traditional Arabic"/>
          <w:szCs w:val="30"/>
          <w:rtl/>
          <w:lang w:eastAsia="zh-TW"/>
        </w:rPr>
        <w:t xml:space="preserve">دورة، قرر الوزير المنسق حظر تركيبات مبيدات الآفات التي تحتوي </w:t>
      </w:r>
      <w:r w:rsidRPr="00EF0115">
        <w:rPr>
          <w:rFonts w:cs="Traditional Arabic" w:hint="cs"/>
          <w:szCs w:val="30"/>
          <w:rtl/>
          <w:lang w:eastAsia="zh-TW"/>
        </w:rPr>
        <w:t xml:space="preserve">على </w:t>
      </w:r>
      <w:r w:rsidRPr="00EF0115">
        <w:rPr>
          <w:rFonts w:cs="Traditional Arabic"/>
          <w:szCs w:val="30"/>
          <w:rtl/>
          <w:lang w:eastAsia="zh-TW"/>
        </w:rPr>
        <w:t>الأسيتوكلور اعتبارا</w:t>
      </w:r>
      <w:r>
        <w:rPr>
          <w:rFonts w:cs="Traditional Arabic" w:hint="cs"/>
          <w:szCs w:val="30"/>
          <w:rtl/>
          <w:lang w:eastAsia="zh-TW"/>
        </w:rPr>
        <w:t>ً</w:t>
      </w:r>
      <w:r w:rsidRPr="00EF0115">
        <w:rPr>
          <w:rFonts w:cs="Traditional Arabic"/>
          <w:szCs w:val="30"/>
          <w:rtl/>
          <w:lang w:eastAsia="zh-TW"/>
        </w:rPr>
        <w:t xml:space="preserve"> من ٢٠ آذار/مارس ٢٠١٧. وأوصت لجنة مبيدات الآفات في منطقة الساحل </w:t>
      </w:r>
      <w:r w:rsidRPr="00EF0115">
        <w:rPr>
          <w:rFonts w:cs="Traditional Arabic" w:hint="cs"/>
          <w:szCs w:val="30"/>
          <w:rtl/>
          <w:lang w:eastAsia="zh-TW"/>
        </w:rPr>
        <w:t>ب</w:t>
      </w:r>
      <w:r w:rsidRPr="00EF0115">
        <w:rPr>
          <w:rFonts w:cs="Traditional Arabic"/>
          <w:szCs w:val="30"/>
          <w:rtl/>
          <w:lang w:eastAsia="zh-TW"/>
        </w:rPr>
        <w:t xml:space="preserve">وقف إصدار </w:t>
      </w:r>
      <w:r w:rsidRPr="00EF0115">
        <w:rPr>
          <w:rFonts w:cs="Traditional Arabic" w:hint="cs"/>
          <w:szCs w:val="30"/>
          <w:rtl/>
          <w:lang w:eastAsia="zh-TW"/>
        </w:rPr>
        <w:t xml:space="preserve">تصاريح </w:t>
      </w:r>
      <w:r w:rsidRPr="00EF0115">
        <w:rPr>
          <w:rFonts w:cs="Traditional Arabic"/>
          <w:szCs w:val="30"/>
          <w:rtl/>
          <w:lang w:eastAsia="zh-TW"/>
        </w:rPr>
        <w:t>تركيبات مبيدات الآفات التي تحتوي على الأسيتوكلور بسبب ما يلي:</w:t>
      </w:r>
    </w:p>
    <w:p w:rsidR="00412193" w:rsidRPr="00EF0115" w:rsidRDefault="00412193" w:rsidP="00412193">
      <w:pPr>
        <w:numPr>
          <w:ilvl w:val="0"/>
          <w:numId w:val="3"/>
        </w:numPr>
        <w:snapToGrid w:val="0"/>
        <w:spacing w:after="80" w:line="340" w:lineRule="exact"/>
        <w:ind w:left="2410" w:hanging="567"/>
        <w:jc w:val="both"/>
        <w:textDirection w:val="tbRlV"/>
        <w:rPr>
          <w:rFonts w:ascii="Times New Roman" w:hAnsi="Times New Roman" w:cs="Traditional Arabic"/>
          <w:szCs w:val="30"/>
          <w:rtl/>
          <w:lang w:eastAsia="zh-TW"/>
        </w:rPr>
      </w:pPr>
      <w:r w:rsidRPr="00EF0115">
        <w:rPr>
          <w:rFonts w:ascii="Times New Roman" w:hAnsi="Times New Roman" w:cs="Traditional Arabic"/>
          <w:szCs w:val="30"/>
          <w:rtl/>
          <w:lang w:eastAsia="zh-TW"/>
        </w:rPr>
        <w:t xml:space="preserve">مخاطر تلوث الموارد المائية بالعديد من المستقلبات بما في ذلك المستقلب نوركلورو أسيتوكلور الثالثي </w:t>
      </w:r>
      <w:r w:rsidRPr="0085112A">
        <w:rPr>
          <w:rFonts w:asciiTheme="majorBidi" w:hAnsiTheme="majorBidi" w:cstheme="majorBidi"/>
          <w:szCs w:val="20"/>
          <w:rtl/>
          <w:lang w:eastAsia="zh-TW"/>
        </w:rPr>
        <w:t>(t-norchloro-acetochlor)</w:t>
      </w:r>
      <w:r w:rsidRPr="00EF0115">
        <w:rPr>
          <w:rFonts w:ascii="Times New Roman" w:hAnsi="Times New Roman" w:cs="Traditional Arabic"/>
          <w:szCs w:val="30"/>
          <w:rtl/>
          <w:lang w:eastAsia="zh-TW"/>
        </w:rPr>
        <w:t>.</w:t>
      </w:r>
    </w:p>
    <w:p w:rsidR="00412193" w:rsidRPr="0085112A" w:rsidRDefault="00412193" w:rsidP="00412193">
      <w:pPr>
        <w:numPr>
          <w:ilvl w:val="0"/>
          <w:numId w:val="3"/>
        </w:numPr>
        <w:snapToGrid w:val="0"/>
        <w:spacing w:after="120" w:line="380" w:lineRule="exact"/>
        <w:ind w:left="2408" w:hanging="567"/>
        <w:jc w:val="both"/>
        <w:textDirection w:val="tbRlV"/>
        <w:rPr>
          <w:rFonts w:ascii="Times New Roman" w:hAnsi="Times New Roman" w:cs="Traditional Arabic"/>
          <w:szCs w:val="30"/>
          <w:rtl/>
        </w:rPr>
      </w:pPr>
      <w:r w:rsidRPr="0085112A">
        <w:rPr>
          <w:rFonts w:ascii="Times New Roman" w:hAnsi="Times New Roman" w:cs="Traditional Arabic"/>
          <w:szCs w:val="30"/>
          <w:rtl/>
          <w:lang w:eastAsia="zh-TW"/>
        </w:rPr>
        <w:t>المخاطر الشديدة على الكائنات الحية المائية والمخاطر الطويلة الأجل على الطيور العاشبة والإنسان عقب التعرض للمبيد لفترات طويلة.</w:t>
      </w:r>
    </w:p>
    <w:p w:rsidR="00412193" w:rsidRPr="00EF0115" w:rsidRDefault="00412193" w:rsidP="00412193">
      <w:pPr>
        <w:pStyle w:val="Normalnumber"/>
        <w:numPr>
          <w:ilvl w:val="0"/>
          <w:numId w:val="2"/>
        </w:numPr>
        <w:tabs>
          <w:tab w:val="clear" w:pos="624"/>
          <w:tab w:val="left" w:pos="1841"/>
        </w:tabs>
        <w:bidi/>
        <w:spacing w:line="380" w:lineRule="exact"/>
        <w:ind w:left="1134" w:firstLine="0"/>
        <w:jc w:val="both"/>
        <w:textDirection w:val="tbRlV"/>
        <w:rPr>
          <w:rFonts w:cs="Traditional Arabic"/>
          <w:szCs w:val="30"/>
          <w:rtl/>
          <w:lang w:eastAsia="zh-TW"/>
        </w:rPr>
      </w:pPr>
      <w:r w:rsidRPr="00EF0115">
        <w:rPr>
          <w:rFonts w:cs="Traditional Arabic"/>
          <w:szCs w:val="30"/>
          <w:rtl/>
          <w:lang w:eastAsia="zh-TW"/>
        </w:rPr>
        <w:lastRenderedPageBreak/>
        <w:t xml:space="preserve">وإضافةً إلى ذلك، روعيت العوامل التالية </w:t>
      </w:r>
      <w:r w:rsidRPr="0085112A">
        <w:rPr>
          <w:rFonts w:asciiTheme="majorBidi" w:hAnsiTheme="majorBidi" w:cstheme="majorBidi"/>
          <w:rtl/>
          <w:lang w:eastAsia="zh-TW"/>
        </w:rPr>
        <w:t>(</w:t>
      </w:r>
      <w:r w:rsidRPr="0085112A">
        <w:rPr>
          <w:rFonts w:asciiTheme="majorBidi" w:hAnsiTheme="majorBidi" w:cstheme="majorBidi"/>
          <w:lang w:eastAsia="zh-TW"/>
        </w:rPr>
        <w:t>UNEP/FAO/RC/CRC.13/INF/8</w:t>
      </w:r>
      <w:r w:rsidRPr="0085112A">
        <w:rPr>
          <w:rFonts w:asciiTheme="majorBidi" w:hAnsiTheme="majorBidi" w:cstheme="majorBidi"/>
          <w:rtl/>
          <w:lang w:eastAsia="zh-TW"/>
        </w:rPr>
        <w:t>)</w:t>
      </w:r>
      <w:r w:rsidRPr="00EF0115">
        <w:rPr>
          <w:rFonts w:cs="Traditional Arabic"/>
          <w:szCs w:val="30"/>
          <w:rtl/>
          <w:lang w:eastAsia="zh-TW"/>
        </w:rPr>
        <w:t>:</w:t>
      </w:r>
    </w:p>
    <w:p w:rsidR="00412193" w:rsidRPr="00EF0115" w:rsidRDefault="00412193" w:rsidP="00412193">
      <w:pPr>
        <w:numPr>
          <w:ilvl w:val="0"/>
          <w:numId w:val="3"/>
        </w:numPr>
        <w:snapToGrid w:val="0"/>
        <w:spacing w:after="80" w:line="380" w:lineRule="exact"/>
        <w:ind w:left="2408" w:hanging="567"/>
        <w:jc w:val="both"/>
        <w:textDirection w:val="tbRlV"/>
        <w:rPr>
          <w:rFonts w:ascii="Times New Roman" w:hAnsi="Times New Roman" w:cs="Traditional Arabic"/>
          <w:szCs w:val="30"/>
          <w:rtl/>
          <w:lang w:eastAsia="zh-TW"/>
        </w:rPr>
      </w:pPr>
      <w:r w:rsidRPr="00EF0115">
        <w:rPr>
          <w:rFonts w:ascii="Times New Roman" w:hAnsi="Times New Roman" w:cs="Traditional Arabic"/>
          <w:szCs w:val="30"/>
          <w:rtl/>
          <w:lang w:eastAsia="zh-TW"/>
        </w:rPr>
        <w:t>الصعوبات التي تواجه السكان المحليين في الحصول على معدات الحماية الشخصية الملائمة.</w:t>
      </w:r>
    </w:p>
    <w:p w:rsidR="00412193" w:rsidRPr="00EF0115" w:rsidRDefault="00412193" w:rsidP="00412193">
      <w:pPr>
        <w:numPr>
          <w:ilvl w:val="0"/>
          <w:numId w:val="3"/>
        </w:numPr>
        <w:snapToGrid w:val="0"/>
        <w:spacing w:after="80" w:line="380" w:lineRule="exact"/>
        <w:ind w:left="2410" w:hanging="567"/>
        <w:jc w:val="both"/>
        <w:textDirection w:val="tbRlV"/>
        <w:rPr>
          <w:rFonts w:ascii="Times New Roman" w:hAnsi="Times New Roman" w:cs="Traditional Arabic"/>
          <w:szCs w:val="30"/>
          <w:rtl/>
          <w:lang w:eastAsia="zh-TW"/>
        </w:rPr>
      </w:pPr>
      <w:r w:rsidRPr="00EF0115">
        <w:rPr>
          <w:rFonts w:ascii="Times New Roman" w:hAnsi="Times New Roman" w:cs="Traditional Arabic"/>
          <w:szCs w:val="30"/>
          <w:rtl/>
          <w:lang w:eastAsia="zh-TW"/>
        </w:rPr>
        <w:t>البيئة الهشة لبلدان لجنة مكافحة الجفاف في منطقة الساحل التي تتميز بالأمطار الغزيرة التي تهطل غالباً على أنواع تربة فقيرة من حيث المواد العضوية، ومن ثم تكون عرضة بشكل كبير للتعرية والغسل.</w:t>
      </w:r>
      <w:bookmarkStart w:id="1" w:name="_GoBack"/>
      <w:bookmarkEnd w:id="1"/>
    </w:p>
    <w:p w:rsidR="00412193" w:rsidRPr="00EF0115" w:rsidRDefault="00412193" w:rsidP="00412193">
      <w:pPr>
        <w:numPr>
          <w:ilvl w:val="0"/>
          <w:numId w:val="3"/>
        </w:numPr>
        <w:snapToGrid w:val="0"/>
        <w:spacing w:after="80" w:line="380" w:lineRule="exact"/>
        <w:ind w:left="2408" w:hanging="567"/>
        <w:jc w:val="both"/>
        <w:textDirection w:val="tbRlV"/>
        <w:rPr>
          <w:rFonts w:ascii="Times New Roman" w:hAnsi="Times New Roman" w:cs="Traditional Arabic"/>
          <w:szCs w:val="30"/>
          <w:rtl/>
          <w:lang w:eastAsia="zh-TW"/>
        </w:rPr>
      </w:pPr>
      <w:r w:rsidRPr="00EF0115">
        <w:rPr>
          <w:rFonts w:ascii="Times New Roman" w:hAnsi="Times New Roman" w:cs="Traditional Arabic"/>
          <w:szCs w:val="30"/>
          <w:rtl/>
          <w:lang w:eastAsia="zh-TW"/>
        </w:rPr>
        <w:t>عدم وجود نظام للإدارة البيئية يراعي المناطق الفاصلة بين الحقول المعالجة ومجاري المياه، واستخدام المياه السطحية كمياه شرب للإنسان والحيوان.</w:t>
      </w:r>
    </w:p>
    <w:p w:rsidR="00412193" w:rsidRPr="00EF0115" w:rsidRDefault="00412193" w:rsidP="00412193">
      <w:pPr>
        <w:numPr>
          <w:ilvl w:val="0"/>
          <w:numId w:val="3"/>
        </w:numPr>
        <w:snapToGrid w:val="0"/>
        <w:spacing w:after="80" w:line="380" w:lineRule="exact"/>
        <w:ind w:left="2408" w:hanging="567"/>
        <w:jc w:val="both"/>
        <w:textDirection w:val="tbRlV"/>
        <w:rPr>
          <w:rFonts w:ascii="Times New Roman" w:hAnsi="Times New Roman" w:cs="Traditional Arabic"/>
          <w:szCs w:val="30"/>
          <w:rtl/>
          <w:lang w:eastAsia="zh-TW"/>
        </w:rPr>
      </w:pPr>
      <w:r w:rsidRPr="00EF0115">
        <w:rPr>
          <w:rFonts w:ascii="Times New Roman" w:hAnsi="Times New Roman" w:cs="Traditional Arabic"/>
          <w:szCs w:val="30"/>
          <w:rtl/>
          <w:lang w:eastAsia="zh-TW"/>
        </w:rPr>
        <w:t>استخدام المياه الجوفية بوصفها الخزان الوحيد لمياه الشرب.</w:t>
      </w:r>
    </w:p>
    <w:p w:rsidR="00412193" w:rsidRPr="00EF0115" w:rsidRDefault="00412193" w:rsidP="00412193">
      <w:pPr>
        <w:numPr>
          <w:ilvl w:val="0"/>
          <w:numId w:val="3"/>
        </w:numPr>
        <w:snapToGrid w:val="0"/>
        <w:spacing w:line="380" w:lineRule="exact"/>
        <w:ind w:left="2410" w:hanging="567"/>
        <w:jc w:val="both"/>
        <w:textDirection w:val="tbRlV"/>
        <w:rPr>
          <w:rFonts w:ascii="Times New Roman" w:hAnsi="Times New Roman" w:cs="Traditional Arabic"/>
          <w:szCs w:val="30"/>
          <w:rtl/>
          <w:lang w:eastAsia="zh-TW"/>
        </w:rPr>
      </w:pPr>
      <w:r w:rsidRPr="00EF0115">
        <w:rPr>
          <w:rFonts w:ascii="Times New Roman" w:hAnsi="Times New Roman" w:cs="Traditional Arabic"/>
          <w:szCs w:val="30"/>
          <w:rtl/>
          <w:lang w:eastAsia="zh-TW"/>
        </w:rPr>
        <w:t>وجود بدائل لاستخدام الأسيتوكلور.</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وفي عام 2014 وبناءً على توصية لجنة مبيدات الآفات في منطقة الساحل</w:t>
      </w:r>
      <w:r w:rsidRPr="00EF0115">
        <w:rPr>
          <w:rFonts w:cs="Traditional Arabic" w:hint="cs"/>
          <w:szCs w:val="30"/>
          <w:rtl/>
          <w:lang w:eastAsia="zh-TW"/>
        </w:rPr>
        <w:t xml:space="preserve">، فُرض حظر على </w:t>
      </w:r>
      <w:r w:rsidRPr="00EF0115">
        <w:rPr>
          <w:rFonts w:cs="Traditional Arabic"/>
          <w:szCs w:val="30"/>
          <w:rtl/>
          <w:lang w:eastAsia="zh-TW"/>
        </w:rPr>
        <w:t xml:space="preserve">الأسيتوكلور بقرار من وزير التنسيق في اللجنة الدائمة، وذلك بسبب المخاطر غير المقبولة على صحة السكان والمخاطر غير المقبولة على الكائنات الحيّة المائية والطيور العاشبة في البيئة، فضلاً عن الصعوبة التي يواجهها المستخدمون في بلدان منطقة الساحل في استخدام الأسيتوكلور دون التعرُّض لمخاطر غير مقبولة. وأشير كذلك إلى حظر أو تقييد استخدام الأسيتوكلور في تركيبات مبيدات الآفات في العديد من البلدان الأخرى، مثل الولايات المتحدة الأمريكية والاتحاد الأوروبي </w:t>
      </w:r>
      <w:r w:rsidRPr="0021450E">
        <w:rPr>
          <w:rFonts w:asciiTheme="majorBidi" w:hAnsiTheme="majorBidi" w:cstheme="majorBidi"/>
          <w:rtl/>
          <w:lang w:eastAsia="zh-TW"/>
        </w:rPr>
        <w:t>(</w:t>
      </w:r>
      <w:r w:rsidRPr="0021450E">
        <w:rPr>
          <w:rFonts w:asciiTheme="majorBidi" w:hAnsiTheme="majorBidi" w:cstheme="majorBidi"/>
          <w:lang w:eastAsia="zh-TW"/>
        </w:rPr>
        <w:t>UNEP/FAO/RC/CRC.13/INF/8</w:t>
      </w:r>
      <w:r w:rsidRPr="0021450E">
        <w:rPr>
          <w:rFonts w:asciiTheme="majorBidi" w:hAnsiTheme="majorBidi" w:cstheme="majorBidi"/>
          <w:rtl/>
          <w:lang w:eastAsia="zh-TW"/>
        </w:rPr>
        <w:t>)</w:t>
      </w:r>
      <w:r w:rsidRPr="00EF0115">
        <w:rPr>
          <w:rFonts w:cs="Traditional Arabic"/>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وأبلِغ في الإخطار والوثائق الداعمة عن المخاطر على صحة ال</w:t>
      </w:r>
      <w:r w:rsidRPr="00EF0115">
        <w:rPr>
          <w:rFonts w:cs="Traditional Arabic" w:hint="cs"/>
          <w:szCs w:val="30"/>
          <w:rtl/>
          <w:lang w:eastAsia="zh-TW"/>
        </w:rPr>
        <w:t>بشر</w:t>
      </w:r>
      <w:r w:rsidRPr="00EF0115">
        <w:rPr>
          <w:rFonts w:cs="Traditional Arabic"/>
          <w:szCs w:val="30"/>
          <w:rtl/>
          <w:lang w:eastAsia="zh-TW"/>
        </w:rPr>
        <w:t xml:space="preserve"> بسبب المخاطر ال</w:t>
      </w:r>
      <w:r w:rsidRPr="00EF0115">
        <w:rPr>
          <w:rFonts w:cs="Traditional Arabic" w:hint="cs"/>
          <w:szCs w:val="30"/>
          <w:rtl/>
          <w:lang w:eastAsia="zh-TW"/>
        </w:rPr>
        <w:t>شديدة</w:t>
      </w:r>
      <w:r w:rsidRPr="00EF0115">
        <w:rPr>
          <w:rFonts w:cs="Traditional Arabic"/>
          <w:szCs w:val="30"/>
          <w:rtl/>
          <w:lang w:eastAsia="zh-TW"/>
        </w:rPr>
        <w:t xml:space="preserve"> لتلوث المياه السطحية والجوفية بالأسيتوكلور ومستقلباته.</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وفي الولايات المتحدة يمنع استخدام الأسيتوكلور في الترب</w:t>
      </w:r>
      <w:r>
        <w:rPr>
          <w:rFonts w:cs="Traditional Arabic" w:hint="cs"/>
          <w:szCs w:val="30"/>
          <w:rtl/>
          <w:lang w:eastAsia="zh-TW"/>
        </w:rPr>
        <w:t>ة</w:t>
      </w:r>
      <w:r w:rsidRPr="00EF0115">
        <w:rPr>
          <w:rFonts w:cs="Traditional Arabic"/>
          <w:szCs w:val="30"/>
          <w:rtl/>
          <w:lang w:eastAsia="zh-TW"/>
        </w:rPr>
        <w:t xml:space="preserve"> الخشنة بسبب الشواغل المتعلقة بتلوث المياه الجوفية (مثل التربة الرملية المحتوي</w:t>
      </w:r>
      <w:r w:rsidRPr="00EF0115">
        <w:rPr>
          <w:rFonts w:cs="Traditional Arabic" w:hint="cs"/>
          <w:szCs w:val="30"/>
          <w:rtl/>
          <w:lang w:eastAsia="zh-TW"/>
        </w:rPr>
        <w:t>ة</w:t>
      </w:r>
      <w:r w:rsidRPr="00EF0115">
        <w:rPr>
          <w:rFonts w:cs="Traditional Arabic"/>
          <w:szCs w:val="30"/>
          <w:rtl/>
          <w:lang w:eastAsia="zh-TW"/>
        </w:rPr>
        <w:t xml:space="preserve"> على مواد عضوية بنسبة تقل عن ٣ في المائة) حيث يكون عمق المياه الجوفية أقل من ٣٠ قدم</w:t>
      </w:r>
      <w:r w:rsidRPr="00EF0115">
        <w:rPr>
          <w:rFonts w:cs="Traditional Arabic" w:hint="cs"/>
          <w:szCs w:val="30"/>
          <w:rtl/>
          <w:lang w:eastAsia="zh-TW"/>
        </w:rPr>
        <w:t>ا</w:t>
      </w:r>
      <w:r>
        <w:rPr>
          <w:rFonts w:cs="Traditional Arabic" w:hint="cs"/>
          <w:szCs w:val="30"/>
          <w:rtl/>
          <w:lang w:eastAsia="zh-TW"/>
        </w:rPr>
        <w:t>ً</w:t>
      </w:r>
      <w:r w:rsidRPr="00EF0115">
        <w:rPr>
          <w:rFonts w:cs="Traditional Arabic"/>
          <w:szCs w:val="30"/>
          <w:rtl/>
          <w:lang w:eastAsia="zh-TW"/>
        </w:rPr>
        <w:t xml:space="preserve">. ولا يمكن استخدام الأسيتوكلور في أي نظام للري (بما في ذلك الري الفيضي) كما لا يمكن استخدامه عن طريق الرش الجوي. ولا يمكن استخدام الأسيتوكلور مباشرة على المياه أو في المناطق التي تكون بها مياه سطحية. </w:t>
      </w:r>
      <w:r w:rsidRPr="00EF0115">
        <w:rPr>
          <w:rFonts w:cs="Traditional Arabic" w:hint="cs"/>
          <w:szCs w:val="30"/>
          <w:rtl/>
          <w:lang w:eastAsia="zh-TW"/>
        </w:rPr>
        <w:t>و</w:t>
      </w:r>
      <w:r w:rsidRPr="00EF0115">
        <w:rPr>
          <w:rFonts w:cs="Traditional Arabic"/>
          <w:szCs w:val="30"/>
          <w:rtl/>
          <w:lang w:eastAsia="zh-TW"/>
        </w:rPr>
        <w:t>علاوةً على ذلك، يجب عدم مزج أو تعبئة الأسيتوكلور على مسافة أقل من ٥٠ قدما</w:t>
      </w:r>
      <w:r>
        <w:rPr>
          <w:rFonts w:cs="Traditional Arabic" w:hint="cs"/>
          <w:szCs w:val="30"/>
          <w:rtl/>
          <w:lang w:eastAsia="zh-TW"/>
        </w:rPr>
        <w:t>ً</w:t>
      </w:r>
      <w:r w:rsidRPr="00EF0115">
        <w:rPr>
          <w:rFonts w:cs="Traditional Arabic"/>
          <w:szCs w:val="30"/>
          <w:rtl/>
          <w:lang w:eastAsia="zh-TW"/>
        </w:rPr>
        <w:t xml:space="preserve"> من المياه السطحية أو الآبار، ما لم تكن هناك تدابير كافية لاحتوائه أو التخلص منه. وتهدف </w:t>
      </w:r>
      <w:r w:rsidRPr="00EF0115">
        <w:rPr>
          <w:rFonts w:cs="Traditional Arabic" w:hint="cs"/>
          <w:szCs w:val="30"/>
          <w:rtl/>
          <w:lang w:eastAsia="zh-TW"/>
        </w:rPr>
        <w:t>جميع</w:t>
      </w:r>
      <w:r w:rsidRPr="00EF0115">
        <w:rPr>
          <w:rFonts w:cs="Traditional Arabic"/>
          <w:szCs w:val="30"/>
          <w:rtl/>
          <w:lang w:eastAsia="zh-TW"/>
        </w:rPr>
        <w:t xml:space="preserve"> هذه التدابير إلى منع انتقال الأسيتوكلور إلى موارد المياه الجوفية و/أو المياه السطحية </w:t>
      </w:r>
      <w:r w:rsidRPr="0021450E">
        <w:rPr>
          <w:rFonts w:asciiTheme="majorBidi" w:hAnsiTheme="majorBidi" w:cstheme="majorBidi"/>
          <w:rtl/>
          <w:lang w:eastAsia="zh-TW"/>
        </w:rPr>
        <w:t>(</w:t>
      </w:r>
      <w:r w:rsidRPr="0021450E">
        <w:rPr>
          <w:rFonts w:asciiTheme="majorBidi" w:hAnsiTheme="majorBidi" w:cstheme="majorBidi"/>
        </w:rPr>
        <w:t>EPA, 2006</w:t>
      </w:r>
      <w:r w:rsidRPr="0021450E">
        <w:rPr>
          <w:rFonts w:asciiTheme="majorBidi" w:hAnsiTheme="majorBidi" w:cstheme="majorBidi"/>
          <w:rtl/>
          <w:lang w:eastAsia="zh-TW"/>
        </w:rPr>
        <w:t>)</w:t>
      </w:r>
      <w:r w:rsidRPr="00EF0115">
        <w:rPr>
          <w:rFonts w:cs="Traditional Arabic"/>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وتشير الوثائق الداعمة إلى أنه يتعذر تطبيق نظام للإدارة البيئية يراعي المناطق الفاصلة بين الحقول المعالجة وجداول المياه كإجراء احترازي في منطقة الساحل.</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وتتراوح قيم النمذجة لمحتوى الكربون العضوي بين ١,٠٦ و١,٣٦ في المائة في الترب</w:t>
      </w:r>
      <w:r w:rsidRPr="00EF0115">
        <w:rPr>
          <w:rFonts w:cs="Traditional Arabic" w:hint="cs"/>
          <w:szCs w:val="30"/>
          <w:rtl/>
          <w:lang w:eastAsia="zh-TW"/>
        </w:rPr>
        <w:t>ة</w:t>
      </w:r>
      <w:r w:rsidRPr="00EF0115">
        <w:rPr>
          <w:rFonts w:cs="Traditional Arabic"/>
          <w:szCs w:val="30"/>
          <w:rtl/>
          <w:lang w:eastAsia="zh-TW"/>
        </w:rPr>
        <w:t xml:space="preserve"> ضمن محيط القياس </w:t>
      </w:r>
      <w:r w:rsidRPr="0021450E">
        <w:rPr>
          <w:rFonts w:asciiTheme="majorBidi" w:hAnsiTheme="majorBidi" w:cstheme="majorBidi"/>
          <w:rtl/>
          <w:lang w:eastAsia="zh-TW"/>
        </w:rPr>
        <w:t>(</w:t>
      </w:r>
      <w:r w:rsidRPr="0021450E">
        <w:rPr>
          <w:rFonts w:asciiTheme="majorBidi" w:hAnsiTheme="majorBidi" w:cstheme="majorBidi"/>
          <w:lang w:eastAsia="zh-TW"/>
        </w:rPr>
        <w:t>Direction culture/SN-SOSUCO, 2008</w:t>
      </w:r>
      <w:r w:rsidRPr="0021450E">
        <w:rPr>
          <w:rFonts w:asciiTheme="majorBidi" w:hAnsiTheme="majorBidi" w:cstheme="majorBidi"/>
          <w:rtl/>
          <w:lang w:eastAsia="zh-TW"/>
        </w:rPr>
        <w:t>)</w:t>
      </w:r>
      <w:r w:rsidRPr="00EF0115">
        <w:rPr>
          <w:rFonts w:cs="Traditional Arabic"/>
          <w:szCs w:val="30"/>
          <w:rtl/>
          <w:lang w:eastAsia="zh-TW"/>
        </w:rPr>
        <w:t>.  ويبلغ متوسط محتوى الكربون العضوي في الترب</w:t>
      </w:r>
      <w:r w:rsidRPr="00EF0115">
        <w:rPr>
          <w:rFonts w:cs="Traditional Arabic" w:hint="cs"/>
          <w:szCs w:val="30"/>
          <w:rtl/>
          <w:lang w:eastAsia="zh-TW"/>
        </w:rPr>
        <w:t>ة</w:t>
      </w:r>
      <w:r w:rsidRPr="00EF0115">
        <w:rPr>
          <w:rFonts w:cs="Traditional Arabic"/>
          <w:szCs w:val="30"/>
          <w:rtl/>
          <w:lang w:eastAsia="zh-TW"/>
        </w:rPr>
        <w:t xml:space="preserve"> القريبة من الأنهار ١,٠٦ في المائة </w:t>
      </w:r>
      <w:r w:rsidRPr="0021450E">
        <w:rPr>
          <w:rFonts w:asciiTheme="majorBidi" w:hAnsiTheme="majorBidi" w:cstheme="majorBidi"/>
          <w:rtl/>
          <w:lang w:eastAsia="zh-TW"/>
        </w:rPr>
        <w:t>(</w:t>
      </w:r>
      <w:proofErr w:type="spellStart"/>
      <w:r w:rsidRPr="0021450E">
        <w:rPr>
          <w:rFonts w:asciiTheme="majorBidi" w:hAnsiTheme="majorBidi" w:cstheme="majorBidi"/>
          <w:lang w:eastAsia="zh-TW"/>
        </w:rPr>
        <w:t>Ouedraogo</w:t>
      </w:r>
      <w:proofErr w:type="spellEnd"/>
      <w:r w:rsidRPr="0021450E">
        <w:rPr>
          <w:rFonts w:asciiTheme="majorBidi" w:hAnsiTheme="majorBidi" w:cstheme="majorBidi"/>
          <w:lang w:eastAsia="zh-TW"/>
        </w:rPr>
        <w:t xml:space="preserve"> et al, 2012</w:t>
      </w:r>
      <w:r w:rsidRPr="0021450E">
        <w:rPr>
          <w:rFonts w:asciiTheme="majorBidi" w:hAnsiTheme="majorBidi" w:cstheme="majorBidi"/>
          <w:rtl/>
          <w:lang w:eastAsia="zh-TW"/>
        </w:rPr>
        <w:t>)</w:t>
      </w:r>
      <w:r w:rsidRPr="00EF0115">
        <w:rPr>
          <w:rFonts w:cs="Traditional Arabic"/>
          <w:szCs w:val="30"/>
          <w:rtl/>
          <w:lang w:eastAsia="zh-TW"/>
        </w:rPr>
        <w:t xml:space="preserve">. وتتميز البيئة الهشة لبلدان لجنة مكافحة الجفاف في </w:t>
      </w:r>
      <w:r w:rsidRPr="00EF0115">
        <w:rPr>
          <w:rFonts w:cs="Traditional Arabic"/>
          <w:szCs w:val="30"/>
          <w:rtl/>
          <w:lang w:eastAsia="zh-TW"/>
        </w:rPr>
        <w:lastRenderedPageBreak/>
        <w:t xml:space="preserve">منطقة الساحل أحياناً بالأمطار الغزيرة التي تهطل على أنواع تربة غالباً ما تكون فقيرة من حيث المواد العضوية، ومن ثم تكون عرضة للتعرية والغسل. </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وتشير نتائج دراسة النمذجة التي أجراها ويدراوغو وآخرون (2012) إلى أن الأسيتوكلور لديه قدرة عالية جدا</w:t>
      </w:r>
      <w:r>
        <w:rPr>
          <w:rFonts w:cs="Traditional Arabic" w:hint="cs"/>
          <w:szCs w:val="30"/>
          <w:rtl/>
          <w:lang w:eastAsia="zh-TW"/>
        </w:rPr>
        <w:t>ً</w:t>
      </w:r>
      <w:r w:rsidRPr="00EF0115">
        <w:rPr>
          <w:rFonts w:cs="Traditional Arabic"/>
          <w:szCs w:val="30"/>
          <w:rtl/>
          <w:lang w:eastAsia="zh-TW"/>
        </w:rPr>
        <w:t xml:space="preserve"> على تلويث المياه السطحية تحت ظروف الاستخدام الفعلي في بوركينا فاسو. </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وفي دراسة أجريت لقياس تركيزات مبيدات الآفات في بحيرتين في بوركينا فاسو سُجلت تركيزات للأسيتوكلور تصل إلى 53,1 ميكروغم/ل </w:t>
      </w:r>
      <w:r w:rsidRPr="0021450E">
        <w:rPr>
          <w:rFonts w:asciiTheme="majorBidi" w:hAnsiTheme="majorBidi" w:cstheme="majorBidi"/>
          <w:rtl/>
          <w:lang w:eastAsia="zh-TW"/>
        </w:rPr>
        <w:t>(</w:t>
      </w:r>
      <w:proofErr w:type="spellStart"/>
      <w:r w:rsidRPr="0021450E">
        <w:rPr>
          <w:rFonts w:asciiTheme="majorBidi" w:hAnsiTheme="majorBidi" w:cstheme="majorBidi"/>
          <w:lang w:eastAsia="zh-TW"/>
        </w:rPr>
        <w:t>Soleri</w:t>
      </w:r>
      <w:proofErr w:type="spellEnd"/>
      <w:r w:rsidRPr="0021450E">
        <w:rPr>
          <w:rFonts w:asciiTheme="majorBidi" w:hAnsiTheme="majorBidi" w:cstheme="majorBidi"/>
          <w:lang w:eastAsia="zh-TW"/>
        </w:rPr>
        <w:t>, 2013</w:t>
      </w:r>
      <w:r w:rsidRPr="0021450E">
        <w:rPr>
          <w:rFonts w:asciiTheme="majorBidi" w:hAnsiTheme="majorBidi" w:cstheme="majorBidi"/>
          <w:rtl/>
          <w:lang w:eastAsia="zh-TW"/>
        </w:rPr>
        <w:t>)</w:t>
      </w:r>
      <w:r w:rsidRPr="00EF0115">
        <w:rPr>
          <w:rFonts w:cs="Traditional Arabic"/>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ويؤدي تلوث المياه الجوفية والمياه السطحية في بلدان لجنة مكافحة الجفاف في منطقة الساحل إلى تلوث مياه الشرب </w:t>
      </w:r>
      <w:r>
        <w:rPr>
          <w:rFonts w:cs="Traditional Arabic"/>
          <w:szCs w:val="30"/>
          <w:rtl/>
          <w:lang w:eastAsia="zh-TW"/>
        </w:rPr>
        <w:t>نظراً</w:t>
      </w:r>
      <w:r w:rsidRPr="00EF0115">
        <w:rPr>
          <w:rFonts w:cs="Traditional Arabic"/>
          <w:szCs w:val="30"/>
          <w:rtl/>
          <w:lang w:eastAsia="zh-TW"/>
        </w:rPr>
        <w:t xml:space="preserve"> لأن هذه المياه تستخدم كمصادر لمياه الشرب. وفي بلدان مثل بوركينا فاسو يمتلك أكثر من نصف المزارعين (٦٧,٥ في المائة) </w:t>
      </w:r>
      <w:r w:rsidRPr="00EF0115">
        <w:rPr>
          <w:rFonts w:cs="Traditional Arabic" w:hint="cs"/>
          <w:szCs w:val="30"/>
          <w:rtl/>
          <w:lang w:eastAsia="zh-TW"/>
        </w:rPr>
        <w:t>نقطة تزود بال</w:t>
      </w:r>
      <w:r w:rsidRPr="00EF0115">
        <w:rPr>
          <w:rFonts w:cs="Traditional Arabic"/>
          <w:szCs w:val="30"/>
          <w:rtl/>
          <w:lang w:eastAsia="zh-TW"/>
        </w:rPr>
        <w:t xml:space="preserve">مياه في حقولهم أو بالقرب منها. وتقع معظم </w:t>
      </w:r>
      <w:r w:rsidRPr="00EF0115">
        <w:rPr>
          <w:rFonts w:cs="Traditional Arabic" w:hint="cs"/>
          <w:szCs w:val="30"/>
          <w:rtl/>
          <w:lang w:eastAsia="zh-TW"/>
        </w:rPr>
        <w:t>نقاط التزود ب</w:t>
      </w:r>
      <w:r w:rsidRPr="00EF0115">
        <w:rPr>
          <w:rFonts w:cs="Traditional Arabic"/>
          <w:szCs w:val="30"/>
          <w:rtl/>
          <w:lang w:eastAsia="zh-TW"/>
        </w:rPr>
        <w:t xml:space="preserve">المياه على بعد أقل من ١٠٠ متر من الحقول </w:t>
      </w:r>
      <w:r w:rsidRPr="0021450E">
        <w:rPr>
          <w:rFonts w:asciiTheme="majorBidi" w:hAnsiTheme="majorBidi" w:cstheme="majorBidi"/>
          <w:rtl/>
          <w:lang w:eastAsia="zh-TW"/>
        </w:rPr>
        <w:t>(</w:t>
      </w:r>
      <w:r w:rsidRPr="0021450E">
        <w:rPr>
          <w:rFonts w:asciiTheme="majorBidi" w:hAnsiTheme="majorBidi" w:cstheme="majorBidi"/>
          <w:lang w:eastAsia="zh-TW"/>
        </w:rPr>
        <w:t>Toe, 2010</w:t>
      </w:r>
      <w:r w:rsidRPr="0021450E">
        <w:rPr>
          <w:rFonts w:asciiTheme="majorBidi" w:hAnsiTheme="majorBidi" w:cstheme="majorBidi"/>
          <w:rtl/>
          <w:lang w:eastAsia="zh-TW"/>
        </w:rPr>
        <w:t>)</w:t>
      </w:r>
      <w:r w:rsidRPr="00EF0115">
        <w:rPr>
          <w:rFonts w:cs="Traditional Arabic"/>
          <w:szCs w:val="30"/>
          <w:rtl/>
          <w:lang w:eastAsia="zh-TW"/>
        </w:rPr>
        <w:t>. وقد ي</w:t>
      </w:r>
      <w:r w:rsidRPr="00EF0115">
        <w:rPr>
          <w:rFonts w:cs="Traditional Arabic" w:hint="cs"/>
          <w:szCs w:val="30"/>
          <w:rtl/>
          <w:lang w:eastAsia="zh-TW"/>
        </w:rPr>
        <w:t>حدث</w:t>
      </w:r>
      <w:r w:rsidRPr="00EF0115">
        <w:rPr>
          <w:rFonts w:cs="Traditional Arabic"/>
          <w:szCs w:val="30"/>
          <w:rtl/>
          <w:lang w:eastAsia="zh-TW"/>
        </w:rPr>
        <w:t xml:space="preserve"> تلوث المياه بمبيدات الآفات عبر مسارات مختلفة نتيجةً لقرب </w:t>
      </w:r>
      <w:r w:rsidRPr="00EF0115">
        <w:rPr>
          <w:rFonts w:cs="Traditional Arabic" w:hint="cs"/>
          <w:szCs w:val="30"/>
          <w:rtl/>
          <w:lang w:eastAsia="zh-TW"/>
        </w:rPr>
        <w:t xml:space="preserve">نقاط </w:t>
      </w:r>
      <w:r w:rsidRPr="00EF0115">
        <w:rPr>
          <w:rFonts w:cs="Traditional Arabic"/>
          <w:szCs w:val="30"/>
          <w:rtl/>
          <w:lang w:eastAsia="zh-TW"/>
        </w:rPr>
        <w:t xml:space="preserve">المياه من الحقول. ويشرب الإنسان المياه من </w:t>
      </w:r>
      <w:r w:rsidRPr="00EF0115">
        <w:rPr>
          <w:rFonts w:cs="Traditional Arabic" w:hint="cs"/>
          <w:szCs w:val="30"/>
          <w:rtl/>
          <w:lang w:eastAsia="zh-TW"/>
        </w:rPr>
        <w:t xml:space="preserve">نقاط التزود </w:t>
      </w:r>
      <w:r w:rsidRPr="00EF0115">
        <w:rPr>
          <w:rFonts w:cs="Traditional Arabic"/>
          <w:szCs w:val="30"/>
          <w:rtl/>
          <w:lang w:eastAsia="zh-TW"/>
        </w:rPr>
        <w:t>هذه في ٥٠ في المائة من الحالات، وت</w:t>
      </w:r>
      <w:r w:rsidRPr="00EF0115">
        <w:rPr>
          <w:rFonts w:cs="Traditional Arabic" w:hint="cs"/>
          <w:szCs w:val="30"/>
          <w:rtl/>
          <w:lang w:eastAsia="zh-TW"/>
        </w:rPr>
        <w:t>ُ</w:t>
      </w:r>
      <w:r w:rsidRPr="00EF0115">
        <w:rPr>
          <w:rFonts w:cs="Traditional Arabic"/>
          <w:szCs w:val="30"/>
          <w:rtl/>
          <w:lang w:eastAsia="zh-TW"/>
        </w:rPr>
        <w:t>ستخدم أيضاً لتحضير أو تخفيف مبيدات الآفات في 29</w:t>
      </w:r>
      <w:r w:rsidRPr="00EF0115">
        <w:rPr>
          <w:rFonts w:cs="Traditional Arabic" w:hint="cs"/>
          <w:szCs w:val="30"/>
          <w:rtl/>
          <w:lang w:eastAsia="zh-TW"/>
        </w:rPr>
        <w:t>.</w:t>
      </w:r>
      <w:r w:rsidRPr="00EF0115">
        <w:rPr>
          <w:rFonts w:cs="Traditional Arabic"/>
          <w:szCs w:val="30"/>
          <w:rtl/>
          <w:lang w:eastAsia="zh-TW"/>
        </w:rPr>
        <w:t>26 في المائة من الحالات وفي سقي الحيوانات في 26</w:t>
      </w:r>
      <w:r w:rsidRPr="00EF0115">
        <w:rPr>
          <w:rFonts w:cs="Traditional Arabic" w:hint="cs"/>
          <w:szCs w:val="30"/>
          <w:rtl/>
          <w:lang w:eastAsia="zh-TW"/>
        </w:rPr>
        <w:t>.</w:t>
      </w:r>
      <w:r w:rsidRPr="00EF0115">
        <w:rPr>
          <w:rFonts w:cs="Traditional Arabic"/>
          <w:szCs w:val="30"/>
          <w:rtl/>
          <w:lang w:eastAsia="zh-TW"/>
        </w:rPr>
        <w:t xml:space="preserve">96 في المائة </w:t>
      </w:r>
      <w:r w:rsidRPr="0021450E">
        <w:rPr>
          <w:rFonts w:asciiTheme="majorBidi" w:hAnsiTheme="majorBidi" w:cstheme="majorBidi"/>
          <w:rtl/>
          <w:lang w:eastAsia="zh-TW"/>
        </w:rPr>
        <w:t>(</w:t>
      </w:r>
      <w:r w:rsidRPr="0021450E">
        <w:rPr>
          <w:rFonts w:asciiTheme="majorBidi" w:hAnsiTheme="majorBidi" w:cstheme="majorBidi"/>
          <w:lang w:eastAsia="zh-TW"/>
        </w:rPr>
        <w:t>Toe, 2010</w:t>
      </w:r>
      <w:r w:rsidRPr="0021450E">
        <w:rPr>
          <w:rFonts w:asciiTheme="majorBidi" w:hAnsiTheme="majorBidi" w:cstheme="majorBidi"/>
          <w:rtl/>
          <w:lang w:eastAsia="zh-TW"/>
        </w:rPr>
        <w:t>)</w:t>
      </w:r>
      <w:r w:rsidRPr="00EF0115">
        <w:rPr>
          <w:rFonts w:cs="Traditional Arabic"/>
          <w:szCs w:val="30"/>
          <w:rtl/>
          <w:lang w:eastAsia="zh-TW"/>
        </w:rPr>
        <w:t>، مما ي</w:t>
      </w:r>
      <w:r w:rsidRPr="00EF0115">
        <w:rPr>
          <w:rFonts w:cs="Traditional Arabic" w:hint="cs"/>
          <w:szCs w:val="30"/>
          <w:rtl/>
          <w:lang w:eastAsia="zh-TW"/>
        </w:rPr>
        <w:t>علل</w:t>
      </w:r>
      <w:r w:rsidRPr="00EF0115">
        <w:rPr>
          <w:rFonts w:cs="Traditional Arabic"/>
          <w:szCs w:val="30"/>
          <w:rtl/>
          <w:lang w:eastAsia="zh-TW"/>
        </w:rPr>
        <w:t xml:space="preserve"> وجود الأسيتوكلور في بعض مجاري المياه في بوركينا فاسو </w:t>
      </w:r>
      <w:r w:rsidRPr="0021450E">
        <w:rPr>
          <w:rFonts w:asciiTheme="majorBidi" w:hAnsiTheme="majorBidi" w:cstheme="majorBidi"/>
          <w:rtl/>
          <w:lang w:eastAsia="zh-TW"/>
        </w:rPr>
        <w:t>(</w:t>
      </w:r>
      <w:proofErr w:type="spellStart"/>
      <w:r w:rsidRPr="0021450E">
        <w:rPr>
          <w:rFonts w:asciiTheme="majorBidi" w:hAnsiTheme="majorBidi" w:cstheme="majorBidi"/>
          <w:lang w:eastAsia="zh-TW"/>
        </w:rPr>
        <w:t>Soleri</w:t>
      </w:r>
      <w:proofErr w:type="spellEnd"/>
      <w:r w:rsidRPr="0021450E">
        <w:rPr>
          <w:rFonts w:asciiTheme="majorBidi" w:hAnsiTheme="majorBidi" w:cstheme="majorBidi"/>
          <w:lang w:eastAsia="zh-TW"/>
        </w:rPr>
        <w:t>, 2013</w:t>
      </w:r>
      <w:r w:rsidRPr="0021450E">
        <w:rPr>
          <w:rFonts w:asciiTheme="majorBidi" w:hAnsiTheme="majorBidi" w:cstheme="majorBidi"/>
          <w:rtl/>
          <w:lang w:eastAsia="zh-TW"/>
        </w:rPr>
        <w:t>)</w:t>
      </w:r>
      <w:r w:rsidRPr="00EF0115">
        <w:rPr>
          <w:rFonts w:cs="Traditional Arabic"/>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وخلصت بلدان اللجنة الدائمة المعنية بمكافحة الجفاف في منطقة الساحل إلى أن استخدام الأسيتوكلور بوصفه مبيد آفات تحت هذه الظروف أفضى إلى مخاطر غير مقبولة على صحة الإنسان والحيوان بسبب تلوث مياه الشرب.</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وأبلِغ في الإخطار والوثائق الداعمة أيضاً عن المخاطر على المشغلين.</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وأشير إلى تقرير الهيئة الأوروبية لسلامة الأغذية (2011)، الذي يذكر أن المخاطر الصحية على المشغلين تفاقمت بسبب تسجيل قيم أعلى للتعرض التقديري لتركيبات الجماعة الأوروبية (بين ١٤٣٥ في المائة و٥٥٥٠ في المائة) مقارنةً بمستوى التعرض المقبول للمشغل </w:t>
      </w:r>
      <w:r w:rsidRPr="0021450E">
        <w:rPr>
          <w:rFonts w:asciiTheme="majorBidi" w:hAnsiTheme="majorBidi" w:cstheme="majorBidi"/>
          <w:rtl/>
          <w:lang w:eastAsia="zh-TW"/>
        </w:rPr>
        <w:t>(AOEL)</w:t>
      </w:r>
      <w:r w:rsidRPr="00EF0115">
        <w:rPr>
          <w:rFonts w:cs="Traditional Arabic"/>
          <w:szCs w:val="30"/>
          <w:rtl/>
          <w:lang w:eastAsia="zh-TW"/>
        </w:rPr>
        <w:t>، على الرغم من استخدام آلة رش مقطورة واستخدام القفازات أثناء المزج والتعبئة والاستخدام. أما بدون استخدام معدات الحماية الشخصية فقد أبلِغ عن قيم تصل إلى ٣٥٥٥٠ في المائة من مستوى التعرض المقبول للمشغل.</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وخلافا</w:t>
      </w:r>
      <w:r>
        <w:rPr>
          <w:rFonts w:cs="Traditional Arabic" w:hint="cs"/>
          <w:szCs w:val="30"/>
          <w:rtl/>
          <w:lang w:eastAsia="zh-TW"/>
        </w:rPr>
        <w:t>ً</w:t>
      </w:r>
      <w:r w:rsidRPr="00EF0115">
        <w:rPr>
          <w:rFonts w:cs="Traditional Arabic"/>
          <w:szCs w:val="30"/>
          <w:rtl/>
          <w:lang w:eastAsia="zh-TW"/>
        </w:rPr>
        <w:t xml:space="preserve"> للاستخدام الموصى به في الولايات المتحدة والدول الأعضاء في الاتحاد الأوروبي</w:t>
      </w:r>
      <w:r w:rsidRPr="00EF0115">
        <w:rPr>
          <w:rFonts w:cs="Traditional Arabic" w:hint="cs"/>
          <w:szCs w:val="30"/>
          <w:rtl/>
          <w:lang w:eastAsia="zh-TW"/>
        </w:rPr>
        <w:t>،</w:t>
      </w:r>
      <w:r w:rsidRPr="00EF0115">
        <w:rPr>
          <w:rFonts w:cs="Traditional Arabic"/>
          <w:szCs w:val="30"/>
          <w:rtl/>
          <w:lang w:eastAsia="zh-TW"/>
        </w:rPr>
        <w:t xml:space="preserve"> فإن الاستخدام الموصى به في بلدان منطقة الساحل هو الرش باستخدام أحجام صغيرة (المرذاذ المحمول على الظهر) للتركيبة المخففة </w:t>
      </w:r>
      <w:r w:rsidRPr="00EF0115">
        <w:rPr>
          <w:rFonts w:cs="Traditional Arabic" w:hint="cs"/>
          <w:szCs w:val="30"/>
          <w:rtl/>
          <w:lang w:eastAsia="zh-TW"/>
        </w:rPr>
        <w:t>ب</w:t>
      </w:r>
      <w:r w:rsidRPr="00EF0115">
        <w:rPr>
          <w:rFonts w:cs="Traditional Arabic"/>
          <w:szCs w:val="30"/>
          <w:rtl/>
          <w:lang w:eastAsia="zh-TW"/>
        </w:rPr>
        <w:t>الماء بجرعات تتراوح بين ٢,</w:t>
      </w:r>
      <w:r>
        <w:rPr>
          <w:rFonts w:cs="Traditional Arabic" w:hint="cs"/>
          <w:szCs w:val="30"/>
          <w:rtl/>
          <w:lang w:eastAsia="zh-TW"/>
        </w:rPr>
        <w:t>5</w:t>
      </w:r>
      <w:r w:rsidRPr="00EF0115">
        <w:rPr>
          <w:rFonts w:cs="Traditional Arabic"/>
          <w:szCs w:val="30"/>
          <w:rtl/>
          <w:lang w:eastAsia="zh-TW"/>
        </w:rPr>
        <w:t xml:space="preserve"> و٣,٥ ل/هكتار على القطن. وتُجرى عملية الرش مرة واحدة في السنة المحصولية. أما معدات الحماية الشخصية الموصى بها فهي الملابس الواقية والقفازات والنظارات.</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hint="cs"/>
          <w:szCs w:val="30"/>
          <w:rtl/>
          <w:lang w:eastAsia="zh-TW"/>
        </w:rPr>
        <w:t>و</w:t>
      </w:r>
      <w:r w:rsidRPr="00EF0115">
        <w:rPr>
          <w:rFonts w:cs="Traditional Arabic"/>
          <w:szCs w:val="30"/>
          <w:rtl/>
          <w:lang w:eastAsia="zh-TW"/>
        </w:rPr>
        <w:t xml:space="preserve">يعاني الناس في بلدان لجنة مكافحة الجفاف من صعوبات في الحصول على معدات الحماية الشخصية الملائمة. ولا </w:t>
      </w:r>
      <w:r w:rsidRPr="00EF0115">
        <w:rPr>
          <w:rFonts w:cs="Traditional Arabic" w:hint="cs"/>
          <w:szCs w:val="30"/>
          <w:rtl/>
          <w:lang w:eastAsia="zh-TW"/>
        </w:rPr>
        <w:t>ي</w:t>
      </w:r>
      <w:r w:rsidRPr="00EF0115">
        <w:rPr>
          <w:rFonts w:cs="Traditional Arabic"/>
          <w:szCs w:val="30"/>
          <w:rtl/>
          <w:lang w:eastAsia="zh-TW"/>
        </w:rPr>
        <w:t xml:space="preserve">ستخدم المزارعون معدات الحماية الشخصية المناسبة </w:t>
      </w:r>
      <w:r w:rsidRPr="0021450E">
        <w:rPr>
          <w:rFonts w:asciiTheme="majorBidi" w:hAnsiTheme="majorBidi" w:cstheme="majorBidi"/>
          <w:rtl/>
          <w:lang w:eastAsia="zh-TW"/>
        </w:rPr>
        <w:t>(</w:t>
      </w:r>
      <w:proofErr w:type="spellStart"/>
      <w:r w:rsidRPr="0021450E">
        <w:rPr>
          <w:rFonts w:asciiTheme="majorBidi" w:hAnsiTheme="majorBidi" w:cstheme="majorBidi"/>
          <w:lang w:eastAsia="zh-TW"/>
        </w:rPr>
        <w:t>Gomgnimbou</w:t>
      </w:r>
      <w:proofErr w:type="spellEnd"/>
      <w:r w:rsidRPr="0021450E">
        <w:rPr>
          <w:rFonts w:asciiTheme="majorBidi" w:hAnsiTheme="majorBidi" w:cstheme="majorBidi"/>
          <w:lang w:eastAsia="zh-TW"/>
        </w:rPr>
        <w:t xml:space="preserve"> et al., 2010, </w:t>
      </w:r>
      <w:proofErr w:type="spellStart"/>
      <w:r w:rsidRPr="0021450E">
        <w:rPr>
          <w:rFonts w:asciiTheme="majorBidi" w:hAnsiTheme="majorBidi" w:cstheme="majorBidi"/>
          <w:lang w:eastAsia="zh-TW"/>
        </w:rPr>
        <w:lastRenderedPageBreak/>
        <w:t>Ouedraogo</w:t>
      </w:r>
      <w:proofErr w:type="spellEnd"/>
      <w:r w:rsidRPr="0021450E">
        <w:rPr>
          <w:rFonts w:asciiTheme="majorBidi" w:hAnsiTheme="majorBidi" w:cstheme="majorBidi"/>
          <w:lang w:eastAsia="zh-TW"/>
        </w:rPr>
        <w:t xml:space="preserve"> et al., 2009, Toe et al, 2010</w:t>
      </w:r>
      <w:r w:rsidRPr="0021450E">
        <w:rPr>
          <w:rFonts w:asciiTheme="majorBidi" w:hAnsiTheme="majorBidi" w:cstheme="majorBidi"/>
          <w:rtl/>
          <w:lang w:eastAsia="zh-TW"/>
        </w:rPr>
        <w:t>)</w:t>
      </w:r>
      <w:r w:rsidRPr="00EF0115">
        <w:rPr>
          <w:rFonts w:cs="Traditional Arabic"/>
          <w:szCs w:val="30"/>
          <w:rtl/>
          <w:lang w:eastAsia="zh-TW"/>
        </w:rPr>
        <w:t>. وتتكون معدات الحماية التي تباع للمزارعين أساسا</w:t>
      </w:r>
      <w:r>
        <w:rPr>
          <w:rFonts w:cs="Traditional Arabic" w:hint="cs"/>
          <w:szCs w:val="30"/>
          <w:rtl/>
          <w:lang w:eastAsia="zh-TW"/>
        </w:rPr>
        <w:t>ً</w:t>
      </w:r>
      <w:r w:rsidRPr="00EF0115">
        <w:rPr>
          <w:rFonts w:cs="Traditional Arabic"/>
          <w:szCs w:val="30"/>
          <w:rtl/>
          <w:lang w:eastAsia="zh-TW"/>
        </w:rPr>
        <w:t xml:space="preserve"> من الأقنعة والأحذية والقفازات، والأقنعة هي الأكثر استخداما</w:t>
      </w:r>
      <w:r>
        <w:rPr>
          <w:rFonts w:cs="Traditional Arabic" w:hint="cs"/>
          <w:szCs w:val="30"/>
          <w:rtl/>
          <w:lang w:eastAsia="zh-TW"/>
        </w:rPr>
        <w:t>ً</w:t>
      </w:r>
      <w:r w:rsidRPr="00EF0115">
        <w:rPr>
          <w:rFonts w:cs="Traditional Arabic"/>
          <w:szCs w:val="30"/>
          <w:rtl/>
          <w:lang w:eastAsia="zh-TW"/>
        </w:rPr>
        <w:t xml:space="preserve"> (يستخدمها ٤٠ في المائة من المزارعين، و٣٩ في المائة من هذه الأقنعة هي أقنعة للغبار و١ في المائة منها هي أقنعة خرطوشية مُرشِّحة)، تليها الأحذية (٢٨,٨ في المائة)، والأقل استخداماً هو الجمع بين الاثنين (٤,٥ في المائة). ويرتدي ما نسبته ١٢,٦٢ في المائة من المزارعين الأقنعة </w:t>
      </w:r>
      <w:r w:rsidRPr="00EF0115">
        <w:rPr>
          <w:rFonts w:cs="Traditional Arabic" w:hint="cs"/>
          <w:szCs w:val="30"/>
          <w:rtl/>
          <w:lang w:eastAsia="zh-TW"/>
        </w:rPr>
        <w:t>و</w:t>
      </w:r>
      <w:r w:rsidRPr="00EF0115">
        <w:rPr>
          <w:rFonts w:cs="Traditional Arabic"/>
          <w:szCs w:val="30"/>
          <w:rtl/>
          <w:lang w:eastAsia="zh-TW"/>
        </w:rPr>
        <w:t>الأحذية معاً، بينما يرتدي ما نسبته ٠,٩٣ فقط منهم قفازات وأحذية وبدل</w:t>
      </w:r>
      <w:r w:rsidRPr="00EF0115">
        <w:rPr>
          <w:rFonts w:cs="Traditional Arabic" w:hint="cs"/>
          <w:szCs w:val="30"/>
          <w:rtl/>
          <w:lang w:eastAsia="zh-TW"/>
        </w:rPr>
        <w:t>ات</w:t>
      </w:r>
      <w:r w:rsidRPr="00EF0115">
        <w:rPr>
          <w:rFonts w:cs="Traditional Arabic"/>
          <w:szCs w:val="30"/>
          <w:rtl/>
          <w:lang w:eastAsia="zh-TW"/>
        </w:rPr>
        <w:t xml:space="preserve"> وأقنعة ونظارات في الوقت نفسه. وتُرتدى الأقنعة الخرطوشية المرشحة مع القفازات والأحذية والمعاطف الواقية والنظارات في ٠,٣١ المائة فقط من الحالات </w:t>
      </w:r>
      <w:r w:rsidRPr="0021450E">
        <w:rPr>
          <w:rFonts w:asciiTheme="majorBidi" w:hAnsiTheme="majorBidi" w:cstheme="majorBidi"/>
          <w:rtl/>
          <w:lang w:eastAsia="zh-TW"/>
        </w:rPr>
        <w:t>(</w:t>
      </w:r>
      <w:r w:rsidRPr="0021450E">
        <w:rPr>
          <w:rFonts w:asciiTheme="majorBidi" w:hAnsiTheme="majorBidi" w:cstheme="majorBidi"/>
          <w:lang w:eastAsia="zh-TW"/>
        </w:rPr>
        <w:t>Toe, 2010</w:t>
      </w:r>
      <w:r w:rsidRPr="0021450E">
        <w:rPr>
          <w:rFonts w:asciiTheme="majorBidi" w:hAnsiTheme="majorBidi" w:cstheme="majorBidi"/>
          <w:rtl/>
          <w:lang w:eastAsia="zh-TW"/>
        </w:rPr>
        <w:t>)</w:t>
      </w:r>
      <w:r w:rsidRPr="00EF0115">
        <w:rPr>
          <w:rFonts w:cs="Traditional Arabic"/>
          <w:szCs w:val="30"/>
          <w:rtl/>
          <w:lang w:eastAsia="zh-TW"/>
        </w:rPr>
        <w:t>. وي</w:t>
      </w:r>
      <w:r w:rsidRPr="00EF0115">
        <w:rPr>
          <w:rFonts w:cs="Traditional Arabic" w:hint="cs"/>
          <w:szCs w:val="30"/>
          <w:rtl/>
          <w:lang w:eastAsia="zh-TW"/>
        </w:rPr>
        <w:t>نبغي</w:t>
      </w:r>
      <w:r w:rsidRPr="00EF0115">
        <w:rPr>
          <w:rFonts w:cs="Traditional Arabic"/>
          <w:szCs w:val="30"/>
          <w:rtl/>
          <w:lang w:eastAsia="zh-TW"/>
        </w:rPr>
        <w:t xml:space="preserve"> ألا يُسمح للأشخاص الذين لا يستخدمون معدات الحماية الشخصية الملائمة بإجراء المعالجات التي تتطلب الحماية الكاملة للمشغلين (كما هو الحال عند استخدام التركيبات القائمة على الأسيتوكلور).</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وأبلِغ في الإخطار والوثائق الداعمة عن المخاطر التالية على البيئة</w:t>
      </w:r>
      <w:r>
        <w:rPr>
          <w:rFonts w:cs="Traditional Arabic" w:hint="cs"/>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تتوقع دراسة النمذجة التي أجراها ويدراوغو وآخرون (2012) أن تكون لدى الأسيتوكلور قدرة عالية جداً على تلويث المياه السطحية في حال استخدامه في إنتاج قصب السكر في بوركينا فاسو بمعدلات قدرها ٣,٥٤ كم من ال</w:t>
      </w:r>
      <w:r w:rsidRPr="00EF0115">
        <w:rPr>
          <w:rFonts w:cs="Traditional Arabic" w:hint="cs"/>
          <w:szCs w:val="30"/>
          <w:rtl/>
          <w:lang w:eastAsia="zh-TW"/>
        </w:rPr>
        <w:t>مكون</w:t>
      </w:r>
      <w:r w:rsidRPr="00EF0115">
        <w:rPr>
          <w:rFonts w:cs="Traditional Arabic" w:hint="cs"/>
          <w:szCs w:val="30"/>
          <w:lang w:eastAsia="zh-TW"/>
        </w:rPr>
        <w:t xml:space="preserve"> </w:t>
      </w:r>
      <w:r w:rsidRPr="00EF0115">
        <w:rPr>
          <w:rFonts w:cs="Traditional Arabic" w:hint="cs"/>
          <w:szCs w:val="30"/>
          <w:rtl/>
          <w:lang w:eastAsia="zh-TW"/>
        </w:rPr>
        <w:t xml:space="preserve">النشط لكل </w:t>
      </w:r>
      <w:r w:rsidRPr="00EF0115">
        <w:rPr>
          <w:rFonts w:cs="Traditional Arabic"/>
          <w:szCs w:val="30"/>
          <w:rtl/>
          <w:lang w:eastAsia="zh-TW"/>
        </w:rPr>
        <w:t>هكتار.</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وفي دراسة أجريت لقياس تركيزات مبيدات الآفات في بحيرتين في بوركينا فاسو سُجلت تركيزات للأسيتوكلور تصل إلى 53,1 ميكروغ</w:t>
      </w:r>
      <w:r w:rsidRPr="00EF0115">
        <w:rPr>
          <w:rFonts w:cs="Traditional Arabic" w:hint="cs"/>
          <w:szCs w:val="30"/>
          <w:rtl/>
          <w:lang w:eastAsia="zh-TW"/>
        </w:rPr>
        <w:t>را</w:t>
      </w:r>
      <w:r w:rsidRPr="00EF0115">
        <w:rPr>
          <w:rFonts w:cs="Traditional Arabic"/>
          <w:szCs w:val="30"/>
          <w:rtl/>
          <w:lang w:eastAsia="zh-TW"/>
        </w:rPr>
        <w:t xml:space="preserve">م/ل </w:t>
      </w:r>
      <w:r w:rsidRPr="0021450E">
        <w:rPr>
          <w:rFonts w:asciiTheme="majorBidi" w:hAnsiTheme="majorBidi" w:cstheme="majorBidi"/>
          <w:rtl/>
          <w:lang w:eastAsia="zh-TW"/>
        </w:rPr>
        <w:t>(</w:t>
      </w:r>
      <w:proofErr w:type="spellStart"/>
      <w:r w:rsidRPr="0021450E">
        <w:rPr>
          <w:rFonts w:asciiTheme="majorBidi" w:hAnsiTheme="majorBidi" w:cstheme="majorBidi"/>
          <w:lang w:eastAsia="zh-TW"/>
        </w:rPr>
        <w:t>Soleri</w:t>
      </w:r>
      <w:proofErr w:type="spellEnd"/>
      <w:r w:rsidRPr="0021450E">
        <w:rPr>
          <w:rFonts w:asciiTheme="majorBidi" w:hAnsiTheme="majorBidi" w:cstheme="majorBidi"/>
          <w:lang w:eastAsia="zh-TW"/>
        </w:rPr>
        <w:t>, 2013</w:t>
      </w:r>
      <w:r w:rsidRPr="0021450E">
        <w:rPr>
          <w:rFonts w:asciiTheme="majorBidi" w:hAnsiTheme="majorBidi" w:cstheme="majorBidi"/>
          <w:rtl/>
          <w:lang w:eastAsia="zh-TW"/>
        </w:rPr>
        <w:t>)</w:t>
      </w:r>
      <w:r w:rsidRPr="00EF0115">
        <w:rPr>
          <w:rFonts w:cs="Traditional Arabic"/>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ويمكن أن يؤدي تلوث المياه الجوفية والمياه السطحية في بلدان لجنة مكافحة الجفاف </w:t>
      </w:r>
      <w:r w:rsidRPr="00EF0115">
        <w:rPr>
          <w:rFonts w:cs="Traditional Arabic" w:hint="cs"/>
          <w:szCs w:val="30"/>
          <w:rtl/>
          <w:lang w:eastAsia="zh-TW"/>
        </w:rPr>
        <w:t xml:space="preserve">إلى </w:t>
      </w:r>
      <w:r w:rsidRPr="00EF0115">
        <w:rPr>
          <w:rFonts w:cs="Traditional Arabic"/>
          <w:szCs w:val="30"/>
          <w:rtl/>
          <w:lang w:eastAsia="zh-TW"/>
        </w:rPr>
        <w:t xml:space="preserve">مخاطر </w:t>
      </w:r>
      <w:r w:rsidRPr="00EF0115">
        <w:rPr>
          <w:rFonts w:cs="Traditional Arabic" w:hint="cs"/>
          <w:szCs w:val="30"/>
          <w:rtl/>
          <w:lang w:eastAsia="zh-TW"/>
        </w:rPr>
        <w:t>شديدة</w:t>
      </w:r>
      <w:r w:rsidRPr="00EF0115">
        <w:rPr>
          <w:rFonts w:cs="Traditional Arabic"/>
          <w:szCs w:val="30"/>
          <w:rtl/>
          <w:lang w:eastAsia="zh-TW"/>
        </w:rPr>
        <w:t xml:space="preserve"> على المدى القصير للطيور التي تشرب المياه الملوثة بعد المعالجة بالمبيد عقب الإنبات.</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وعلاوة</w:t>
      </w:r>
      <w:r w:rsidRPr="00EF0115">
        <w:rPr>
          <w:rFonts w:cs="Traditional Arabic" w:hint="cs"/>
          <w:szCs w:val="30"/>
          <w:rtl/>
          <w:lang w:eastAsia="zh-TW"/>
        </w:rPr>
        <w:t>ً</w:t>
      </w:r>
      <w:r w:rsidRPr="00EF0115">
        <w:rPr>
          <w:rFonts w:cs="Traditional Arabic"/>
          <w:szCs w:val="30"/>
          <w:rtl/>
          <w:lang w:eastAsia="zh-TW"/>
        </w:rPr>
        <w:t xml:space="preserve"> على ذلك أبلِغ عن مخاطر </w:t>
      </w:r>
      <w:r w:rsidRPr="00EF0115">
        <w:rPr>
          <w:rFonts w:cs="Traditional Arabic" w:hint="cs"/>
          <w:szCs w:val="30"/>
          <w:rtl/>
          <w:lang w:eastAsia="zh-TW"/>
        </w:rPr>
        <w:t>شديدة</w:t>
      </w:r>
      <w:r w:rsidRPr="00EF0115">
        <w:rPr>
          <w:rFonts w:cs="Traditional Arabic"/>
          <w:szCs w:val="30"/>
          <w:rtl/>
          <w:lang w:eastAsia="zh-TW"/>
        </w:rPr>
        <w:t xml:space="preserve"> محتملة على النباتات البرية غير المستهدفة ومخاطر </w:t>
      </w:r>
      <w:r w:rsidRPr="00EF0115">
        <w:rPr>
          <w:rFonts w:cs="Traditional Arabic" w:hint="cs"/>
          <w:szCs w:val="30"/>
          <w:rtl/>
          <w:lang w:eastAsia="zh-TW"/>
        </w:rPr>
        <w:t>شديد</w:t>
      </w:r>
      <w:r w:rsidRPr="00EF0115">
        <w:rPr>
          <w:rFonts w:cs="Traditional Arabic"/>
          <w:szCs w:val="30"/>
          <w:rtl/>
          <w:lang w:eastAsia="zh-TW"/>
        </w:rPr>
        <w:t>ة طويلة الأجل على الطيور العاشبة.</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ويبين الإخطار حقيقة أن الإجراء التنظيمي النهائي يحظر </w:t>
      </w:r>
      <w:r w:rsidRPr="00EF0115">
        <w:rPr>
          <w:rFonts w:cs="Traditional Arabic" w:hint="cs"/>
          <w:szCs w:val="30"/>
          <w:rtl/>
          <w:lang w:eastAsia="zh-TW"/>
        </w:rPr>
        <w:t>جميع</w:t>
      </w:r>
      <w:r w:rsidRPr="00EF0115">
        <w:rPr>
          <w:rFonts w:cs="Traditional Arabic"/>
          <w:szCs w:val="30"/>
          <w:rtl/>
          <w:lang w:eastAsia="zh-TW"/>
        </w:rPr>
        <w:t xml:space="preserve"> استخدامات تركيبات مبيدات الآفات المحتوية على الأسيتوكلور بعد 20 آذار/مارس 2017، ولذلك فإن من المتوقَّع أن يفضي إلى انخفاض كبير في كمية المادة الكيميائية المستعملة، مما ينتج عنه انخفاض كبير في المخاطر على صحة ال</w:t>
      </w:r>
      <w:r w:rsidRPr="00EF0115">
        <w:rPr>
          <w:rFonts w:cs="Traditional Arabic" w:hint="cs"/>
          <w:szCs w:val="30"/>
          <w:rtl/>
          <w:lang w:eastAsia="zh-TW"/>
        </w:rPr>
        <w:t>بشر</w:t>
      </w:r>
      <w:r w:rsidRPr="00EF0115">
        <w:rPr>
          <w:rFonts w:cs="Traditional Arabic"/>
          <w:szCs w:val="30"/>
          <w:rtl/>
          <w:lang w:eastAsia="zh-TW"/>
        </w:rPr>
        <w:t xml:space="preserve"> والبيئة.</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hint="cs"/>
          <w:szCs w:val="30"/>
          <w:rtl/>
          <w:lang w:eastAsia="zh-TW"/>
        </w:rPr>
        <w:t>و</w:t>
      </w:r>
      <w:r w:rsidRPr="00EF0115">
        <w:rPr>
          <w:rFonts w:cs="Traditional Arabic"/>
          <w:szCs w:val="30"/>
          <w:rtl/>
          <w:lang w:eastAsia="zh-TW"/>
        </w:rPr>
        <w:t>تؤكد اللجنة أن المعيار الوارد في الفقرة (أ) قد استوفي.</w:t>
      </w:r>
    </w:p>
    <w:p w:rsidR="00412193" w:rsidRPr="0085112A"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r w:rsidRPr="0085112A">
        <w:rPr>
          <w:rFonts w:cs="Traditional Arabic"/>
          <w:bCs/>
          <w:sz w:val="30"/>
          <w:szCs w:val="30"/>
          <w:rtl/>
          <w:lang w:eastAsia="zh-TW"/>
        </w:rPr>
        <w:t>(ج)</w:t>
      </w:r>
      <w:r w:rsidRPr="0085112A">
        <w:rPr>
          <w:rFonts w:cs="Traditional Arabic"/>
          <w:bCs/>
          <w:sz w:val="30"/>
          <w:szCs w:val="30"/>
          <w:rtl/>
          <w:lang w:eastAsia="zh-TW"/>
        </w:rPr>
        <w:tab/>
        <w:t>المعايير الواردة في الفقرة (ب) من المرفق الثاني</w:t>
      </w:r>
    </w:p>
    <w:p w:rsidR="00412193" w:rsidRPr="0021450E" w:rsidRDefault="00412193" w:rsidP="00412193">
      <w:pPr>
        <w:pStyle w:val="Normalnumber"/>
        <w:numPr>
          <w:ilvl w:val="0"/>
          <w:numId w:val="0"/>
        </w:numPr>
        <w:tabs>
          <w:tab w:val="clear" w:pos="624"/>
          <w:tab w:val="left" w:pos="2408"/>
        </w:tabs>
        <w:bidi/>
        <w:spacing w:after="0" w:line="400" w:lineRule="exact"/>
        <w:ind w:left="1134" w:firstLine="709"/>
        <w:jc w:val="both"/>
        <w:textDirection w:val="tbRlV"/>
        <w:rPr>
          <w:rFonts w:cs="Traditional Arabic"/>
          <w:szCs w:val="30"/>
          <w:rtl/>
          <w:lang w:eastAsia="zh-TW"/>
        </w:rPr>
      </w:pPr>
      <w:r w:rsidRPr="0021450E">
        <w:rPr>
          <w:rFonts w:cs="Traditional Arabic"/>
          <w:i/>
          <w:iCs/>
          <w:szCs w:val="30"/>
          <w:rtl/>
          <w:lang w:eastAsia="zh-TW"/>
        </w:rPr>
        <w:t>(ب)</w:t>
      </w:r>
      <w:r w:rsidRPr="0021450E">
        <w:rPr>
          <w:rFonts w:cs="Traditional Arabic"/>
          <w:i/>
          <w:iCs/>
          <w:szCs w:val="30"/>
          <w:rtl/>
          <w:lang w:eastAsia="zh-TW"/>
        </w:rPr>
        <w:tab/>
        <w:t>التأكُّد من أن الإجراء التنظيمي النهائي قد اتخذ نتيجة</w:t>
      </w:r>
      <w:r w:rsidRPr="0021450E">
        <w:rPr>
          <w:rFonts w:cs="Traditional Arabic" w:hint="cs"/>
          <w:i/>
          <w:iCs/>
          <w:szCs w:val="30"/>
          <w:rtl/>
          <w:lang w:eastAsia="zh-TW"/>
        </w:rPr>
        <w:t>ً</w:t>
      </w:r>
      <w:r w:rsidRPr="0021450E">
        <w:rPr>
          <w:rFonts w:cs="Traditional Arabic"/>
          <w:i/>
          <w:iCs/>
          <w:szCs w:val="30"/>
          <w:rtl/>
          <w:lang w:eastAsia="zh-TW"/>
        </w:rPr>
        <w:t xml:space="preserve"> لتقييم المخاطر. وأن هذا التقييم يستند إلى استعراض للبيانات العلمية في سياق الظروف السائدة في الطرف المعني. ولهذا الغرض، تبيّن الوثائق المقدّمة ما يلي:</w:t>
      </w:r>
    </w:p>
    <w:p w:rsidR="00412193" w:rsidRPr="0021450E" w:rsidRDefault="00412193" w:rsidP="00412193">
      <w:pPr>
        <w:pStyle w:val="Normalnumber"/>
        <w:numPr>
          <w:ilvl w:val="0"/>
          <w:numId w:val="0"/>
        </w:numPr>
        <w:tabs>
          <w:tab w:val="clear" w:pos="624"/>
        </w:tabs>
        <w:bidi/>
        <w:spacing w:line="400" w:lineRule="exact"/>
        <w:ind w:left="2975" w:hanging="567"/>
        <w:jc w:val="both"/>
        <w:textDirection w:val="tbRlV"/>
        <w:rPr>
          <w:rFonts w:cs="Traditional Arabic"/>
          <w:szCs w:val="30"/>
          <w:rtl/>
          <w:lang w:eastAsia="zh-TW"/>
        </w:rPr>
      </w:pPr>
      <w:r w:rsidRPr="0021450E">
        <w:rPr>
          <w:rFonts w:cs="Traditional Arabic"/>
          <w:i/>
          <w:iCs/>
          <w:szCs w:val="30"/>
          <w:rtl/>
          <w:lang w:eastAsia="zh-TW"/>
        </w:rPr>
        <w:t>’1</w:t>
      </w:r>
      <w:r>
        <w:rPr>
          <w:rFonts w:cs="Traditional Arabic" w:hint="cs"/>
          <w:i/>
          <w:iCs/>
          <w:szCs w:val="30"/>
          <w:rtl/>
          <w:lang w:eastAsia="zh-TW"/>
        </w:rPr>
        <w:t>‘</w:t>
      </w:r>
      <w:r>
        <w:rPr>
          <w:rFonts w:cs="Traditional Arabic"/>
          <w:i/>
          <w:iCs/>
          <w:szCs w:val="30"/>
          <w:rtl/>
          <w:lang w:eastAsia="zh-TW"/>
        </w:rPr>
        <w:tab/>
      </w:r>
      <w:r w:rsidRPr="0021450E">
        <w:rPr>
          <w:rFonts w:cs="Traditional Arabic"/>
          <w:i/>
          <w:iCs/>
          <w:szCs w:val="30"/>
          <w:rtl/>
          <w:lang w:eastAsia="zh-TW"/>
        </w:rPr>
        <w:t>استُخلصت البيانات وفقاً للطرق المتعارف عليها علمياً؛</w:t>
      </w:r>
    </w:p>
    <w:p w:rsidR="00412193" w:rsidRPr="0021450E" w:rsidRDefault="00412193" w:rsidP="00412193">
      <w:pPr>
        <w:pStyle w:val="Normalnumber"/>
        <w:numPr>
          <w:ilvl w:val="0"/>
          <w:numId w:val="0"/>
        </w:numPr>
        <w:tabs>
          <w:tab w:val="clear" w:pos="624"/>
        </w:tabs>
        <w:bidi/>
        <w:spacing w:line="400" w:lineRule="exact"/>
        <w:ind w:left="2975" w:hanging="567"/>
        <w:jc w:val="both"/>
        <w:textDirection w:val="tbRlV"/>
        <w:rPr>
          <w:rFonts w:cs="Traditional Arabic"/>
          <w:szCs w:val="30"/>
          <w:rtl/>
          <w:lang w:eastAsia="zh-TW"/>
        </w:rPr>
      </w:pPr>
      <w:r w:rsidRPr="0021450E">
        <w:rPr>
          <w:rFonts w:cs="Traditional Arabic"/>
          <w:i/>
          <w:iCs/>
          <w:szCs w:val="30"/>
          <w:rtl/>
          <w:lang w:eastAsia="zh-TW"/>
        </w:rPr>
        <w:lastRenderedPageBreak/>
        <w:t>’2</w:t>
      </w:r>
      <w:r>
        <w:rPr>
          <w:rFonts w:cs="Traditional Arabic" w:hint="cs"/>
          <w:i/>
          <w:iCs/>
          <w:szCs w:val="30"/>
          <w:rtl/>
          <w:lang w:eastAsia="zh-TW"/>
        </w:rPr>
        <w:t>‘</w:t>
      </w:r>
      <w:r>
        <w:rPr>
          <w:rFonts w:cs="Traditional Arabic"/>
          <w:i/>
          <w:iCs/>
          <w:szCs w:val="30"/>
          <w:rtl/>
          <w:lang w:eastAsia="zh-TW"/>
        </w:rPr>
        <w:tab/>
      </w:r>
      <w:r w:rsidRPr="0021450E">
        <w:rPr>
          <w:rFonts w:cs="Traditional Arabic"/>
          <w:i/>
          <w:iCs/>
          <w:szCs w:val="30"/>
          <w:rtl/>
          <w:lang w:eastAsia="zh-TW"/>
        </w:rPr>
        <w:t>استُعرضت البيانات ووُثِّقت هذه الاستعراضات وفقاً للمبادئ والإجراءات العلمية المتعارف عليها بصورة عامة؛</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وَضعت الإخطارات الواردة من بلدان لجنة مكافحة الجفاف في منطقة الساحل في الاعتبار المعلومات العلمية الواردة من مختلف المصادر. وقد أشير في مرفق المقرر الذي حُظر بموجبه استخدام الأسيتوكلور إلى العديد من التقارير الوطنية، </w:t>
      </w:r>
      <w:r>
        <w:rPr>
          <w:rFonts w:cs="Traditional Arabic"/>
          <w:szCs w:val="30"/>
          <w:rtl/>
          <w:lang w:eastAsia="zh-TW"/>
        </w:rPr>
        <w:t>فضلاً</w:t>
      </w:r>
      <w:r w:rsidRPr="00EF0115">
        <w:rPr>
          <w:rFonts w:cs="Traditional Arabic"/>
          <w:szCs w:val="30"/>
          <w:rtl/>
          <w:lang w:eastAsia="zh-TW"/>
        </w:rPr>
        <w:t xml:space="preserve"> عن تقارير من وكالة حماية البيئة في الولايات المتحدة والهيئة الأوروبية لسلامة الأغذية ومنشورات نُشرت في يوميات خاض</w:t>
      </w:r>
      <w:r w:rsidRPr="00EF0115">
        <w:rPr>
          <w:rFonts w:cs="Traditional Arabic" w:hint="cs"/>
          <w:szCs w:val="30"/>
          <w:rtl/>
          <w:lang w:eastAsia="zh-TW"/>
        </w:rPr>
        <w:t>ع</w:t>
      </w:r>
      <w:r w:rsidRPr="00EF0115">
        <w:rPr>
          <w:rFonts w:cs="Traditional Arabic"/>
          <w:szCs w:val="30"/>
          <w:rtl/>
          <w:lang w:eastAsia="zh-TW"/>
        </w:rPr>
        <w:t>ة لاستعراض النظراء.</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وتستنتج اللجنة أن البيانات الواردة في الوثائق الداعمة التي قدمتها بلدان لجنة مكافحة الجفاف في منطقة الساحل استخلصت وفقاً للطرق المتعارف عليها علمياً، وأن استعراضات البيانات قد أجريت وتم توثيقها وفقاً للمبادئ والإجراءات العلمية المتعارَف عليها بصورة عامة.</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وعليه فإن اللجنة تؤكد أن المعيارين الواردين في الفقرتين (ب) ’1‘ و’2‘ قد است</w:t>
      </w:r>
      <w:r w:rsidRPr="00EF0115">
        <w:rPr>
          <w:rFonts w:cs="Traditional Arabic" w:hint="cs"/>
          <w:szCs w:val="30"/>
          <w:rtl/>
          <w:lang w:eastAsia="zh-TW"/>
        </w:rPr>
        <w:t>ُ</w:t>
      </w:r>
      <w:r w:rsidRPr="00EF0115">
        <w:rPr>
          <w:rFonts w:cs="Traditional Arabic"/>
          <w:szCs w:val="30"/>
          <w:rtl/>
          <w:lang w:eastAsia="zh-TW"/>
        </w:rPr>
        <w:t>وفي</w:t>
      </w:r>
      <w:r w:rsidRPr="00EF0115">
        <w:rPr>
          <w:rFonts w:cs="Traditional Arabic" w:hint="cs"/>
          <w:szCs w:val="30"/>
          <w:rtl/>
          <w:lang w:eastAsia="zh-TW"/>
        </w:rPr>
        <w:t>ا</w:t>
      </w:r>
      <w:r w:rsidRPr="00EF0115">
        <w:rPr>
          <w:rFonts w:cs="Traditional Arabic"/>
          <w:szCs w:val="30"/>
          <w:rtl/>
          <w:lang w:eastAsia="zh-TW"/>
        </w:rPr>
        <w:t>.</w:t>
      </w:r>
    </w:p>
    <w:p w:rsidR="00412193" w:rsidRPr="0021450E" w:rsidRDefault="00412193" w:rsidP="00412193">
      <w:pPr>
        <w:pStyle w:val="Normalnumber"/>
        <w:numPr>
          <w:ilvl w:val="0"/>
          <w:numId w:val="0"/>
        </w:numPr>
        <w:tabs>
          <w:tab w:val="clear" w:pos="624"/>
        </w:tabs>
        <w:bidi/>
        <w:spacing w:line="400" w:lineRule="exact"/>
        <w:ind w:left="2975" w:hanging="567"/>
        <w:jc w:val="both"/>
        <w:textDirection w:val="tbRlV"/>
        <w:rPr>
          <w:rFonts w:cs="Traditional Arabic"/>
          <w:i/>
          <w:iCs/>
          <w:szCs w:val="30"/>
          <w:rtl/>
          <w:lang w:eastAsia="zh-TW"/>
        </w:rPr>
      </w:pPr>
      <w:r w:rsidRPr="0021450E">
        <w:rPr>
          <w:rFonts w:cs="Traditional Arabic"/>
          <w:i/>
          <w:iCs/>
          <w:szCs w:val="30"/>
          <w:rtl/>
          <w:lang w:eastAsia="zh-TW"/>
        </w:rPr>
        <w:t>’٣‘</w:t>
      </w:r>
      <w:r w:rsidRPr="0021450E">
        <w:rPr>
          <w:rFonts w:cs="Traditional Arabic"/>
          <w:i/>
          <w:iCs/>
          <w:szCs w:val="30"/>
          <w:rtl/>
          <w:lang w:eastAsia="zh-TW"/>
        </w:rPr>
        <w:tab/>
        <w:t>استند الإجراء التنظيمي النهائي إلى تقييم للمخاطر شمل الظروف السائدة لدى الطرف الذي اتخذ الإجراء</w:t>
      </w:r>
      <w:r>
        <w:rPr>
          <w:rFonts w:cs="Traditional Arabic" w:hint="cs"/>
          <w:i/>
          <w:iCs/>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استند الإجراء التنظيمي النهائي الذي استهدف حظر الأسيتوكلور </w:t>
      </w:r>
      <w:r w:rsidRPr="00EF0115">
        <w:rPr>
          <w:rFonts w:cs="Traditional Arabic" w:hint="cs"/>
          <w:szCs w:val="30"/>
          <w:rtl/>
          <w:lang w:eastAsia="zh-TW"/>
        </w:rPr>
        <w:t>إ</w:t>
      </w:r>
      <w:r w:rsidRPr="00EF0115">
        <w:rPr>
          <w:rFonts w:cs="Traditional Arabic"/>
          <w:szCs w:val="30"/>
          <w:rtl/>
          <w:lang w:eastAsia="zh-TW"/>
        </w:rPr>
        <w:t>لى تقييم للمخاطر. ووجدت بلدان لجنة مكافحة الجفاف في منطقة الساحل أن الأسيتوكلور يشكل مخاطر على صحة ال</w:t>
      </w:r>
      <w:r w:rsidRPr="00EF0115">
        <w:rPr>
          <w:rFonts w:cs="Traditional Arabic" w:hint="cs"/>
          <w:szCs w:val="30"/>
          <w:rtl/>
          <w:lang w:eastAsia="zh-TW"/>
        </w:rPr>
        <w:t>بشر</w:t>
      </w:r>
      <w:r w:rsidRPr="00EF0115">
        <w:rPr>
          <w:rFonts w:cs="Traditional Arabic"/>
          <w:szCs w:val="30"/>
          <w:rtl/>
          <w:lang w:eastAsia="zh-TW"/>
        </w:rPr>
        <w:t xml:space="preserve"> والبيئة</w:t>
      </w:r>
      <w:r w:rsidRPr="00EF0115">
        <w:rPr>
          <w:rFonts w:cs="Traditional Arabic" w:hint="cs"/>
          <w:szCs w:val="30"/>
          <w:rtl/>
          <w:lang w:eastAsia="zh-TW"/>
        </w:rPr>
        <w:t>،</w:t>
      </w:r>
      <w:r w:rsidRPr="00EF0115">
        <w:rPr>
          <w:rFonts w:cs="Traditional Arabic"/>
          <w:szCs w:val="30"/>
          <w:rtl/>
          <w:lang w:eastAsia="zh-TW"/>
        </w:rPr>
        <w:t xml:space="preserve"> مما يسبب صعوبات كبيرة للمستخدمين في بلدان اللجنة عند استخدام الأسيتوكلور دون التعرض لمخاطر غير مقبولة. </w:t>
      </w:r>
      <w:r w:rsidRPr="00EF0115">
        <w:rPr>
          <w:rFonts w:cs="Traditional Arabic" w:hint="cs"/>
          <w:szCs w:val="30"/>
          <w:rtl/>
          <w:lang w:eastAsia="zh-TW"/>
        </w:rPr>
        <w:t>وكذلك ف</w:t>
      </w:r>
      <w:r w:rsidRPr="00EF0115">
        <w:rPr>
          <w:rFonts w:cs="Traditional Arabic"/>
          <w:szCs w:val="30"/>
          <w:rtl/>
          <w:lang w:eastAsia="zh-TW"/>
        </w:rPr>
        <w:t>إن المخاطر على صحة ال</w:t>
      </w:r>
      <w:r w:rsidRPr="00EF0115">
        <w:rPr>
          <w:rFonts w:cs="Traditional Arabic" w:hint="cs"/>
          <w:szCs w:val="30"/>
          <w:rtl/>
          <w:lang w:eastAsia="zh-TW"/>
        </w:rPr>
        <w:t>بشر</w:t>
      </w:r>
      <w:r w:rsidRPr="00EF0115">
        <w:rPr>
          <w:rFonts w:cs="Traditional Arabic"/>
          <w:szCs w:val="30"/>
          <w:rtl/>
          <w:lang w:eastAsia="zh-TW"/>
        </w:rPr>
        <w:t xml:space="preserve"> (بسبب تلوث المياه الجوفية والمياه السطحية، وكلاهما يستخدم كمياه شرب)، والمشغلين (بسبب عدم وجود تدابير كافية للحماية الشخصية) والبيئة (بسبب الخصائص </w:t>
      </w:r>
      <w:r w:rsidRPr="00EF0115">
        <w:rPr>
          <w:rFonts w:cs="Traditional Arabic" w:hint="cs"/>
          <w:szCs w:val="30"/>
          <w:rtl/>
          <w:lang w:eastAsia="zh-TW"/>
        </w:rPr>
        <w:t>الأساسية</w:t>
      </w:r>
      <w:r w:rsidRPr="00EF0115">
        <w:rPr>
          <w:rFonts w:cs="Traditional Arabic"/>
          <w:szCs w:val="30"/>
          <w:rtl/>
          <w:lang w:eastAsia="zh-TW"/>
        </w:rPr>
        <w:t xml:space="preserve"> للمادة، ومخاطر تلوث المياه والظروف المحددة في منطقة الساحل)، تجعل من الصعب جدا</w:t>
      </w:r>
      <w:r>
        <w:rPr>
          <w:rFonts w:cs="Traditional Arabic" w:hint="cs"/>
          <w:szCs w:val="30"/>
          <w:rtl/>
          <w:lang w:eastAsia="zh-TW"/>
        </w:rPr>
        <w:t>ً</w:t>
      </w:r>
      <w:r w:rsidRPr="00EF0115">
        <w:rPr>
          <w:rFonts w:cs="Traditional Arabic"/>
          <w:szCs w:val="30"/>
          <w:rtl/>
          <w:lang w:eastAsia="zh-TW"/>
        </w:rPr>
        <w:t xml:space="preserve"> استخدام الأسيتوكلور بأمان.</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w:t>
      </w:r>
      <w:r w:rsidRPr="00EF0115">
        <w:rPr>
          <w:rFonts w:cs="Traditional Arabic" w:hint="cs"/>
          <w:szCs w:val="30"/>
          <w:rtl/>
          <w:lang w:eastAsia="zh-TW"/>
        </w:rPr>
        <w:t xml:space="preserve">قد </w:t>
      </w:r>
      <w:r w:rsidRPr="00EF0115">
        <w:rPr>
          <w:rFonts w:cs="Traditional Arabic"/>
          <w:szCs w:val="30"/>
          <w:rtl/>
          <w:lang w:eastAsia="zh-TW"/>
        </w:rPr>
        <w:t xml:space="preserve">أخذ تقييم المخاطر في الاعتبار الظروف السائدة في الأطراف </w:t>
      </w:r>
      <w:r w:rsidRPr="00EF0115">
        <w:rPr>
          <w:rFonts w:cs="Traditional Arabic" w:hint="cs"/>
          <w:szCs w:val="30"/>
          <w:rtl/>
          <w:lang w:eastAsia="zh-TW"/>
        </w:rPr>
        <w:t>المقدمة للإخطار</w:t>
      </w:r>
      <w:r w:rsidRPr="00EF0115">
        <w:rPr>
          <w:rFonts w:cs="Traditional Arabic"/>
          <w:szCs w:val="30"/>
          <w:rtl/>
          <w:lang w:eastAsia="zh-TW"/>
        </w:rPr>
        <w:t xml:space="preserve">، </w:t>
      </w:r>
      <w:r w:rsidRPr="00EF0115">
        <w:rPr>
          <w:rFonts w:cs="Traditional Arabic" w:hint="cs"/>
          <w:szCs w:val="30"/>
          <w:rtl/>
          <w:lang w:eastAsia="zh-TW"/>
        </w:rPr>
        <w:t xml:space="preserve">مثل </w:t>
      </w:r>
      <w:r w:rsidRPr="00EF0115">
        <w:rPr>
          <w:rFonts w:cs="Traditional Arabic"/>
          <w:szCs w:val="30"/>
          <w:rtl/>
          <w:lang w:eastAsia="zh-TW"/>
        </w:rPr>
        <w:t xml:space="preserve">ظروف استخدام المادة، وتوفر معدات الحماية الشخصية، والظروف البيئية الإقليمية. </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w:t>
      </w:r>
      <w:r w:rsidRPr="00EF0115">
        <w:rPr>
          <w:rFonts w:cs="Traditional Arabic" w:hint="cs"/>
          <w:szCs w:val="30"/>
          <w:rtl/>
          <w:lang w:eastAsia="zh-TW"/>
        </w:rPr>
        <w:t>من ثم</w:t>
      </w:r>
      <w:r w:rsidRPr="00EF0115">
        <w:rPr>
          <w:rFonts w:cs="Traditional Arabic"/>
          <w:szCs w:val="30"/>
          <w:rtl/>
          <w:lang w:eastAsia="zh-TW"/>
        </w:rPr>
        <w:t xml:space="preserve"> تؤكد اللجنة أن المعيار الوارد في الفقرة (ب) ’3‘ قد است</w:t>
      </w:r>
      <w:r w:rsidRPr="00EF0115">
        <w:rPr>
          <w:rFonts w:cs="Traditional Arabic" w:hint="cs"/>
          <w:szCs w:val="30"/>
          <w:rtl/>
          <w:lang w:eastAsia="zh-TW"/>
        </w:rPr>
        <w:t>ُ</w:t>
      </w:r>
      <w:r w:rsidRPr="00EF0115">
        <w:rPr>
          <w:rFonts w:cs="Traditional Arabic"/>
          <w:szCs w:val="30"/>
          <w:rtl/>
          <w:lang w:eastAsia="zh-TW"/>
        </w:rPr>
        <w:t>وفي.</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وتؤكّد اللجنة أن المعايير الواردة في الفقرة (ب) قد استوفيت.</w:t>
      </w:r>
    </w:p>
    <w:p w:rsidR="00412193" w:rsidRPr="0085112A" w:rsidRDefault="00412193" w:rsidP="00412193">
      <w:pPr>
        <w:pStyle w:val="CH1"/>
        <w:tabs>
          <w:tab w:val="clear" w:pos="851"/>
          <w:tab w:val="clear" w:pos="1247"/>
          <w:tab w:val="clear" w:pos="1814"/>
          <w:tab w:val="clear" w:pos="2381"/>
          <w:tab w:val="clear" w:pos="2948"/>
          <w:tab w:val="clear" w:pos="3515"/>
          <w:tab w:val="clear" w:pos="4082"/>
          <w:tab w:val="left" w:pos="1841"/>
        </w:tabs>
        <w:bidi/>
        <w:spacing w:before="0" w:line="400" w:lineRule="exact"/>
        <w:ind w:left="1134" w:right="0" w:hanging="852"/>
        <w:jc w:val="both"/>
        <w:textDirection w:val="tbRlV"/>
        <w:rPr>
          <w:rFonts w:cs="Traditional Arabic"/>
          <w:bCs/>
          <w:sz w:val="30"/>
          <w:szCs w:val="30"/>
          <w:rtl/>
          <w:lang w:eastAsia="zh-TW"/>
        </w:rPr>
      </w:pPr>
      <w:r w:rsidRPr="0085112A">
        <w:rPr>
          <w:rFonts w:cs="Traditional Arabic"/>
          <w:bCs/>
          <w:sz w:val="30"/>
          <w:szCs w:val="30"/>
          <w:rtl/>
          <w:lang w:eastAsia="zh-TW"/>
        </w:rPr>
        <w:t>(د)</w:t>
      </w:r>
      <w:r w:rsidRPr="0085112A">
        <w:rPr>
          <w:rFonts w:cs="Traditional Arabic"/>
          <w:bCs/>
          <w:sz w:val="30"/>
          <w:szCs w:val="30"/>
          <w:rtl/>
          <w:lang w:eastAsia="zh-TW"/>
        </w:rPr>
        <w:tab/>
        <w:t>المعايير الواردة في الفقرة (ج) من المرفق الثاني</w:t>
      </w:r>
    </w:p>
    <w:p w:rsidR="00412193" w:rsidRPr="0049078E" w:rsidRDefault="00412193" w:rsidP="00412193">
      <w:pPr>
        <w:pStyle w:val="Normalnumber"/>
        <w:numPr>
          <w:ilvl w:val="0"/>
          <w:numId w:val="0"/>
        </w:numPr>
        <w:tabs>
          <w:tab w:val="clear" w:pos="624"/>
          <w:tab w:val="left" w:pos="2408"/>
        </w:tabs>
        <w:bidi/>
        <w:spacing w:line="400" w:lineRule="exact"/>
        <w:ind w:left="1132" w:firstLine="709"/>
        <w:jc w:val="both"/>
        <w:textDirection w:val="tbRlV"/>
        <w:rPr>
          <w:rFonts w:cs="Traditional Arabic"/>
          <w:i/>
          <w:iCs/>
          <w:szCs w:val="30"/>
          <w:rtl/>
          <w:lang w:eastAsia="zh-TW"/>
        </w:rPr>
      </w:pPr>
      <w:r w:rsidRPr="0049078E">
        <w:rPr>
          <w:rFonts w:cs="Traditional Arabic"/>
          <w:i/>
          <w:iCs/>
          <w:szCs w:val="30"/>
          <w:rtl/>
          <w:lang w:eastAsia="zh-TW"/>
        </w:rPr>
        <w:t>(ج)</w:t>
      </w:r>
      <w:r w:rsidRPr="0049078E">
        <w:rPr>
          <w:rFonts w:cs="Traditional Arabic"/>
          <w:i/>
          <w:iCs/>
          <w:szCs w:val="30"/>
          <w:rtl/>
          <w:lang w:eastAsia="zh-TW"/>
        </w:rPr>
        <w:tab/>
        <w:t xml:space="preserve">النظر فيما إذا كان الإجراء التنظيمي النهائي يوفر أساساً </w:t>
      </w:r>
      <w:r w:rsidRPr="0049078E">
        <w:rPr>
          <w:rFonts w:cs="Traditional Arabic" w:hint="cs"/>
          <w:i/>
          <w:iCs/>
          <w:szCs w:val="30"/>
          <w:rtl/>
          <w:lang w:eastAsia="zh-TW"/>
        </w:rPr>
        <w:t>عريض</w:t>
      </w:r>
      <w:r w:rsidRPr="0049078E">
        <w:rPr>
          <w:rFonts w:cs="Traditional Arabic"/>
          <w:i/>
          <w:iCs/>
          <w:szCs w:val="30"/>
          <w:rtl/>
          <w:lang w:eastAsia="zh-TW"/>
        </w:rPr>
        <w:t>اً بما يكفي لتبرير إدراج المادة الكيميائية في المرفق الثالث، وذلك بمراعاة ما يلي:</w:t>
      </w:r>
    </w:p>
    <w:p w:rsidR="00412193" w:rsidRPr="0021450E" w:rsidRDefault="00412193" w:rsidP="00412193">
      <w:pPr>
        <w:pStyle w:val="Normalnumber"/>
        <w:numPr>
          <w:ilvl w:val="0"/>
          <w:numId w:val="0"/>
        </w:numPr>
        <w:tabs>
          <w:tab w:val="clear" w:pos="624"/>
        </w:tabs>
        <w:bidi/>
        <w:spacing w:line="400" w:lineRule="exact"/>
        <w:ind w:left="2975" w:hanging="567"/>
        <w:jc w:val="both"/>
        <w:textDirection w:val="tbRlV"/>
        <w:rPr>
          <w:rFonts w:cs="Traditional Arabic"/>
          <w:i/>
          <w:iCs/>
          <w:szCs w:val="30"/>
          <w:rtl/>
          <w:lang w:eastAsia="zh-TW"/>
        </w:rPr>
      </w:pPr>
      <w:r w:rsidRPr="0021450E">
        <w:rPr>
          <w:rFonts w:cs="Traditional Arabic"/>
          <w:i/>
          <w:iCs/>
          <w:szCs w:val="30"/>
          <w:rtl/>
          <w:lang w:eastAsia="zh-TW"/>
        </w:rPr>
        <w:t>’1‘</w:t>
      </w:r>
      <w:r>
        <w:rPr>
          <w:rFonts w:cs="Traditional Arabic"/>
          <w:i/>
          <w:iCs/>
          <w:szCs w:val="30"/>
          <w:rtl/>
          <w:lang w:eastAsia="zh-TW"/>
        </w:rPr>
        <w:tab/>
      </w:r>
      <w:r w:rsidRPr="0021450E">
        <w:rPr>
          <w:rFonts w:cs="Traditional Arabic"/>
          <w:i/>
          <w:iCs/>
          <w:szCs w:val="30"/>
          <w:rtl/>
          <w:lang w:eastAsia="zh-TW"/>
        </w:rPr>
        <w:t>ما إذا كان الإجراء التنظيمي النهائي قد أدى، أو من المتوقع أن يؤدي</w:t>
      </w:r>
      <w:r w:rsidRPr="0021450E">
        <w:rPr>
          <w:rFonts w:cs="Traditional Arabic" w:hint="cs"/>
          <w:i/>
          <w:iCs/>
          <w:szCs w:val="30"/>
          <w:rtl/>
          <w:lang w:eastAsia="zh-TW"/>
        </w:rPr>
        <w:t>،</w:t>
      </w:r>
      <w:r w:rsidRPr="0021450E">
        <w:rPr>
          <w:rFonts w:cs="Traditional Arabic"/>
          <w:i/>
          <w:iCs/>
          <w:szCs w:val="30"/>
          <w:rtl/>
          <w:lang w:eastAsia="zh-TW"/>
        </w:rPr>
        <w:t xml:space="preserve"> إلى تخفيض كبير في كمية المادة الكيميائية المستخدمة، أو عدد استخداماتها؛</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lastRenderedPageBreak/>
        <w:t>حُظر استخدام الأسيتوكلور بموجب الإجراء التنظيمي النهائي الذي يحظر جميع تركيبات مبيدات الآفات المحتوية على الأسيتوكلور.</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وبما أن الإجراء التنظيمي يحظر استخدام الأسيتوكلور بوصفه مبيد آفات فإن من المتوقع أن يؤدي الإجراء التنظيمي إلى تخفيض كبير في كمية المادة الكيمائية المستخدمة.</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وعليه، فإن اللجنة تخلص إلى أن المعيار الوارد في الفقرة ج ’1‘ قد استوفي.</w:t>
      </w:r>
    </w:p>
    <w:p w:rsidR="00412193" w:rsidRPr="0021450E" w:rsidRDefault="00412193" w:rsidP="00412193">
      <w:pPr>
        <w:pStyle w:val="Normalnumber"/>
        <w:numPr>
          <w:ilvl w:val="0"/>
          <w:numId w:val="0"/>
        </w:numPr>
        <w:tabs>
          <w:tab w:val="clear" w:pos="624"/>
        </w:tabs>
        <w:bidi/>
        <w:spacing w:line="400" w:lineRule="exact"/>
        <w:ind w:left="2975" w:hanging="567"/>
        <w:jc w:val="both"/>
        <w:textDirection w:val="tbRlV"/>
        <w:rPr>
          <w:rFonts w:cs="Traditional Arabic"/>
          <w:i/>
          <w:iCs/>
          <w:szCs w:val="30"/>
          <w:rtl/>
          <w:lang w:eastAsia="zh-TW"/>
        </w:rPr>
      </w:pPr>
      <w:r w:rsidRPr="0021450E">
        <w:rPr>
          <w:rFonts w:cs="Traditional Arabic"/>
          <w:i/>
          <w:iCs/>
          <w:szCs w:val="30"/>
          <w:rtl/>
          <w:lang w:eastAsia="zh-TW"/>
        </w:rPr>
        <w:t>’2‘</w:t>
      </w:r>
      <w:r>
        <w:rPr>
          <w:rFonts w:cs="Traditional Arabic"/>
          <w:i/>
          <w:iCs/>
          <w:szCs w:val="30"/>
          <w:rtl/>
          <w:lang w:eastAsia="zh-TW"/>
        </w:rPr>
        <w:tab/>
      </w:r>
      <w:r w:rsidRPr="0021450E">
        <w:rPr>
          <w:rFonts w:cs="Traditional Arabic"/>
          <w:i/>
          <w:iCs/>
          <w:szCs w:val="30"/>
          <w:rtl/>
          <w:lang w:eastAsia="zh-TW"/>
        </w:rPr>
        <w:t xml:space="preserve">ما إذا كان الإجراء التنظيمي النهائي قد أدى إلى </w:t>
      </w:r>
      <w:r w:rsidRPr="0021450E">
        <w:rPr>
          <w:rFonts w:cs="Traditional Arabic" w:hint="cs"/>
          <w:i/>
          <w:iCs/>
          <w:szCs w:val="30"/>
          <w:rtl/>
          <w:lang w:eastAsia="zh-TW"/>
        </w:rPr>
        <w:t xml:space="preserve">خفض </w:t>
      </w:r>
      <w:r w:rsidRPr="0021450E">
        <w:rPr>
          <w:rFonts w:cs="Traditional Arabic"/>
          <w:i/>
          <w:iCs/>
          <w:szCs w:val="30"/>
          <w:rtl/>
          <w:lang w:eastAsia="zh-TW"/>
        </w:rPr>
        <w:t xml:space="preserve">فعلي للمخاطر، أو يتوقع أن يسفر عن خفض كبير </w:t>
      </w:r>
      <w:r w:rsidRPr="0021450E">
        <w:rPr>
          <w:rFonts w:cs="Traditional Arabic" w:hint="cs"/>
          <w:i/>
          <w:iCs/>
          <w:szCs w:val="30"/>
          <w:rtl/>
          <w:lang w:eastAsia="zh-TW"/>
        </w:rPr>
        <w:t>ل</w:t>
      </w:r>
      <w:r w:rsidRPr="0021450E">
        <w:rPr>
          <w:rFonts w:cs="Traditional Arabic"/>
          <w:i/>
          <w:iCs/>
          <w:szCs w:val="30"/>
          <w:rtl/>
          <w:lang w:eastAsia="zh-TW"/>
        </w:rPr>
        <w:t>لمخاطر على صحة البشر أو البيئة لدى الطرف الذي قدم الإخطار؛</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Pr>
          <w:rFonts w:cs="Traditional Arabic"/>
          <w:szCs w:val="30"/>
          <w:rtl/>
          <w:lang w:eastAsia="zh-TW"/>
        </w:rPr>
        <w:t>نظراً</w:t>
      </w:r>
      <w:r w:rsidRPr="00EF0115">
        <w:rPr>
          <w:rFonts w:cs="Traditional Arabic"/>
          <w:szCs w:val="30"/>
          <w:rtl/>
          <w:lang w:eastAsia="zh-TW"/>
        </w:rPr>
        <w:t xml:space="preserve"> لأن الإجراء التنظيمي الذي يحظر استخدام مبيدات الآفات المحتوية على الأسيتوكلور </w:t>
      </w:r>
      <w:r w:rsidRPr="00EF0115">
        <w:rPr>
          <w:rFonts w:cs="Traditional Arabic" w:hint="cs"/>
          <w:szCs w:val="30"/>
          <w:rtl/>
          <w:lang w:eastAsia="zh-TW"/>
        </w:rPr>
        <w:t xml:space="preserve">من المتوقع </w:t>
      </w:r>
      <w:r w:rsidRPr="00EF0115">
        <w:rPr>
          <w:rFonts w:cs="Traditional Arabic"/>
          <w:szCs w:val="30"/>
          <w:rtl/>
          <w:lang w:eastAsia="zh-TW"/>
        </w:rPr>
        <w:t xml:space="preserve">أن يقلل إلى حد كبير من </w:t>
      </w:r>
      <w:r w:rsidRPr="00EF0115">
        <w:rPr>
          <w:rFonts w:cs="Traditional Arabic" w:hint="cs"/>
          <w:szCs w:val="30"/>
          <w:rtl/>
          <w:lang w:eastAsia="zh-TW"/>
        </w:rPr>
        <w:t>ال</w:t>
      </w:r>
      <w:r w:rsidRPr="00EF0115">
        <w:rPr>
          <w:rFonts w:cs="Traditional Arabic"/>
          <w:szCs w:val="30"/>
          <w:rtl/>
          <w:lang w:eastAsia="zh-TW"/>
        </w:rPr>
        <w:t xml:space="preserve">كمية </w:t>
      </w:r>
      <w:r w:rsidRPr="00EF0115">
        <w:rPr>
          <w:rFonts w:cs="Traditional Arabic" w:hint="cs"/>
          <w:szCs w:val="30"/>
          <w:rtl/>
          <w:lang w:eastAsia="zh-TW"/>
        </w:rPr>
        <w:t xml:space="preserve">المستخدمة من تلك </w:t>
      </w:r>
      <w:r w:rsidRPr="00EF0115">
        <w:rPr>
          <w:rFonts w:cs="Traditional Arabic"/>
          <w:szCs w:val="30"/>
          <w:rtl/>
          <w:lang w:eastAsia="zh-TW"/>
        </w:rPr>
        <w:t xml:space="preserve">المادة الكيميائية، فإن من المتوقع </w:t>
      </w:r>
      <w:r>
        <w:rPr>
          <w:rFonts w:cs="Traditional Arabic"/>
          <w:szCs w:val="30"/>
          <w:rtl/>
          <w:lang w:eastAsia="zh-TW"/>
        </w:rPr>
        <w:t>أيضاً</w:t>
      </w:r>
      <w:r w:rsidRPr="00EF0115">
        <w:rPr>
          <w:rFonts w:cs="Traditional Arabic"/>
          <w:szCs w:val="30"/>
          <w:rtl/>
          <w:lang w:eastAsia="zh-TW"/>
        </w:rPr>
        <w:t xml:space="preserve"> أن تنخفض المخاطر على البيئة بشكل كبير.</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وعليه، فإن اللجنة تخلص إلى أن المعيار الوارد في الفقرة ج ’2‘ قد است</w:t>
      </w:r>
      <w:r w:rsidRPr="00EF0115">
        <w:rPr>
          <w:rFonts w:cs="Traditional Arabic" w:hint="cs"/>
          <w:szCs w:val="30"/>
          <w:rtl/>
          <w:lang w:eastAsia="zh-TW"/>
        </w:rPr>
        <w:t>ُ</w:t>
      </w:r>
      <w:r w:rsidRPr="00EF0115">
        <w:rPr>
          <w:rFonts w:cs="Traditional Arabic"/>
          <w:szCs w:val="30"/>
          <w:rtl/>
          <w:lang w:eastAsia="zh-TW"/>
        </w:rPr>
        <w:t>وفي.</w:t>
      </w:r>
    </w:p>
    <w:p w:rsidR="00412193" w:rsidRPr="0021450E" w:rsidRDefault="00412193" w:rsidP="00412193">
      <w:pPr>
        <w:pStyle w:val="Normalnumber"/>
        <w:numPr>
          <w:ilvl w:val="0"/>
          <w:numId w:val="0"/>
        </w:numPr>
        <w:tabs>
          <w:tab w:val="clear" w:pos="624"/>
        </w:tabs>
        <w:bidi/>
        <w:spacing w:line="400" w:lineRule="exact"/>
        <w:ind w:left="2975" w:hanging="567"/>
        <w:jc w:val="both"/>
        <w:textDirection w:val="tbRlV"/>
        <w:rPr>
          <w:rFonts w:cs="Traditional Arabic"/>
          <w:i/>
          <w:iCs/>
          <w:szCs w:val="30"/>
          <w:rtl/>
          <w:lang w:eastAsia="zh-TW"/>
        </w:rPr>
      </w:pPr>
      <w:r w:rsidRPr="0021450E">
        <w:rPr>
          <w:rFonts w:cs="Traditional Arabic"/>
          <w:i/>
          <w:iCs/>
          <w:szCs w:val="30"/>
          <w:rtl/>
          <w:lang w:eastAsia="zh-TW"/>
        </w:rPr>
        <w:t>’٣‘</w:t>
      </w:r>
      <w:r w:rsidRPr="0021450E">
        <w:rPr>
          <w:rFonts w:cs="Traditional Arabic"/>
          <w:i/>
          <w:iCs/>
          <w:szCs w:val="30"/>
          <w:rtl/>
          <w:lang w:eastAsia="zh-TW"/>
        </w:rPr>
        <w:tab/>
        <w:t>ما إذا كانت الاعتبارات التي أدت إلى اتخاذ الإجراء التنظيمي النهائي غير منطبقة سوى على منطقة جغرافية محدودة، أو على ظروف محدودة أخرى؛</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يشير الإخطار</w:t>
      </w:r>
      <w:r w:rsidRPr="00EF0115">
        <w:rPr>
          <w:rFonts w:cs="Traditional Arabic" w:hint="cs"/>
          <w:szCs w:val="30"/>
          <w:rtl/>
          <w:lang w:eastAsia="zh-TW"/>
        </w:rPr>
        <w:t xml:space="preserve"> إلى</w:t>
      </w:r>
      <w:r w:rsidRPr="00EF0115">
        <w:rPr>
          <w:rFonts w:cs="Traditional Arabic"/>
          <w:szCs w:val="30"/>
          <w:rtl/>
          <w:lang w:eastAsia="zh-TW"/>
        </w:rPr>
        <w:t xml:space="preserve"> أن استخدام مبيدات الآفات المحتوية على الأسيتوكلور قد يسبب مشاكل للصحة والبيئة مماثلة </w:t>
      </w:r>
      <w:r w:rsidRPr="00EF0115">
        <w:rPr>
          <w:rFonts w:cs="Traditional Arabic" w:hint="cs"/>
          <w:szCs w:val="30"/>
          <w:rtl/>
          <w:lang w:eastAsia="zh-TW"/>
        </w:rPr>
        <w:t xml:space="preserve">للمشاكل </w:t>
      </w:r>
      <w:r w:rsidRPr="00EF0115">
        <w:rPr>
          <w:rFonts w:cs="Traditional Arabic"/>
          <w:szCs w:val="30"/>
          <w:rtl/>
          <w:lang w:eastAsia="zh-TW"/>
        </w:rPr>
        <w:t>في بلدان أخرى. وخلصت اللجنة إلى أن هناك مشاكل مماثلة ستواجهها على الأرجح بلدان أخرى.</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وعليه، فإن اللجنة تخلص إلى أن المعيار الوارد في الفقرة ج ’3‘ قد است</w:t>
      </w:r>
      <w:r w:rsidRPr="00EF0115">
        <w:rPr>
          <w:rFonts w:cs="Traditional Arabic" w:hint="cs"/>
          <w:szCs w:val="30"/>
          <w:rtl/>
          <w:lang w:eastAsia="zh-TW"/>
        </w:rPr>
        <w:t>ُ</w:t>
      </w:r>
      <w:r w:rsidRPr="00EF0115">
        <w:rPr>
          <w:rFonts w:cs="Traditional Arabic"/>
          <w:szCs w:val="30"/>
          <w:rtl/>
          <w:lang w:eastAsia="zh-TW"/>
        </w:rPr>
        <w:t xml:space="preserve">وفي. </w:t>
      </w:r>
    </w:p>
    <w:p w:rsidR="00412193" w:rsidRPr="00F814E5" w:rsidRDefault="00412193" w:rsidP="00412193">
      <w:pPr>
        <w:pStyle w:val="Normalnumber"/>
        <w:numPr>
          <w:ilvl w:val="0"/>
          <w:numId w:val="0"/>
        </w:numPr>
        <w:tabs>
          <w:tab w:val="clear" w:pos="624"/>
        </w:tabs>
        <w:bidi/>
        <w:spacing w:line="400" w:lineRule="exact"/>
        <w:ind w:left="2975" w:hanging="567"/>
        <w:jc w:val="both"/>
        <w:textDirection w:val="tbRlV"/>
        <w:rPr>
          <w:rFonts w:cs="Traditional Arabic"/>
          <w:szCs w:val="30"/>
          <w:rtl/>
          <w:lang w:eastAsia="zh-TW"/>
        </w:rPr>
      </w:pPr>
      <w:r w:rsidRPr="0021450E">
        <w:rPr>
          <w:rFonts w:cs="Traditional Arabic"/>
          <w:i/>
          <w:iCs/>
          <w:szCs w:val="30"/>
          <w:rtl/>
          <w:lang w:eastAsia="zh-TW"/>
        </w:rPr>
        <w:t>’٤‘</w:t>
      </w:r>
      <w:r w:rsidRPr="0021450E">
        <w:rPr>
          <w:rFonts w:cs="Traditional Arabic"/>
          <w:i/>
          <w:iCs/>
          <w:szCs w:val="30"/>
          <w:rtl/>
          <w:lang w:eastAsia="zh-TW"/>
        </w:rPr>
        <w:tab/>
        <w:t>ما إذا كان هناك دليل يؤكد استمرار</w:t>
      </w:r>
      <w:r>
        <w:rPr>
          <w:rFonts w:cs="Traditional Arabic" w:hint="cs"/>
          <w:i/>
          <w:iCs/>
          <w:szCs w:val="30"/>
          <w:rtl/>
          <w:lang w:eastAsia="zh-TW"/>
        </w:rPr>
        <w:t xml:space="preserve"> </w:t>
      </w:r>
      <w:r w:rsidRPr="0021450E">
        <w:rPr>
          <w:rFonts w:cs="Traditional Arabic"/>
          <w:i/>
          <w:iCs/>
          <w:szCs w:val="30"/>
          <w:rtl/>
          <w:lang w:eastAsia="zh-TW"/>
        </w:rPr>
        <w:t>التجار</w:t>
      </w:r>
      <w:r w:rsidRPr="0021450E">
        <w:rPr>
          <w:rFonts w:cs="Traditional Arabic" w:hint="cs"/>
          <w:i/>
          <w:iCs/>
          <w:szCs w:val="30"/>
          <w:rtl/>
          <w:lang w:eastAsia="zh-TW"/>
        </w:rPr>
        <w:t>ة الدولية</w:t>
      </w:r>
      <w:r w:rsidRPr="0021450E">
        <w:rPr>
          <w:rFonts w:cs="Traditional Arabic"/>
          <w:i/>
          <w:iCs/>
          <w:szCs w:val="30"/>
          <w:rtl/>
          <w:lang w:eastAsia="zh-TW"/>
        </w:rPr>
        <w:t xml:space="preserve"> في المادة الكيميائية</w:t>
      </w:r>
      <w:r>
        <w:rPr>
          <w:rFonts w:cs="Traditional Arabic" w:hint="cs"/>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لا ي</w:t>
      </w:r>
      <w:r w:rsidRPr="00EF0115">
        <w:rPr>
          <w:rFonts w:cs="Traditional Arabic" w:hint="cs"/>
          <w:szCs w:val="30"/>
          <w:rtl/>
          <w:lang w:eastAsia="zh-TW"/>
        </w:rPr>
        <w:t>تضمن</w:t>
      </w:r>
      <w:r w:rsidRPr="00EF0115">
        <w:rPr>
          <w:rFonts w:cs="Traditional Arabic"/>
          <w:szCs w:val="30"/>
          <w:rtl/>
          <w:lang w:eastAsia="zh-TW"/>
        </w:rPr>
        <w:t xml:space="preserve"> الإخطار الوارد من بلدان لجنة مكافحة الجفاف في منطقة الساحل أي</w:t>
      </w:r>
      <w:r w:rsidRPr="00EF0115">
        <w:rPr>
          <w:rFonts w:cs="Traditional Arabic" w:hint="cs"/>
          <w:szCs w:val="30"/>
          <w:rtl/>
          <w:lang w:eastAsia="zh-TW"/>
        </w:rPr>
        <w:t>ة</w:t>
      </w:r>
      <w:r w:rsidRPr="00EF0115">
        <w:rPr>
          <w:rFonts w:cs="Traditional Arabic"/>
          <w:szCs w:val="30"/>
          <w:rtl/>
          <w:lang w:eastAsia="zh-TW"/>
        </w:rPr>
        <w:t xml:space="preserve"> معلومات عن الكمية التقديرية للأسيتوكلور المنتجة والمستوردة والمصدَّرة والم</w:t>
      </w:r>
      <w:r>
        <w:rPr>
          <w:rFonts w:cs="Traditional Arabic" w:hint="cs"/>
          <w:szCs w:val="30"/>
          <w:rtl/>
          <w:lang w:eastAsia="zh-TW"/>
        </w:rPr>
        <w:t>ـ</w:t>
      </w:r>
      <w:r w:rsidRPr="00EF0115">
        <w:rPr>
          <w:rFonts w:cs="Traditional Arabic"/>
          <w:szCs w:val="30"/>
          <w:rtl/>
          <w:lang w:eastAsia="zh-TW"/>
        </w:rPr>
        <w:t xml:space="preserve">ُستخدَمة. </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بيد أن المعلومات التي جمعتها الأمانة تدل على أن التجارة الدولية في الأسيتوكلور لا تزال قائمة </w:t>
      </w:r>
      <w:r w:rsidRPr="0021450E">
        <w:rPr>
          <w:rFonts w:asciiTheme="majorBidi" w:hAnsiTheme="majorBidi" w:cstheme="majorBidi"/>
          <w:rtl/>
          <w:lang w:eastAsia="zh-TW"/>
        </w:rPr>
        <w:t>(</w:t>
      </w:r>
      <w:r w:rsidRPr="0021450E">
        <w:rPr>
          <w:rFonts w:asciiTheme="majorBidi" w:hAnsiTheme="majorBidi" w:cstheme="majorBidi"/>
          <w:lang w:eastAsia="zh-TW"/>
        </w:rPr>
        <w:t>UNEP/FAO/RC/CRC.13/INF/5</w:t>
      </w:r>
      <w:r w:rsidRPr="0021450E">
        <w:rPr>
          <w:rFonts w:asciiTheme="majorBidi" w:hAnsiTheme="majorBidi" w:cstheme="majorBidi"/>
          <w:rtl/>
          <w:lang w:eastAsia="zh-TW"/>
        </w:rPr>
        <w:t>)</w:t>
      </w:r>
      <w:r w:rsidRPr="00EF0115">
        <w:rPr>
          <w:rFonts w:cs="Traditional Arabic"/>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w:t>
      </w:r>
      <w:r w:rsidRPr="00EF0115">
        <w:rPr>
          <w:rFonts w:cs="Traditional Arabic" w:hint="cs"/>
          <w:szCs w:val="30"/>
          <w:rtl/>
          <w:lang w:eastAsia="zh-TW"/>
        </w:rPr>
        <w:t>من ثم</w:t>
      </w:r>
      <w:r w:rsidRPr="00EF0115">
        <w:rPr>
          <w:rFonts w:cs="Traditional Arabic"/>
          <w:szCs w:val="30"/>
          <w:rtl/>
          <w:lang w:eastAsia="zh-TW"/>
        </w:rPr>
        <w:t xml:space="preserve"> فإن اللجنة تخلص إلى أن المعيار الوارد في الفقرة ج ’4‘ قد استوفي.</w:t>
      </w:r>
    </w:p>
    <w:p w:rsidR="00412193" w:rsidRPr="0085112A"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r w:rsidRPr="0085112A">
        <w:rPr>
          <w:rFonts w:cs="Traditional Arabic"/>
          <w:bCs/>
          <w:sz w:val="30"/>
          <w:szCs w:val="30"/>
          <w:rtl/>
          <w:lang w:eastAsia="zh-TW"/>
        </w:rPr>
        <w:t>(هـ)</w:t>
      </w:r>
      <w:r w:rsidRPr="0085112A">
        <w:rPr>
          <w:rFonts w:cs="Traditional Arabic"/>
          <w:bCs/>
          <w:sz w:val="30"/>
          <w:szCs w:val="30"/>
          <w:rtl/>
          <w:lang w:eastAsia="zh-TW"/>
        </w:rPr>
        <w:tab/>
        <w:t>المعيار الوارد في الفقرة (د) من المرفق الثاني</w:t>
      </w:r>
    </w:p>
    <w:p w:rsidR="00412193" w:rsidRPr="0049078E" w:rsidRDefault="00412193" w:rsidP="00412193">
      <w:pPr>
        <w:pStyle w:val="Normalnumber"/>
        <w:numPr>
          <w:ilvl w:val="0"/>
          <w:numId w:val="0"/>
        </w:numPr>
        <w:tabs>
          <w:tab w:val="clear" w:pos="624"/>
          <w:tab w:val="left" w:pos="2408"/>
        </w:tabs>
        <w:bidi/>
        <w:spacing w:line="400" w:lineRule="exact"/>
        <w:ind w:left="1132" w:firstLine="709"/>
        <w:jc w:val="both"/>
        <w:textDirection w:val="tbRlV"/>
        <w:rPr>
          <w:rFonts w:cs="Traditional Arabic"/>
          <w:i/>
          <w:iCs/>
          <w:szCs w:val="30"/>
          <w:rtl/>
          <w:lang w:eastAsia="zh-TW"/>
        </w:rPr>
      </w:pPr>
      <w:r w:rsidRPr="0049078E">
        <w:rPr>
          <w:rFonts w:cs="Traditional Arabic"/>
          <w:i/>
          <w:iCs/>
          <w:szCs w:val="30"/>
          <w:rtl/>
          <w:lang w:eastAsia="zh-TW"/>
        </w:rPr>
        <w:t>(د)</w:t>
      </w:r>
      <w:r w:rsidRPr="0049078E">
        <w:rPr>
          <w:rFonts w:cs="Traditional Arabic"/>
          <w:i/>
          <w:iCs/>
          <w:szCs w:val="30"/>
          <w:rtl/>
          <w:lang w:eastAsia="zh-TW"/>
        </w:rPr>
        <w:tab/>
        <w:t>أن يؤخذ في الاعتبار أن إساءة الاستعمال بصورة متعمدة لا تشكل سبباً كافياً لإدراج المادة الكيميائية في المرفق الثالث</w:t>
      </w:r>
      <w:r>
        <w:rPr>
          <w:rFonts w:cs="Traditional Arabic" w:hint="cs"/>
          <w:i/>
          <w:iCs/>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bookmarkStart w:id="2" w:name="_Hlk504985963"/>
      <w:r w:rsidRPr="00EF0115">
        <w:rPr>
          <w:rFonts w:cs="Traditional Arabic"/>
          <w:szCs w:val="30"/>
          <w:rtl/>
          <w:lang w:eastAsia="zh-TW"/>
        </w:rPr>
        <w:lastRenderedPageBreak/>
        <w:t xml:space="preserve">لا يوجد </w:t>
      </w:r>
      <w:r w:rsidRPr="00EF0115">
        <w:rPr>
          <w:rFonts w:cs="Traditional Arabic" w:hint="cs"/>
          <w:szCs w:val="30"/>
          <w:rtl/>
          <w:lang w:eastAsia="zh-TW"/>
        </w:rPr>
        <w:t xml:space="preserve">في الإخطار </w:t>
      </w:r>
      <w:r w:rsidRPr="00EF0115">
        <w:rPr>
          <w:rFonts w:cs="Traditional Arabic"/>
          <w:szCs w:val="30"/>
          <w:rtl/>
          <w:lang w:eastAsia="zh-TW"/>
        </w:rPr>
        <w:t xml:space="preserve">ما يشير </w:t>
      </w:r>
      <w:r w:rsidRPr="00EF0115">
        <w:rPr>
          <w:rFonts w:cs="Traditional Arabic" w:hint="cs"/>
          <w:szCs w:val="30"/>
          <w:rtl/>
          <w:lang w:eastAsia="zh-TW"/>
        </w:rPr>
        <w:t xml:space="preserve">إلى أن </w:t>
      </w:r>
      <w:r w:rsidRPr="00EF0115">
        <w:rPr>
          <w:rFonts w:cs="Traditional Arabic"/>
          <w:szCs w:val="30"/>
          <w:rtl/>
          <w:lang w:eastAsia="zh-TW"/>
        </w:rPr>
        <w:t xml:space="preserve">الإجراء التنظيمي </w:t>
      </w:r>
      <w:r w:rsidRPr="00EF0115">
        <w:rPr>
          <w:rFonts w:cs="Traditional Arabic" w:hint="cs"/>
          <w:szCs w:val="30"/>
          <w:rtl/>
          <w:lang w:eastAsia="zh-TW"/>
        </w:rPr>
        <w:t>اتُّخذ مخافة إساءة الاستخدام المتعمدة للمادة</w:t>
      </w:r>
      <w:bookmarkEnd w:id="2"/>
      <w:r w:rsidRPr="00EF0115">
        <w:rPr>
          <w:rFonts w:cs="Traditional Arabic"/>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وعليه، فإن اللجنة تؤكّد أن المعيار الوارد في الفقرة (د) قد است</w:t>
      </w:r>
      <w:r w:rsidRPr="00EF0115">
        <w:rPr>
          <w:rFonts w:cs="Traditional Arabic" w:hint="cs"/>
          <w:szCs w:val="30"/>
          <w:rtl/>
          <w:lang w:eastAsia="zh-TW"/>
        </w:rPr>
        <w:t>ُ</w:t>
      </w:r>
      <w:r w:rsidRPr="00EF0115">
        <w:rPr>
          <w:rFonts w:cs="Traditional Arabic"/>
          <w:szCs w:val="30"/>
          <w:rtl/>
          <w:lang w:eastAsia="zh-TW"/>
        </w:rPr>
        <w:t>وفي.</w:t>
      </w:r>
    </w:p>
    <w:p w:rsidR="00412193" w:rsidRPr="0085112A"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r w:rsidRPr="0085112A">
        <w:rPr>
          <w:rFonts w:cs="Traditional Arabic"/>
          <w:bCs/>
          <w:sz w:val="30"/>
          <w:szCs w:val="30"/>
          <w:rtl/>
          <w:lang w:eastAsia="zh-TW"/>
        </w:rPr>
        <w:t>(و)</w:t>
      </w:r>
      <w:r w:rsidRPr="0085112A">
        <w:rPr>
          <w:rFonts w:cs="Traditional Arabic"/>
          <w:bCs/>
          <w:sz w:val="30"/>
          <w:szCs w:val="30"/>
          <w:rtl/>
          <w:lang w:eastAsia="zh-TW"/>
        </w:rPr>
        <w:tab/>
        <w:t>الخلاصة</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تستنتج اللجنة أن الإخطارات بالإجراء التنظيمي النهائي التي قدمتها بوركينا فاسو وتشاد وتوغو والسنغال وغامبيا وغينيا </w:t>
      </w:r>
      <w:r>
        <w:rPr>
          <w:rFonts w:cs="Traditional Arabic" w:hint="cs"/>
          <w:szCs w:val="30"/>
          <w:rtl/>
          <w:lang w:eastAsia="zh-TW"/>
        </w:rPr>
        <w:t xml:space="preserve">- </w:t>
      </w:r>
      <w:r w:rsidRPr="00EF0115">
        <w:rPr>
          <w:rFonts w:cs="Traditional Arabic"/>
          <w:szCs w:val="30"/>
          <w:rtl/>
          <w:lang w:eastAsia="zh-TW"/>
        </w:rPr>
        <w:t>بيساو وكابو فيردي ومالي وموريتانيا والنيجر تستوفي المعايير الواردة في المرفق الثاني للاتفاقية.</w:t>
      </w:r>
    </w:p>
    <w:p w:rsidR="00412193" w:rsidRPr="005B4476"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2"/>
          <w:szCs w:val="32"/>
          <w:rtl/>
          <w:lang w:eastAsia="zh-TW"/>
        </w:rPr>
      </w:pPr>
      <w:r w:rsidRPr="005B4476">
        <w:rPr>
          <w:rFonts w:cs="Traditional Arabic"/>
          <w:bCs/>
          <w:sz w:val="32"/>
          <w:szCs w:val="32"/>
          <w:rtl/>
          <w:lang w:eastAsia="zh-TW"/>
        </w:rPr>
        <w:t>ثانيا</w:t>
      </w:r>
      <w:r>
        <w:rPr>
          <w:rFonts w:cs="Traditional Arabic" w:hint="cs"/>
          <w:bCs/>
          <w:sz w:val="32"/>
          <w:szCs w:val="32"/>
          <w:rtl/>
          <w:lang w:eastAsia="zh-TW"/>
        </w:rPr>
        <w:t>ً</w:t>
      </w:r>
      <w:r w:rsidRPr="005B4476">
        <w:rPr>
          <w:rFonts w:cs="Traditional Arabic"/>
          <w:bCs/>
          <w:sz w:val="32"/>
          <w:szCs w:val="32"/>
          <w:rtl/>
          <w:lang w:eastAsia="zh-TW"/>
        </w:rPr>
        <w:t>-</w:t>
      </w:r>
      <w:r w:rsidRPr="005B4476">
        <w:rPr>
          <w:rFonts w:cs="Traditional Arabic"/>
          <w:bCs/>
          <w:sz w:val="32"/>
          <w:szCs w:val="32"/>
          <w:rtl/>
          <w:lang w:eastAsia="zh-TW"/>
        </w:rPr>
        <w:tab/>
        <w:t>الاتحاد الأوروبي</w:t>
      </w:r>
    </w:p>
    <w:p w:rsidR="00412193" w:rsidRPr="0085112A"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r w:rsidRPr="0085112A">
        <w:rPr>
          <w:rFonts w:cs="Traditional Arabic"/>
          <w:bCs/>
          <w:sz w:val="30"/>
          <w:szCs w:val="30"/>
          <w:rtl/>
          <w:lang w:eastAsia="zh-TW"/>
        </w:rPr>
        <w:t>(أ)</w:t>
      </w:r>
      <w:r w:rsidRPr="0085112A">
        <w:rPr>
          <w:rFonts w:cs="Traditional Arabic"/>
          <w:bCs/>
          <w:sz w:val="30"/>
          <w:szCs w:val="30"/>
          <w:rtl/>
          <w:lang w:eastAsia="zh-TW"/>
        </w:rPr>
        <w:tab/>
        <w:t xml:space="preserve">نطاق الإجراء التنظيمي الذي </w:t>
      </w:r>
      <w:r w:rsidRPr="0085112A">
        <w:rPr>
          <w:rFonts w:cs="Traditional Arabic" w:hint="cs"/>
          <w:bCs/>
          <w:sz w:val="30"/>
          <w:szCs w:val="30"/>
          <w:rtl/>
          <w:lang w:eastAsia="zh-TW"/>
        </w:rPr>
        <w:t>قُدم</w:t>
      </w:r>
      <w:r w:rsidRPr="0085112A">
        <w:rPr>
          <w:rFonts w:cs="Traditional Arabic"/>
          <w:bCs/>
          <w:sz w:val="30"/>
          <w:szCs w:val="30"/>
          <w:rtl/>
          <w:lang w:eastAsia="zh-TW"/>
        </w:rPr>
        <w:t xml:space="preserve"> الإخطار بشأنه</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يتعلَّق الإجراء التنظيمي الذي أخطَر به الاتحاد الأوروبي باستخدام الأسيتوكلور كمبيد آفات. وقد حُظر تسويق أو استخدام الأسيتوكلور بموجب الإجراء التنظيمي النهائي الذي ينص على أنه يُحظر تسويق أو استخدام منتجات وقاية النباتات المحتوية على الأسيتوكلور في الاتحاد الأوروبي. ويمنع طرح الأسيتوكلور في السوق بموجب لائحة المفوضية الأوروبية (1107/2009) المتعلقة بطرح منتجات وقاية النباتات في الأسواق (والتي حلت محل الأمر التوجيهي </w:t>
      </w:r>
      <w:r w:rsidRPr="00EF0115">
        <w:rPr>
          <w:rFonts w:cs="Traditional Arabic"/>
          <w:szCs w:val="30"/>
          <w:lang w:eastAsia="zh-TW"/>
        </w:rPr>
        <w:t>91/414/EEC</w:t>
      </w:r>
      <w:r w:rsidRPr="00EF0115">
        <w:rPr>
          <w:rFonts w:cs="Traditional Arabic"/>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ويتعين على الدول الأعضاء سحب جميع </w:t>
      </w:r>
      <w:r w:rsidRPr="00EF0115">
        <w:rPr>
          <w:rFonts w:cs="Traditional Arabic" w:hint="cs"/>
          <w:szCs w:val="30"/>
          <w:rtl/>
          <w:lang w:eastAsia="zh-TW"/>
        </w:rPr>
        <w:t>تصاريح</w:t>
      </w:r>
      <w:r w:rsidRPr="00EF0115">
        <w:rPr>
          <w:rFonts w:cs="Traditional Arabic"/>
          <w:szCs w:val="30"/>
          <w:rtl/>
          <w:lang w:eastAsia="zh-TW"/>
        </w:rPr>
        <w:t xml:space="preserve"> منتجات وقاية النبات المحتوية على الأسيتوكلور بحلول ٢٣ حزيران/يونيه ٢٠١٢، كما تُحظر جميع استخدامات منتجات وقاية النبات المحتوية على الأسيتوكلور بدايةً من ٢٣ حزيران/يونيه ٢٠١٣ كحد أقصى. </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ووجد أن الإخطار يستوفي متطلبات </w:t>
      </w:r>
      <w:r w:rsidRPr="00EF0115">
        <w:rPr>
          <w:rFonts w:cs="Traditional Arabic" w:hint="cs"/>
          <w:szCs w:val="30"/>
          <w:rtl/>
          <w:lang w:eastAsia="zh-TW"/>
        </w:rPr>
        <w:t>تقديم</w:t>
      </w:r>
      <w:r w:rsidRPr="00EF0115">
        <w:rPr>
          <w:rFonts w:cs="Traditional Arabic" w:hint="cs"/>
          <w:szCs w:val="30"/>
          <w:lang w:eastAsia="zh-TW"/>
        </w:rPr>
        <w:t xml:space="preserve"> </w:t>
      </w:r>
      <w:r w:rsidRPr="00EF0115">
        <w:rPr>
          <w:rFonts w:cs="Traditional Arabic"/>
          <w:szCs w:val="30"/>
          <w:rtl/>
          <w:lang w:eastAsia="zh-TW"/>
        </w:rPr>
        <w:t>المعلومات</w:t>
      </w:r>
      <w:r w:rsidRPr="00EF0115">
        <w:rPr>
          <w:rFonts w:cs="Traditional Arabic" w:hint="cs"/>
          <w:szCs w:val="30"/>
          <w:lang w:eastAsia="zh-TW"/>
        </w:rPr>
        <w:t xml:space="preserve"> </w:t>
      </w:r>
      <w:r w:rsidRPr="00EF0115">
        <w:rPr>
          <w:rFonts w:cs="Traditional Arabic" w:hint="cs"/>
          <w:szCs w:val="30"/>
          <w:rtl/>
          <w:lang w:eastAsia="zh-TW"/>
        </w:rPr>
        <w:t>بموجب</w:t>
      </w:r>
      <w:r w:rsidRPr="00EF0115">
        <w:rPr>
          <w:rFonts w:cs="Traditional Arabic" w:hint="cs"/>
          <w:szCs w:val="30"/>
          <w:lang w:eastAsia="zh-TW"/>
        </w:rPr>
        <w:t xml:space="preserve"> </w:t>
      </w:r>
      <w:r w:rsidRPr="00EF0115">
        <w:rPr>
          <w:rFonts w:cs="Traditional Arabic"/>
          <w:szCs w:val="30"/>
          <w:rtl/>
          <w:lang w:eastAsia="zh-TW"/>
        </w:rPr>
        <w:t xml:space="preserve">المرفق الأول. </w:t>
      </w:r>
    </w:p>
    <w:p w:rsidR="00412193" w:rsidRPr="0085112A"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r w:rsidRPr="0085112A">
        <w:rPr>
          <w:rFonts w:cs="Traditional Arabic"/>
          <w:bCs/>
          <w:sz w:val="30"/>
          <w:szCs w:val="30"/>
          <w:rtl/>
          <w:lang w:eastAsia="zh-TW"/>
        </w:rPr>
        <w:t>(ب)</w:t>
      </w:r>
      <w:r w:rsidRPr="0085112A">
        <w:rPr>
          <w:rFonts w:cs="Traditional Arabic"/>
          <w:bCs/>
          <w:sz w:val="30"/>
          <w:szCs w:val="30"/>
          <w:rtl/>
          <w:lang w:eastAsia="zh-TW"/>
        </w:rPr>
        <w:tab/>
        <w:t>المعيار الوارد في الفقرة (أ) من المرفق الثاني</w:t>
      </w:r>
    </w:p>
    <w:p w:rsidR="00412193" w:rsidRPr="0049078E" w:rsidRDefault="00412193" w:rsidP="00412193">
      <w:pPr>
        <w:pStyle w:val="Normalnumber"/>
        <w:numPr>
          <w:ilvl w:val="0"/>
          <w:numId w:val="0"/>
        </w:numPr>
        <w:tabs>
          <w:tab w:val="clear" w:pos="624"/>
        </w:tabs>
        <w:bidi/>
        <w:spacing w:line="400" w:lineRule="exact"/>
        <w:ind w:left="2408" w:hanging="567"/>
        <w:jc w:val="both"/>
        <w:textDirection w:val="tbRlV"/>
        <w:rPr>
          <w:rFonts w:cs="Traditional Arabic"/>
          <w:i/>
          <w:iCs/>
          <w:szCs w:val="30"/>
          <w:rtl/>
          <w:lang w:eastAsia="zh-TW"/>
        </w:rPr>
      </w:pPr>
      <w:r w:rsidRPr="0049078E">
        <w:rPr>
          <w:rFonts w:cs="Traditional Arabic"/>
          <w:i/>
          <w:iCs/>
          <w:szCs w:val="30"/>
          <w:rtl/>
          <w:lang w:eastAsia="zh-TW"/>
        </w:rPr>
        <w:t>(أ)</w:t>
      </w:r>
      <w:r w:rsidRPr="0049078E">
        <w:rPr>
          <w:rFonts w:cs="Traditional Arabic"/>
          <w:i/>
          <w:iCs/>
          <w:szCs w:val="30"/>
          <w:rtl/>
          <w:lang w:eastAsia="zh-TW"/>
        </w:rPr>
        <w:tab/>
        <w:t>التأكّد من أن الإجراء التنظيمي النهائي قد اتخذ من أجل حماية صحة البشر أو البيئة</w:t>
      </w:r>
      <w:r>
        <w:rPr>
          <w:rFonts w:cs="Traditional Arabic" w:hint="cs"/>
          <w:i/>
          <w:iCs/>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تؤكّد اللجنة أن الإجراء التنظيمي قد اتخذ لحماية صحة ال</w:t>
      </w:r>
      <w:r w:rsidRPr="00EF0115">
        <w:rPr>
          <w:rFonts w:cs="Traditional Arabic" w:hint="cs"/>
          <w:szCs w:val="30"/>
          <w:rtl/>
          <w:lang w:eastAsia="zh-TW"/>
        </w:rPr>
        <w:t>بشر</w:t>
      </w:r>
      <w:r w:rsidRPr="00EF0115">
        <w:rPr>
          <w:rFonts w:cs="Traditional Arabic"/>
          <w:szCs w:val="30"/>
          <w:rtl/>
          <w:lang w:eastAsia="zh-TW"/>
        </w:rPr>
        <w:t xml:space="preserve"> والبيئة (</w:t>
      </w:r>
      <w:r w:rsidRPr="00EF0115">
        <w:rPr>
          <w:rFonts w:cs="Traditional Arabic"/>
          <w:szCs w:val="30"/>
          <w:lang w:eastAsia="zh-TW"/>
        </w:rPr>
        <w:t>UNEP/FAO/RC/CRC.11/6</w:t>
      </w:r>
      <w:r w:rsidRPr="00EF0115">
        <w:rPr>
          <w:rFonts w:cs="Traditional Arabic"/>
          <w:szCs w:val="30"/>
          <w:rtl/>
          <w:lang w:eastAsia="zh-TW"/>
        </w:rPr>
        <w:t>، الفرع 2-4-2 من إخطار الاتحاد الأوروبي).</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واست</w:t>
      </w:r>
      <w:r w:rsidRPr="00EF0115">
        <w:rPr>
          <w:rFonts w:cs="Traditional Arabic" w:hint="cs"/>
          <w:szCs w:val="30"/>
          <w:rtl/>
          <w:lang w:eastAsia="zh-TW"/>
        </w:rPr>
        <w:t>ُ</w:t>
      </w:r>
      <w:r w:rsidRPr="00EF0115">
        <w:rPr>
          <w:rFonts w:cs="Traditional Arabic"/>
          <w:szCs w:val="30"/>
          <w:rtl/>
          <w:lang w:eastAsia="zh-TW"/>
        </w:rPr>
        <w:t>خدم الأسيتوكلور كمبيد أعشاب على الذرة الصفراء لمكافحة الأعشاب الضارة الحولية والحد منها عن طريق الرش ال</w:t>
      </w:r>
      <w:r w:rsidRPr="00EF0115">
        <w:rPr>
          <w:rFonts w:cs="Traditional Arabic" w:hint="cs"/>
          <w:szCs w:val="30"/>
          <w:rtl/>
          <w:lang w:eastAsia="zh-TW"/>
        </w:rPr>
        <w:t>انتشاري</w:t>
      </w:r>
      <w:r w:rsidRPr="00EF0115">
        <w:rPr>
          <w:rFonts w:cs="Traditional Arabic"/>
          <w:szCs w:val="30"/>
          <w:rtl/>
          <w:lang w:eastAsia="zh-TW"/>
        </w:rPr>
        <w:t xml:space="preserve"> (</w:t>
      </w:r>
      <w:r w:rsidRPr="00EF0115">
        <w:rPr>
          <w:rFonts w:cs="Traditional Arabic"/>
          <w:szCs w:val="30"/>
          <w:lang w:eastAsia="zh-TW"/>
        </w:rPr>
        <w:t>UNEP/FAO/RC/CRC.13/3</w:t>
      </w:r>
      <w:r w:rsidRPr="00EF0115">
        <w:rPr>
          <w:rFonts w:cs="Traditional Arabic"/>
          <w:szCs w:val="30"/>
          <w:rtl/>
          <w:lang w:eastAsia="zh-TW"/>
        </w:rPr>
        <w:t xml:space="preserve">، الفرع 2-3-1). </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وأجري تقييم للمخاطر على أساس الأمر التوجيهي </w:t>
      </w:r>
      <w:r w:rsidRPr="0021450E">
        <w:rPr>
          <w:rFonts w:asciiTheme="majorBidi" w:hAnsiTheme="majorBidi" w:cstheme="majorBidi"/>
          <w:rtl/>
          <w:lang w:eastAsia="zh-TW"/>
        </w:rPr>
        <w:t>(</w:t>
      </w:r>
      <w:r w:rsidRPr="0021450E">
        <w:rPr>
          <w:rFonts w:asciiTheme="majorBidi" w:hAnsiTheme="majorBidi" w:cstheme="majorBidi"/>
          <w:lang w:eastAsia="zh-TW"/>
        </w:rPr>
        <w:t>91/414/EEC</w:t>
      </w:r>
      <w:r w:rsidRPr="0021450E">
        <w:rPr>
          <w:rFonts w:asciiTheme="majorBidi" w:hAnsiTheme="majorBidi" w:cstheme="majorBidi"/>
          <w:rtl/>
          <w:lang w:eastAsia="zh-TW"/>
        </w:rPr>
        <w:t>)</w:t>
      </w:r>
      <w:r w:rsidRPr="00EF0115">
        <w:rPr>
          <w:rFonts w:cs="Traditional Arabic"/>
          <w:szCs w:val="30"/>
          <w:rtl/>
          <w:lang w:eastAsia="zh-TW"/>
        </w:rPr>
        <w:t xml:space="preserve"> (الذي حلت محله لائحة المفوضية الأوروبية 1107/2009). واستنتج أنه لم يثبت أن من المتوقع أن تستوفي منتجات وقاية النبات المحتوية على الأسيتوكلور بشكل عام ال</w:t>
      </w:r>
      <w:r w:rsidRPr="00EF0115">
        <w:rPr>
          <w:rFonts w:cs="Traditional Arabic" w:hint="cs"/>
          <w:szCs w:val="30"/>
          <w:rtl/>
          <w:lang w:eastAsia="zh-TW"/>
        </w:rPr>
        <w:t>متطلبات</w:t>
      </w:r>
      <w:r w:rsidRPr="00EF0115">
        <w:rPr>
          <w:rFonts w:cs="Traditional Arabic"/>
          <w:szCs w:val="30"/>
          <w:rtl/>
          <w:lang w:eastAsia="zh-TW"/>
        </w:rPr>
        <w:t xml:space="preserve"> المنصوص عليها في المادة ٥ (١) (أ) و(ب) من الأمر التوجيهي </w:t>
      </w:r>
      <w:r w:rsidRPr="00EF0115">
        <w:rPr>
          <w:rFonts w:cs="Traditional Arabic"/>
          <w:szCs w:val="30"/>
          <w:lang w:eastAsia="zh-TW"/>
        </w:rPr>
        <w:t>91/414/EEC</w:t>
      </w:r>
      <w:r w:rsidRPr="00EF0115">
        <w:rPr>
          <w:rFonts w:cs="Traditional Arabic"/>
          <w:szCs w:val="30"/>
          <w:rtl/>
          <w:lang w:eastAsia="zh-TW"/>
        </w:rPr>
        <w:t xml:space="preserve"> (</w:t>
      </w:r>
      <w:r w:rsidRPr="00EF0115">
        <w:rPr>
          <w:rFonts w:cs="Traditional Arabic"/>
          <w:szCs w:val="30"/>
        </w:rPr>
        <w:t>UNEP/FAO/RC/CRC.13/3</w:t>
      </w:r>
      <w:r w:rsidRPr="00EF0115">
        <w:rPr>
          <w:rFonts w:cs="Traditional Arabic" w:hint="cs"/>
          <w:szCs w:val="30"/>
          <w:rtl/>
          <w:lang w:eastAsia="zh-TW"/>
        </w:rPr>
        <w:t>، الفرع 2-4-1</w:t>
      </w:r>
      <w:r w:rsidRPr="00EF0115">
        <w:rPr>
          <w:rFonts w:cs="Traditional Arabic"/>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lastRenderedPageBreak/>
        <w:t>ووفقاً لتقييم المخاطر المتعلق بصحة ال</w:t>
      </w:r>
      <w:r w:rsidRPr="00EF0115">
        <w:rPr>
          <w:rFonts w:cs="Traditional Arabic" w:hint="cs"/>
          <w:szCs w:val="30"/>
          <w:rtl/>
          <w:lang w:eastAsia="zh-TW"/>
        </w:rPr>
        <w:t>بشر</w:t>
      </w:r>
      <w:r w:rsidRPr="00EF0115">
        <w:rPr>
          <w:rFonts w:cs="Traditional Arabic"/>
          <w:szCs w:val="30"/>
          <w:rtl/>
          <w:lang w:eastAsia="zh-TW"/>
        </w:rPr>
        <w:t xml:space="preserve"> حُددت الشواغل التالية (</w:t>
      </w:r>
      <w:r w:rsidRPr="00EF0115">
        <w:rPr>
          <w:rFonts w:cs="Traditional Arabic"/>
          <w:szCs w:val="30"/>
        </w:rPr>
        <w:t>UNEP/FAO/RC/CRC.13/3</w:t>
      </w:r>
      <w:r w:rsidRPr="00EF0115">
        <w:rPr>
          <w:rFonts w:cs="Traditional Arabic"/>
          <w:szCs w:val="30"/>
          <w:rtl/>
          <w:lang w:eastAsia="zh-TW"/>
        </w:rPr>
        <w:t>، المرفق، الجزء ألف، الفرع 2-4-2-1):</w:t>
      </w:r>
    </w:p>
    <w:p w:rsidR="00412193" w:rsidRPr="00EF0115" w:rsidRDefault="00412193" w:rsidP="00412193">
      <w:pPr>
        <w:numPr>
          <w:ilvl w:val="0"/>
          <w:numId w:val="4"/>
        </w:numPr>
        <w:snapToGrid w:val="0"/>
        <w:spacing w:after="120" w:line="400" w:lineRule="exact"/>
        <w:ind w:left="2408" w:hanging="567"/>
        <w:jc w:val="both"/>
        <w:textDirection w:val="tbRlV"/>
        <w:rPr>
          <w:rFonts w:ascii="Times New Roman" w:hAnsi="Times New Roman" w:cs="Traditional Arabic"/>
          <w:snapToGrid w:val="0"/>
          <w:szCs w:val="30"/>
          <w:rtl/>
          <w:lang w:eastAsia="zh-TW"/>
        </w:rPr>
      </w:pPr>
      <w:r w:rsidRPr="00EF0115">
        <w:rPr>
          <w:rFonts w:ascii="Times New Roman" w:hAnsi="Times New Roman" w:cs="Traditional Arabic"/>
          <w:szCs w:val="30"/>
          <w:rtl/>
          <w:lang w:eastAsia="zh-TW"/>
        </w:rPr>
        <w:t>تزيد نسبة احتمال تعرض الإنسان على ١٠٠ في المائة من المقدار اليومي المقبول عندما تؤخذ في الاعتبار التركيزات المتوقعة لمستقلبات المياه الجوفية (حمض الأوكسانيليك الثالثي، وحمض السلفينيلاسيتيك الثالثي، وحمض السلفونيك الثالثي، وحمض السلفونيك الثانوي) التي خضعت للتقييم بوصفها مستقلبات مهمة.</w:t>
      </w:r>
    </w:p>
    <w:p w:rsidR="00412193" w:rsidRPr="00EF0115" w:rsidRDefault="00412193" w:rsidP="00412193">
      <w:pPr>
        <w:numPr>
          <w:ilvl w:val="0"/>
          <w:numId w:val="4"/>
        </w:numPr>
        <w:snapToGrid w:val="0"/>
        <w:spacing w:after="120" w:line="400" w:lineRule="exact"/>
        <w:ind w:left="2408" w:hanging="567"/>
        <w:jc w:val="both"/>
        <w:textDirection w:val="tbRlV"/>
        <w:rPr>
          <w:rFonts w:ascii="Times New Roman" w:hAnsi="Times New Roman" w:cs="Traditional Arabic"/>
          <w:snapToGrid w:val="0"/>
          <w:szCs w:val="30"/>
          <w:rtl/>
          <w:lang w:eastAsia="zh-TW"/>
        </w:rPr>
      </w:pPr>
      <w:r w:rsidRPr="00EF0115">
        <w:rPr>
          <w:rFonts w:ascii="Times New Roman" w:hAnsi="Times New Roman" w:cs="Traditional Arabic"/>
          <w:szCs w:val="30"/>
          <w:rtl/>
          <w:lang w:eastAsia="zh-TW"/>
        </w:rPr>
        <w:t>هناك احتمال لتعرض الإنسان للمستقلب نوركلورو الأسيتوكلور الثالثي عند استخلاص المياه السطحية لاستخدامها كمياه شرب، وهو مستقلب خضع للتقييم بوصفه مستقلباً مهماً من منظور تقييم أخطار المواد السامة.</w:t>
      </w:r>
    </w:p>
    <w:p w:rsidR="00412193" w:rsidRPr="00EF0115" w:rsidRDefault="00412193" w:rsidP="00412193">
      <w:pPr>
        <w:numPr>
          <w:ilvl w:val="0"/>
          <w:numId w:val="4"/>
        </w:numPr>
        <w:snapToGrid w:val="0"/>
        <w:spacing w:after="120" w:line="400" w:lineRule="exact"/>
        <w:ind w:left="2408" w:hanging="567"/>
        <w:jc w:val="both"/>
        <w:textDirection w:val="tbRlV"/>
        <w:rPr>
          <w:rFonts w:ascii="Times New Roman" w:hAnsi="Times New Roman" w:cs="Traditional Arabic"/>
          <w:snapToGrid w:val="0"/>
          <w:szCs w:val="30"/>
          <w:rtl/>
          <w:lang w:eastAsia="zh-TW"/>
        </w:rPr>
      </w:pPr>
      <w:r w:rsidRPr="00EF0115">
        <w:rPr>
          <w:rFonts w:ascii="Times New Roman" w:hAnsi="Times New Roman" w:cs="Traditional Arabic"/>
          <w:szCs w:val="30"/>
          <w:rtl/>
          <w:lang w:eastAsia="zh-TW"/>
        </w:rPr>
        <w:t>تبين وجود احتمال كبير لتلوث المياه الجوفية في مناطق شاسعة من الاتحاد الأوروبي بالمستقلبات حمض الأوكسانيليك الثالثي، وحمض السلفينيلاسيتيك الثالثي، وحمض السلفونيك الثالثي، وحمض السلفونيك الثانوي، التي خضعت للتقييم بوصفها مستقلبات مهمة.</w:t>
      </w:r>
    </w:p>
    <w:p w:rsidR="00412193" w:rsidRPr="00EF0115" w:rsidRDefault="00412193" w:rsidP="00412193">
      <w:pPr>
        <w:numPr>
          <w:ilvl w:val="0"/>
          <w:numId w:val="4"/>
        </w:numPr>
        <w:snapToGrid w:val="0"/>
        <w:spacing w:after="120" w:line="400" w:lineRule="exact"/>
        <w:ind w:left="2408" w:hanging="567"/>
        <w:jc w:val="both"/>
        <w:textDirection w:val="tbRlV"/>
        <w:rPr>
          <w:rFonts w:ascii="Times New Roman" w:hAnsi="Times New Roman" w:cs="Traditional Arabic"/>
          <w:snapToGrid w:val="0"/>
          <w:szCs w:val="30"/>
          <w:rtl/>
          <w:lang w:eastAsia="zh-TW"/>
        </w:rPr>
      </w:pPr>
      <w:r w:rsidRPr="00EF0115">
        <w:rPr>
          <w:rFonts w:ascii="Times New Roman" w:hAnsi="Times New Roman" w:cs="Traditional Arabic"/>
          <w:szCs w:val="30"/>
          <w:rtl/>
          <w:lang w:eastAsia="zh-TW"/>
        </w:rPr>
        <w:t>لا توجد طريقة سليمة متاحة لقياس كمية المخلفات في الأغذية ذات الأصل النباتي.</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وعملاً بتقييم المخاطر المتعلق بالبيئة حُددت الشواغل التالية </w:t>
      </w:r>
      <w:r w:rsidRPr="00493C2E">
        <w:rPr>
          <w:rFonts w:asciiTheme="majorBidi" w:hAnsiTheme="majorBidi" w:cstheme="majorBidi"/>
          <w:rtl/>
          <w:lang w:eastAsia="zh-TW"/>
        </w:rPr>
        <w:t>(</w:t>
      </w:r>
      <w:r w:rsidRPr="00493C2E">
        <w:rPr>
          <w:rFonts w:asciiTheme="majorBidi" w:hAnsiTheme="majorBidi" w:cstheme="majorBidi"/>
          <w:lang w:eastAsia="zh-TW"/>
        </w:rPr>
        <w:t>UNEP/FAO/RC/CRC.13/3</w:t>
      </w:r>
      <w:r w:rsidRPr="00EF0115">
        <w:rPr>
          <w:rFonts w:cs="Traditional Arabic"/>
          <w:szCs w:val="30"/>
          <w:rtl/>
          <w:lang w:eastAsia="zh-TW"/>
        </w:rPr>
        <w:t>، المرفق، الجزء باء، الفرع 2-4-2-2):</w:t>
      </w:r>
    </w:p>
    <w:p w:rsidR="00412193" w:rsidRPr="00EF0115" w:rsidRDefault="00412193" w:rsidP="00412193">
      <w:pPr>
        <w:numPr>
          <w:ilvl w:val="0"/>
          <w:numId w:val="4"/>
        </w:numPr>
        <w:snapToGrid w:val="0"/>
        <w:spacing w:after="120" w:line="400" w:lineRule="exact"/>
        <w:ind w:left="2408" w:hanging="567"/>
        <w:jc w:val="both"/>
        <w:textDirection w:val="tbRlV"/>
        <w:rPr>
          <w:rFonts w:ascii="Times New Roman" w:hAnsi="Times New Roman" w:cs="Traditional Arabic"/>
          <w:snapToGrid w:val="0"/>
          <w:szCs w:val="30"/>
          <w:rtl/>
          <w:lang w:eastAsia="zh-TW"/>
        </w:rPr>
      </w:pPr>
      <w:r w:rsidRPr="00EF0115">
        <w:rPr>
          <w:rFonts w:ascii="Times New Roman" w:hAnsi="Times New Roman" w:cs="Traditional Arabic"/>
          <w:szCs w:val="30"/>
          <w:rtl/>
          <w:lang w:eastAsia="zh-TW"/>
        </w:rPr>
        <w:t>الأسيتوكلور هو مادة سامة جدا لجميع مجموعات الكائنات الحية المائية وهناك مخاطر كبيرة على الكائنات المائية.</w:t>
      </w:r>
    </w:p>
    <w:p w:rsidR="00412193" w:rsidRPr="00EF0115" w:rsidRDefault="00412193" w:rsidP="00412193">
      <w:pPr>
        <w:numPr>
          <w:ilvl w:val="0"/>
          <w:numId w:val="4"/>
        </w:numPr>
        <w:snapToGrid w:val="0"/>
        <w:spacing w:after="120" w:line="400" w:lineRule="exact"/>
        <w:ind w:left="2408" w:hanging="567"/>
        <w:jc w:val="both"/>
        <w:textDirection w:val="tbRlV"/>
        <w:rPr>
          <w:rFonts w:ascii="Times New Roman" w:hAnsi="Times New Roman" w:cs="Traditional Arabic"/>
          <w:snapToGrid w:val="0"/>
          <w:szCs w:val="30"/>
          <w:rtl/>
          <w:lang w:eastAsia="zh-TW"/>
        </w:rPr>
      </w:pPr>
      <w:r w:rsidRPr="00EF0115">
        <w:rPr>
          <w:rFonts w:ascii="Times New Roman" w:hAnsi="Times New Roman" w:cs="Traditional Arabic"/>
          <w:szCs w:val="30"/>
          <w:rtl/>
          <w:lang w:eastAsia="zh-TW"/>
        </w:rPr>
        <w:t>أشير إلى وجود مخاطر حادة شديدة على الطيور من تناول مياه الشرب الملوثة بسبب استخدام المادة عقب الإنبات.</w:t>
      </w:r>
    </w:p>
    <w:p w:rsidR="00412193" w:rsidRPr="00EF0115" w:rsidRDefault="00412193" w:rsidP="00412193">
      <w:pPr>
        <w:numPr>
          <w:ilvl w:val="0"/>
          <w:numId w:val="4"/>
        </w:numPr>
        <w:snapToGrid w:val="0"/>
        <w:spacing w:after="120" w:line="400" w:lineRule="exact"/>
        <w:ind w:left="2408" w:hanging="567"/>
        <w:jc w:val="both"/>
        <w:textDirection w:val="tbRlV"/>
        <w:rPr>
          <w:rFonts w:ascii="Times New Roman" w:hAnsi="Times New Roman" w:cs="Traditional Arabic"/>
          <w:snapToGrid w:val="0"/>
          <w:szCs w:val="30"/>
          <w:rtl/>
          <w:lang w:eastAsia="zh-TW"/>
        </w:rPr>
      </w:pPr>
      <w:r w:rsidRPr="00EF0115">
        <w:rPr>
          <w:rFonts w:ascii="Times New Roman" w:hAnsi="Times New Roman" w:cs="Traditional Arabic"/>
          <w:szCs w:val="30"/>
          <w:rtl/>
          <w:lang w:eastAsia="zh-TW"/>
        </w:rPr>
        <w:t>توجد مخاطر كبيرة على النباتات البرية غير المستهدفة. ويشير تقييم المخاطر إلى ضرورة وجود منطقة عازلة بعرض ٥ أمتار داخل الحقل يُمنع فيها رش المبيد بهدف حماية النباتات غير المستهدفة في المنطقة خارج الحقل.</w:t>
      </w:r>
    </w:p>
    <w:p w:rsidR="00412193" w:rsidRPr="00EF0115" w:rsidRDefault="00412193" w:rsidP="00412193">
      <w:pPr>
        <w:numPr>
          <w:ilvl w:val="0"/>
          <w:numId w:val="4"/>
        </w:numPr>
        <w:snapToGrid w:val="0"/>
        <w:spacing w:after="120" w:line="400" w:lineRule="exact"/>
        <w:ind w:left="2408" w:hanging="567"/>
        <w:jc w:val="both"/>
        <w:textDirection w:val="tbRlV"/>
        <w:rPr>
          <w:rFonts w:ascii="Times New Roman" w:hAnsi="Times New Roman" w:cs="Traditional Arabic"/>
          <w:snapToGrid w:val="0"/>
          <w:szCs w:val="30"/>
          <w:rtl/>
          <w:lang w:eastAsia="zh-TW"/>
        </w:rPr>
      </w:pPr>
      <w:r w:rsidRPr="00EF0115">
        <w:rPr>
          <w:rFonts w:ascii="Times New Roman" w:hAnsi="Times New Roman" w:cs="Traditional Arabic"/>
          <w:szCs w:val="30"/>
          <w:rtl/>
          <w:lang w:eastAsia="zh-TW"/>
        </w:rPr>
        <w:t>تبين وجود مخاطر شديدة طويلة الأجل على الطيور العاشبة.</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ومن المتوقع أن يؤدي الإجراء التنظيمي النهائي إلى انخفاض ملحوظ في كمية المادة الكيميائية المستخدمة، مما ينتج عنه انخفاض كبير في المخاطر على صحة ال</w:t>
      </w:r>
      <w:r w:rsidRPr="00EF0115">
        <w:rPr>
          <w:rFonts w:cs="Traditional Arabic" w:hint="cs"/>
          <w:szCs w:val="30"/>
          <w:rtl/>
          <w:lang w:eastAsia="zh-TW"/>
        </w:rPr>
        <w:t>بشر</w:t>
      </w:r>
      <w:r w:rsidRPr="00EF0115">
        <w:rPr>
          <w:rFonts w:cs="Traditional Arabic"/>
          <w:szCs w:val="30"/>
          <w:rtl/>
          <w:lang w:eastAsia="zh-TW"/>
        </w:rPr>
        <w:t xml:space="preserve"> والبيئة.</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hint="cs"/>
          <w:szCs w:val="30"/>
          <w:rtl/>
          <w:lang w:eastAsia="zh-TW"/>
        </w:rPr>
        <w:t>و</w:t>
      </w:r>
      <w:r w:rsidRPr="00EF0115">
        <w:rPr>
          <w:rFonts w:cs="Traditional Arabic"/>
          <w:szCs w:val="30"/>
          <w:rtl/>
          <w:lang w:eastAsia="zh-TW"/>
        </w:rPr>
        <w:t>خلصت اللجنة إلى أن المعيار الوارد في الفقرة (أ) قد استوفي.</w:t>
      </w:r>
    </w:p>
    <w:p w:rsidR="00412193" w:rsidRPr="0085112A"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r w:rsidRPr="0085112A">
        <w:rPr>
          <w:rFonts w:cs="Traditional Arabic"/>
          <w:bCs/>
          <w:sz w:val="30"/>
          <w:szCs w:val="30"/>
          <w:rtl/>
          <w:lang w:eastAsia="zh-TW"/>
        </w:rPr>
        <w:lastRenderedPageBreak/>
        <w:t>(ج)</w:t>
      </w:r>
      <w:r w:rsidRPr="0085112A">
        <w:rPr>
          <w:rFonts w:cs="Traditional Arabic"/>
          <w:bCs/>
          <w:sz w:val="30"/>
          <w:szCs w:val="30"/>
          <w:rtl/>
          <w:lang w:eastAsia="zh-TW"/>
        </w:rPr>
        <w:tab/>
        <w:t xml:space="preserve">المعايير الواردة في الفقرة (ب) من المرفق الثاني </w:t>
      </w:r>
    </w:p>
    <w:p w:rsidR="00412193" w:rsidRPr="00BF4C87" w:rsidRDefault="00412193" w:rsidP="00412193">
      <w:pPr>
        <w:pStyle w:val="Normalnumber"/>
        <w:numPr>
          <w:ilvl w:val="0"/>
          <w:numId w:val="0"/>
        </w:numPr>
        <w:tabs>
          <w:tab w:val="clear" w:pos="624"/>
          <w:tab w:val="left" w:pos="2408"/>
        </w:tabs>
        <w:bidi/>
        <w:spacing w:line="400" w:lineRule="exact"/>
        <w:ind w:left="1841"/>
        <w:jc w:val="both"/>
        <w:textDirection w:val="tbRlV"/>
        <w:rPr>
          <w:rFonts w:cs="Traditional Arabic"/>
          <w:i/>
          <w:iCs/>
          <w:szCs w:val="30"/>
          <w:rtl/>
          <w:lang w:eastAsia="zh-TW"/>
        </w:rPr>
      </w:pPr>
      <w:r w:rsidRPr="00BF4C87">
        <w:rPr>
          <w:rFonts w:cs="Traditional Arabic"/>
          <w:i/>
          <w:iCs/>
          <w:szCs w:val="30"/>
          <w:rtl/>
          <w:lang w:eastAsia="zh-TW"/>
        </w:rPr>
        <w:t>(ب)</w:t>
      </w:r>
      <w:r w:rsidRPr="00BF4C87">
        <w:rPr>
          <w:rFonts w:cs="Traditional Arabic"/>
          <w:i/>
          <w:iCs/>
          <w:szCs w:val="30"/>
          <w:rtl/>
          <w:lang w:eastAsia="zh-TW"/>
        </w:rPr>
        <w:tab/>
        <w:t>التأكُّد من أن الإجراء التنظيمي النهائي قد اتخذ نتيجة لتقييم المخاطر. وأن هذا التقييم يستند إلى استعراض للبيانات العلمية في سياق الظروف السائدة في الطرف المعني. ولهذا الغرض، تبيّن الوثائق المقدّمة ما يلي:</w:t>
      </w:r>
    </w:p>
    <w:p w:rsidR="00412193" w:rsidRPr="0021450E" w:rsidRDefault="00412193" w:rsidP="00412193">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r w:rsidRPr="0021450E">
        <w:rPr>
          <w:rFonts w:cs="Traditional Arabic"/>
          <w:i/>
          <w:iCs/>
          <w:szCs w:val="30"/>
          <w:rtl/>
          <w:lang w:eastAsia="zh-TW"/>
        </w:rPr>
        <w:t>’1‘</w:t>
      </w:r>
      <w:r>
        <w:rPr>
          <w:rFonts w:cs="Traditional Arabic"/>
          <w:i/>
          <w:iCs/>
          <w:szCs w:val="30"/>
          <w:rtl/>
          <w:lang w:eastAsia="zh-TW"/>
        </w:rPr>
        <w:tab/>
      </w:r>
      <w:r w:rsidRPr="0021450E">
        <w:rPr>
          <w:rFonts w:cs="Traditional Arabic"/>
          <w:i/>
          <w:iCs/>
          <w:szCs w:val="30"/>
          <w:rtl/>
          <w:lang w:eastAsia="zh-TW"/>
        </w:rPr>
        <w:t>استُخلصت البيانات وفقاً للطرق المتعارف عليها علمياً؛</w:t>
      </w:r>
    </w:p>
    <w:p w:rsidR="00412193" w:rsidRPr="0021450E" w:rsidRDefault="00412193" w:rsidP="00412193">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r w:rsidRPr="0021450E">
        <w:rPr>
          <w:rFonts w:cs="Traditional Arabic"/>
          <w:i/>
          <w:iCs/>
          <w:szCs w:val="30"/>
          <w:rtl/>
          <w:lang w:eastAsia="zh-TW"/>
        </w:rPr>
        <w:t>’2‘</w:t>
      </w:r>
      <w:r>
        <w:rPr>
          <w:rFonts w:cs="Traditional Arabic"/>
          <w:i/>
          <w:iCs/>
          <w:szCs w:val="30"/>
          <w:rtl/>
          <w:lang w:eastAsia="zh-TW"/>
        </w:rPr>
        <w:tab/>
      </w:r>
      <w:r w:rsidRPr="0021450E">
        <w:rPr>
          <w:rFonts w:cs="Traditional Arabic"/>
          <w:i/>
          <w:iCs/>
          <w:szCs w:val="30"/>
          <w:rtl/>
          <w:lang w:eastAsia="zh-TW"/>
        </w:rPr>
        <w:t>استُعرضت البيانات ووُثِّقت هذه الاستعراضات وفقاً للمبادئ والإجراءات العلمية المتعارف عليها بصورة عامة؛</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أُجري تقييم للمخاطر، قبل اتخاذ الإجراء التنظيمي النهائي، </w:t>
      </w:r>
      <w:r>
        <w:rPr>
          <w:rFonts w:cs="Traditional Arabic"/>
          <w:szCs w:val="30"/>
          <w:rtl/>
          <w:lang w:eastAsia="zh-TW"/>
        </w:rPr>
        <w:t>استناداً</w:t>
      </w:r>
      <w:r w:rsidRPr="00EF0115">
        <w:rPr>
          <w:rFonts w:cs="Traditional Arabic"/>
          <w:szCs w:val="30"/>
          <w:rtl/>
          <w:lang w:eastAsia="zh-TW"/>
        </w:rPr>
        <w:t xml:space="preserve"> إلى الأمر التوجيهي </w:t>
      </w:r>
      <w:r w:rsidRPr="00EF0115">
        <w:rPr>
          <w:rFonts w:cs="Traditional Arabic"/>
          <w:szCs w:val="30"/>
          <w:lang w:eastAsia="zh-TW"/>
        </w:rPr>
        <w:t>91</w:t>
      </w:r>
      <w:r w:rsidRPr="00EF0115">
        <w:rPr>
          <w:rFonts w:cs="Traditional Arabic"/>
          <w:szCs w:val="30"/>
        </w:rPr>
        <w:t>/414/</w:t>
      </w:r>
      <w:r w:rsidRPr="00EF0115">
        <w:rPr>
          <w:rFonts w:cs="Traditional Arabic"/>
          <w:szCs w:val="30"/>
          <w:lang w:eastAsia="zh-TW"/>
        </w:rPr>
        <w:t>EEC</w:t>
      </w:r>
      <w:r w:rsidRPr="00EF0115">
        <w:rPr>
          <w:rFonts w:cs="Traditional Arabic"/>
          <w:szCs w:val="30"/>
          <w:rtl/>
          <w:lang w:eastAsia="zh-TW"/>
        </w:rPr>
        <w:t xml:space="preserve"> (استعيض عنه بلائحة المفوضية الأوروبية 1107/2009)، الذي يسمح للمفوضية الأوروبية بإصدار برنامج عمل لفحص المواد النشطة المستخدمة حالياً في منتجات وقاية النبات، بغية إدراجها، إن أمكن، في المرفق الأول للأمر التوجيهي، ووفقاً لأحكام لائحة المفوضية الأوروبية 1095/2007 ولائحة المفوضية الأوروبية 2229/2004.</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وعُينت دولةٌ عضو لإجراء تقييم المخاطر </w:t>
      </w:r>
      <w:r>
        <w:rPr>
          <w:rFonts w:cs="Traditional Arabic"/>
          <w:szCs w:val="30"/>
          <w:rtl/>
          <w:lang w:eastAsia="zh-TW"/>
        </w:rPr>
        <w:t>استناداً</w:t>
      </w:r>
      <w:r w:rsidRPr="00EF0115">
        <w:rPr>
          <w:rFonts w:cs="Traditional Arabic"/>
          <w:szCs w:val="30"/>
          <w:rtl/>
          <w:lang w:eastAsia="zh-TW"/>
        </w:rPr>
        <w:t xml:space="preserve"> إلى المعلومات الواردة من الجهة المقدّمة للطلب ولإعداد مشروع تقرير تقييم يخضع لاستعراض النظراء وتجري خلاله الهيئة الأوروبية لسلامة الأغذية مشاورات مع خبراء من الدول الأعضاء وكذلك مع الجهة المقدمة للطلب.</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w:t>
      </w:r>
      <w:r>
        <w:rPr>
          <w:rFonts w:cs="Traditional Arabic"/>
          <w:szCs w:val="30"/>
          <w:rtl/>
          <w:lang w:eastAsia="zh-TW"/>
        </w:rPr>
        <w:t>استناداً</w:t>
      </w:r>
      <w:r w:rsidRPr="00EF0115">
        <w:rPr>
          <w:rFonts w:cs="Traditional Arabic"/>
          <w:szCs w:val="30"/>
          <w:rtl/>
          <w:lang w:eastAsia="zh-TW"/>
        </w:rPr>
        <w:t xml:space="preserve"> إلى نتائج تقييم المخاطر</w:t>
      </w:r>
      <w:r w:rsidRPr="00EF0115">
        <w:rPr>
          <w:rFonts w:cs="Traditional Arabic" w:hint="cs"/>
          <w:szCs w:val="30"/>
          <w:rtl/>
          <w:lang w:eastAsia="zh-TW"/>
        </w:rPr>
        <w:t>،</w:t>
      </w:r>
      <w:r w:rsidRPr="00EF0115">
        <w:rPr>
          <w:rFonts w:cs="Traditional Arabic"/>
          <w:szCs w:val="30"/>
          <w:rtl/>
          <w:lang w:eastAsia="zh-TW"/>
        </w:rPr>
        <w:t xml:space="preserve"> أعدت المفوضية الأوروبية مشروع تقرير استعراض </w:t>
      </w:r>
      <w:r w:rsidRPr="00EF0115">
        <w:rPr>
          <w:rFonts w:cs="Traditional Arabic" w:hint="cs"/>
          <w:szCs w:val="30"/>
          <w:rtl/>
          <w:lang w:eastAsia="zh-TW"/>
        </w:rPr>
        <w:t xml:space="preserve">قدمته </w:t>
      </w:r>
      <w:r w:rsidRPr="00EF0115">
        <w:rPr>
          <w:rFonts w:cs="Traditional Arabic"/>
          <w:szCs w:val="30"/>
          <w:rtl/>
          <w:lang w:eastAsia="zh-TW"/>
        </w:rPr>
        <w:t>لاستعراض النظراء اللجنة</w:t>
      </w:r>
      <w:r w:rsidRPr="00EF0115">
        <w:rPr>
          <w:rFonts w:cs="Traditional Arabic" w:hint="cs"/>
          <w:szCs w:val="30"/>
          <w:rtl/>
          <w:lang w:eastAsia="zh-TW"/>
        </w:rPr>
        <w:t>ُ</w:t>
      </w:r>
      <w:r w:rsidRPr="00EF0115">
        <w:rPr>
          <w:rFonts w:cs="Traditional Arabic"/>
          <w:szCs w:val="30"/>
          <w:rtl/>
          <w:lang w:eastAsia="zh-TW"/>
        </w:rPr>
        <w:t xml:space="preserve"> الدائمة المعنية بالسلسلة الغذائية وصحة الحيوان، التي خلصت إلى أنه لم يثبت أن من المتوقع أن تستوفي منتجات وقاية النبات المحتوية على الأسيتوكلور بشكل عام ال</w:t>
      </w:r>
      <w:r w:rsidRPr="00EF0115">
        <w:rPr>
          <w:rFonts w:cs="Traditional Arabic" w:hint="cs"/>
          <w:szCs w:val="30"/>
          <w:rtl/>
          <w:lang w:eastAsia="zh-TW"/>
        </w:rPr>
        <w:t>متطلب</w:t>
      </w:r>
      <w:r w:rsidRPr="00EF0115">
        <w:rPr>
          <w:rFonts w:cs="Traditional Arabic"/>
          <w:szCs w:val="30"/>
          <w:rtl/>
          <w:lang w:eastAsia="zh-TW"/>
        </w:rPr>
        <w:t xml:space="preserve">ات المنصوص عليها في المادة ٥ (١) (أ) و(ب) من الأمر التوجيهي </w:t>
      </w:r>
      <w:r w:rsidRPr="00EF0115">
        <w:rPr>
          <w:rFonts w:cs="Traditional Arabic"/>
          <w:szCs w:val="30"/>
          <w:lang w:eastAsia="zh-TW"/>
        </w:rPr>
        <w:t>91/414/EEC</w:t>
      </w:r>
      <w:r w:rsidRPr="00EF0115">
        <w:rPr>
          <w:rFonts w:cs="Traditional Arabic"/>
          <w:szCs w:val="30"/>
          <w:rtl/>
          <w:lang w:eastAsia="zh-TW"/>
        </w:rPr>
        <w:t>، مما أدى إلى اعتماد مقرر بشأن عدم الموافقة على استخدام الأسيتوكلور (اللائحة التنفيذية للمفوضية الأوروبية 1372/2011 المؤرخة في 21 كانون الأول/ديسمبر ٢٠١١).</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واستند التقييم إلى استعراض للبيانات العلمية مع مراعاة الظروف السائدة في الاتحاد الأوروبي (بما في ذلك الاستخدامات المقصودة ومعدلات الرش الموصى بها والممارسات الزراعية ال</w:t>
      </w:r>
      <w:r w:rsidRPr="00EF0115">
        <w:rPr>
          <w:rFonts w:cs="Traditional Arabic" w:hint="cs"/>
          <w:szCs w:val="30"/>
          <w:rtl/>
          <w:lang w:eastAsia="zh-TW"/>
        </w:rPr>
        <w:t>رشي</w:t>
      </w:r>
      <w:r w:rsidRPr="00EF0115">
        <w:rPr>
          <w:rFonts w:cs="Traditional Arabic"/>
          <w:szCs w:val="30"/>
          <w:rtl/>
          <w:lang w:eastAsia="zh-TW"/>
        </w:rPr>
        <w:t>دة). ولم يُتَحقَّق من صحة أية بيانات أو تُستَخدَم أي</w:t>
      </w:r>
      <w:r w:rsidRPr="00EF0115">
        <w:rPr>
          <w:rFonts w:cs="Traditional Arabic" w:hint="cs"/>
          <w:szCs w:val="30"/>
          <w:rtl/>
          <w:lang w:eastAsia="zh-TW"/>
        </w:rPr>
        <w:t>ة</w:t>
      </w:r>
      <w:r w:rsidRPr="00EF0115">
        <w:rPr>
          <w:rFonts w:cs="Traditional Arabic"/>
          <w:szCs w:val="30"/>
          <w:rtl/>
          <w:lang w:eastAsia="zh-TW"/>
        </w:rPr>
        <w:t xml:space="preserve"> بيانات لأغراض هذا التقييم سوى تلك التي تم استخلاصها وفقاً لطرق علمية متعارَف عليها. وعلاوة على ذلك أجريت استعراضات للبيانات ووثِّقت وفقاً للمبادئ والإجراءات المتعارَف عليها علمياً </w:t>
      </w:r>
      <w:r w:rsidRPr="00493C2E">
        <w:rPr>
          <w:rFonts w:asciiTheme="majorBidi" w:hAnsiTheme="majorBidi" w:cstheme="majorBidi"/>
          <w:rtl/>
          <w:lang w:eastAsia="zh-TW"/>
        </w:rPr>
        <w:t>(</w:t>
      </w:r>
      <w:r w:rsidRPr="00493C2E">
        <w:rPr>
          <w:rFonts w:asciiTheme="majorBidi" w:hAnsiTheme="majorBidi" w:cstheme="majorBidi"/>
          <w:lang w:eastAsia="zh-TW"/>
        </w:rPr>
        <w:t>UNEP/FAO/RC/CRC.13/3</w:t>
      </w:r>
      <w:r w:rsidRPr="00EF0115">
        <w:rPr>
          <w:rFonts w:cs="Traditional Arabic"/>
          <w:szCs w:val="30"/>
          <w:rtl/>
          <w:lang w:eastAsia="zh-TW"/>
        </w:rPr>
        <w:t>، المرفق، الجزء باء، الفرع 2-4-1).</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وعليه، فقد تأكّدت اللجنة من أن البيانات التي جرى استعراضها لأغراض تقييم المخاطر قد تم استخلاصها بالطرق العلمية المتعارَف عليها، وأن استعراضات البيانات قد أجريت وفقاً للإجراءات والمبادئ العلمية المتعارَف عليها بصورة عامة.</w:t>
      </w:r>
    </w:p>
    <w:p w:rsidR="00412193" w:rsidRPr="0021450E" w:rsidRDefault="00412193" w:rsidP="00412193">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r w:rsidRPr="0021450E">
        <w:rPr>
          <w:rFonts w:cs="Traditional Arabic"/>
          <w:i/>
          <w:iCs/>
          <w:szCs w:val="30"/>
          <w:rtl/>
          <w:lang w:eastAsia="zh-TW"/>
        </w:rPr>
        <w:lastRenderedPageBreak/>
        <w:t>’٣‘</w:t>
      </w:r>
      <w:r w:rsidRPr="0021450E">
        <w:rPr>
          <w:rFonts w:cs="Traditional Arabic"/>
          <w:i/>
          <w:iCs/>
          <w:szCs w:val="30"/>
          <w:rtl/>
          <w:lang w:eastAsia="zh-TW"/>
        </w:rPr>
        <w:tab/>
        <w:t>استند الإجراء التنظيمي النهائي إلى تقييم للمخاطر شمل الظروف السائدة لدى الطرف الذي اتخذ الإجراء؛</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استند الإجراء التنظيمي النهائي الذي استهدف حظر الأسيتوكلور </w:t>
      </w:r>
      <w:r w:rsidRPr="00EF0115">
        <w:rPr>
          <w:rFonts w:cs="Traditional Arabic" w:hint="cs"/>
          <w:szCs w:val="30"/>
          <w:rtl/>
          <w:lang w:eastAsia="zh-TW"/>
        </w:rPr>
        <w:t>إ</w:t>
      </w:r>
      <w:r w:rsidRPr="00EF0115">
        <w:rPr>
          <w:rFonts w:cs="Traditional Arabic"/>
          <w:szCs w:val="30"/>
          <w:rtl/>
          <w:lang w:eastAsia="zh-TW"/>
        </w:rPr>
        <w:t>لى تقييم للمخاطر. ونظر تحليل المخاطر في استخدام مبيد الأعشاب على الذرة الصفراء.</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ويستند قرار حظر استخدام الأسيتوكلور بوصفه مبيد آفات إلى مجموعة بيانات تتألف من طائفة واسعة من المعلومات بشأن هوية المادة، الخواص الفيزيائية/الكيميائية/التقنية وطرق التحليل، والسمية للثدييات، والمخلفات، والمصير والسلوك البيئيين، وعلم السموم الإيكولوجية، بما في ذلك الشروط المقترحة للاستخدام داخل الاتحاد الأوروبي، وبما في ذلك الاستخدامات المزمعة، ومعدلات الاستخدام الموصى بها والممارسات الزراعية ا</w:t>
      </w:r>
      <w:r w:rsidRPr="00EF0115">
        <w:rPr>
          <w:rFonts w:cs="Traditional Arabic" w:hint="cs"/>
          <w:szCs w:val="30"/>
          <w:rtl/>
          <w:lang w:eastAsia="zh-TW"/>
        </w:rPr>
        <w:t>لرش</w:t>
      </w:r>
      <w:r w:rsidRPr="00EF0115">
        <w:rPr>
          <w:rFonts w:cs="Traditional Arabic"/>
          <w:szCs w:val="30"/>
          <w:rtl/>
          <w:lang w:eastAsia="zh-TW"/>
        </w:rPr>
        <w:t>يدة. وقد أ</w:t>
      </w:r>
      <w:r w:rsidRPr="00EF0115">
        <w:rPr>
          <w:rFonts w:cs="Traditional Arabic" w:hint="cs"/>
          <w:szCs w:val="30"/>
          <w:rtl/>
          <w:lang w:eastAsia="zh-TW"/>
        </w:rPr>
        <w:t>ُ</w:t>
      </w:r>
      <w:r w:rsidRPr="00EF0115">
        <w:rPr>
          <w:rFonts w:cs="Traditional Arabic"/>
          <w:szCs w:val="30"/>
          <w:rtl/>
          <w:lang w:eastAsia="zh-TW"/>
        </w:rPr>
        <w:t>خذت جميع المعلومات المتاحة في مجموعة البيانات في الاعتبار عند إجراء تقييم المخاطر هذا، وبالتالي عند اتخاذ قرار الاتحاد الأوروبي. وقد توصّلت الهيئة الأوروبية لسلامة الأغذية إلى استنتاجاتها على أساس تقييم الاستخدام الممثل للواقع في الاتحاد الأوروبي.</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وعليه، تؤكد اللجنة أن المعيار الوارد في الفقرة ب ’3‘ قد است</w:t>
      </w:r>
      <w:r w:rsidRPr="00EF0115">
        <w:rPr>
          <w:rFonts w:cs="Traditional Arabic" w:hint="cs"/>
          <w:szCs w:val="30"/>
          <w:rtl/>
          <w:lang w:eastAsia="zh-TW"/>
        </w:rPr>
        <w:t>ُ</w:t>
      </w:r>
      <w:r w:rsidRPr="00EF0115">
        <w:rPr>
          <w:rFonts w:cs="Traditional Arabic"/>
          <w:szCs w:val="30"/>
          <w:rtl/>
          <w:lang w:eastAsia="zh-TW"/>
        </w:rPr>
        <w:t>وفي.</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وتؤكد اللجنة أن معايير الفقرة (ب) قد استوفيت.</w:t>
      </w:r>
    </w:p>
    <w:p w:rsidR="00412193" w:rsidRPr="0085112A"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r w:rsidRPr="0085112A">
        <w:rPr>
          <w:rFonts w:cs="Traditional Arabic"/>
          <w:bCs/>
          <w:sz w:val="30"/>
          <w:szCs w:val="30"/>
          <w:rtl/>
          <w:lang w:eastAsia="zh-TW"/>
        </w:rPr>
        <w:t>(د)</w:t>
      </w:r>
      <w:r w:rsidRPr="0085112A">
        <w:rPr>
          <w:rFonts w:cs="Traditional Arabic"/>
          <w:bCs/>
          <w:sz w:val="30"/>
          <w:szCs w:val="30"/>
          <w:rtl/>
          <w:lang w:eastAsia="zh-TW"/>
        </w:rPr>
        <w:tab/>
        <w:t>المعايير الواردة في الفقرة (ج) من المرفق الثاني</w:t>
      </w:r>
    </w:p>
    <w:p w:rsidR="00412193" w:rsidRPr="00BF4C87" w:rsidRDefault="00412193" w:rsidP="00412193">
      <w:pPr>
        <w:pStyle w:val="Normalnumber"/>
        <w:numPr>
          <w:ilvl w:val="0"/>
          <w:numId w:val="0"/>
        </w:numPr>
        <w:tabs>
          <w:tab w:val="clear" w:pos="624"/>
          <w:tab w:val="left" w:pos="2408"/>
        </w:tabs>
        <w:bidi/>
        <w:spacing w:line="400" w:lineRule="exact"/>
        <w:ind w:left="1132" w:firstLine="709"/>
        <w:jc w:val="both"/>
        <w:textDirection w:val="tbRlV"/>
        <w:rPr>
          <w:rFonts w:cs="Traditional Arabic"/>
          <w:i/>
          <w:iCs/>
          <w:szCs w:val="30"/>
          <w:rtl/>
          <w:lang w:eastAsia="zh-TW"/>
        </w:rPr>
      </w:pPr>
      <w:r w:rsidRPr="00BF4C87">
        <w:rPr>
          <w:rFonts w:cs="Traditional Arabic"/>
          <w:i/>
          <w:iCs/>
          <w:szCs w:val="30"/>
          <w:rtl/>
          <w:lang w:eastAsia="zh-TW"/>
        </w:rPr>
        <w:t>(ج)</w:t>
      </w:r>
      <w:r w:rsidRPr="00BF4C87">
        <w:rPr>
          <w:rFonts w:cs="Traditional Arabic"/>
          <w:i/>
          <w:iCs/>
          <w:szCs w:val="30"/>
          <w:rtl/>
          <w:lang w:eastAsia="zh-TW"/>
        </w:rPr>
        <w:tab/>
        <w:t>النظر فيما إذا كان الإجراء التنظيمي النهائي يوفر أساساً واسعاً بما يكفي لتبرير إدراج المادة الكيميائية في المرفق الثالث، وذلك بمراعاة ما يلي:</w:t>
      </w:r>
    </w:p>
    <w:p w:rsidR="00412193" w:rsidRPr="0049078E" w:rsidRDefault="00412193" w:rsidP="00412193">
      <w:pPr>
        <w:pStyle w:val="Normalnumber"/>
        <w:numPr>
          <w:ilvl w:val="0"/>
          <w:numId w:val="0"/>
        </w:numPr>
        <w:tabs>
          <w:tab w:val="clear" w:pos="624"/>
        </w:tabs>
        <w:bidi/>
        <w:spacing w:line="400" w:lineRule="exact"/>
        <w:ind w:left="2975" w:hanging="567"/>
        <w:jc w:val="both"/>
        <w:textDirection w:val="tbRlV"/>
        <w:rPr>
          <w:rFonts w:cs="Traditional Arabic"/>
          <w:i/>
          <w:iCs/>
          <w:szCs w:val="30"/>
          <w:rtl/>
          <w:lang w:eastAsia="zh-TW"/>
        </w:rPr>
      </w:pPr>
      <w:r w:rsidRPr="0049078E">
        <w:rPr>
          <w:rFonts w:cs="Traditional Arabic"/>
          <w:i/>
          <w:iCs/>
          <w:szCs w:val="30"/>
          <w:rtl/>
          <w:lang w:eastAsia="zh-TW"/>
        </w:rPr>
        <w:t>’1‘</w:t>
      </w:r>
      <w:r>
        <w:rPr>
          <w:rFonts w:cs="Traditional Arabic"/>
          <w:i/>
          <w:iCs/>
          <w:szCs w:val="30"/>
          <w:rtl/>
          <w:lang w:eastAsia="zh-TW"/>
        </w:rPr>
        <w:tab/>
      </w:r>
      <w:r w:rsidRPr="0049078E">
        <w:rPr>
          <w:rFonts w:cs="Traditional Arabic"/>
          <w:i/>
          <w:iCs/>
          <w:szCs w:val="30"/>
          <w:rtl/>
          <w:lang w:eastAsia="zh-TW"/>
        </w:rPr>
        <w:t>ما إذا كان الإجراء التنظيمي النهائي قد أدى، أو من المتوقع أن يؤدي إلى تخفيض كبير في كمية المادة الكيميائية المستخدمة، أو عدد استخداماتها؛</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يحظر استخدام الأسيتوكلور بموجب الإجراء التنظيمي النهائي الذي دخل حيز النفاذ اعتباراً من 23 حزيران/يونيه 2013. ويحظر الإجراء التنظيمي النهائي استخدام الأسيتوكلور بوصفه مبيد آفات من خلال حظر طرحه في السوق أو استخدام منتجات وقاية النباتات المحتوية على الأسيتوكلور في الاتحاد الأوروبي. ويمنع طرح الأسيتوكلور في السوق بموجب لائحة المفوضية الأوروبية (1107/2009) المتعلقة بطرح منتجات وقاية النباتات في الأسواق (والتي حلت محل الأمر التوجيهي </w:t>
      </w:r>
      <w:r w:rsidRPr="00EF0115">
        <w:rPr>
          <w:rFonts w:cs="Traditional Arabic"/>
          <w:szCs w:val="30"/>
          <w:lang w:eastAsia="zh-TW"/>
        </w:rPr>
        <w:t>91/414/EEC</w:t>
      </w:r>
      <w:r w:rsidRPr="00493C2E">
        <w:rPr>
          <w:rFonts w:asciiTheme="majorBidi" w:hAnsiTheme="majorBidi" w:cstheme="majorBidi"/>
          <w:rtl/>
          <w:lang w:eastAsia="zh-TW"/>
        </w:rPr>
        <w:t>)</w:t>
      </w:r>
      <w:r w:rsidRPr="00EF0115">
        <w:rPr>
          <w:rFonts w:cs="Traditional Arabic"/>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وعليه فإن من المتوقع أن يؤدي الإجراء التنظيمي النهائي إلى انخفاض كبير في كمية المادة الكيميائية المستخدمة، مما ينتج عنه انخفاض كبير في المخاطر على صحة ال</w:t>
      </w:r>
      <w:r w:rsidRPr="00EF0115">
        <w:rPr>
          <w:rFonts w:cs="Traditional Arabic" w:hint="cs"/>
          <w:szCs w:val="30"/>
          <w:rtl/>
          <w:lang w:eastAsia="zh-TW"/>
        </w:rPr>
        <w:t>بشر</w:t>
      </w:r>
      <w:r w:rsidRPr="00EF0115">
        <w:rPr>
          <w:rFonts w:cs="Traditional Arabic"/>
          <w:szCs w:val="30"/>
          <w:rtl/>
          <w:lang w:eastAsia="zh-TW"/>
        </w:rPr>
        <w:t xml:space="preserve"> والبيئة. </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وعليه، فإن اللجنة تؤكّد أن المعيار الوارد في الفقرة (ج) ’1‘ قد است</w:t>
      </w:r>
      <w:r w:rsidRPr="00EF0115">
        <w:rPr>
          <w:rFonts w:cs="Traditional Arabic" w:hint="cs"/>
          <w:szCs w:val="30"/>
          <w:rtl/>
          <w:lang w:eastAsia="zh-TW"/>
        </w:rPr>
        <w:t>ُ</w:t>
      </w:r>
      <w:r w:rsidRPr="00EF0115">
        <w:rPr>
          <w:rFonts w:cs="Traditional Arabic"/>
          <w:szCs w:val="30"/>
          <w:rtl/>
          <w:lang w:eastAsia="zh-TW"/>
        </w:rPr>
        <w:t>وفي.</w:t>
      </w:r>
    </w:p>
    <w:p w:rsidR="00412193" w:rsidRPr="007B4110" w:rsidRDefault="00412193" w:rsidP="00412193">
      <w:pPr>
        <w:pStyle w:val="Normalnumber"/>
        <w:numPr>
          <w:ilvl w:val="0"/>
          <w:numId w:val="0"/>
        </w:numPr>
        <w:tabs>
          <w:tab w:val="clear" w:pos="624"/>
        </w:tabs>
        <w:bidi/>
        <w:spacing w:line="400" w:lineRule="exact"/>
        <w:ind w:left="2975" w:hanging="567"/>
        <w:jc w:val="both"/>
        <w:textDirection w:val="tbRlV"/>
        <w:rPr>
          <w:rFonts w:cs="Traditional Arabic"/>
          <w:szCs w:val="30"/>
          <w:rtl/>
          <w:lang w:eastAsia="zh-TW"/>
        </w:rPr>
      </w:pPr>
      <w:r w:rsidRPr="0049078E">
        <w:rPr>
          <w:rFonts w:cs="Traditional Arabic"/>
          <w:i/>
          <w:iCs/>
          <w:szCs w:val="30"/>
          <w:rtl/>
          <w:lang w:eastAsia="zh-TW"/>
        </w:rPr>
        <w:t>’2‘</w:t>
      </w:r>
      <w:r>
        <w:rPr>
          <w:rFonts w:cs="Traditional Arabic"/>
          <w:i/>
          <w:iCs/>
          <w:szCs w:val="30"/>
          <w:rtl/>
          <w:lang w:eastAsia="zh-TW"/>
        </w:rPr>
        <w:tab/>
      </w:r>
      <w:r w:rsidRPr="0049078E">
        <w:rPr>
          <w:rFonts w:cs="Traditional Arabic"/>
          <w:i/>
          <w:iCs/>
          <w:szCs w:val="30"/>
          <w:rtl/>
          <w:lang w:eastAsia="zh-TW"/>
        </w:rPr>
        <w:t>ما إذا كان الإجراء التنظيمي النهائي قد أدى إلى خفض فعلي للمخاطر، أو يتوقع أن يسفر عن خفض كبير للمخاطر على صحة البشر أو البيئة لدى الطرف الذي قدم الإخطار</w:t>
      </w:r>
      <w:r>
        <w:rPr>
          <w:rFonts w:cs="Traditional Arabic" w:hint="cs"/>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lastRenderedPageBreak/>
        <w:t>من المتوقع أنه</w:t>
      </w:r>
      <w:r w:rsidRPr="00EF0115">
        <w:rPr>
          <w:rFonts w:cs="Traditional Arabic" w:hint="cs"/>
          <w:szCs w:val="30"/>
          <w:rtl/>
          <w:lang w:eastAsia="zh-TW"/>
        </w:rPr>
        <w:t>،</w:t>
      </w:r>
      <w:r w:rsidRPr="00EF0115">
        <w:rPr>
          <w:rFonts w:cs="Traditional Arabic"/>
          <w:szCs w:val="30"/>
          <w:rtl/>
          <w:lang w:eastAsia="zh-TW"/>
        </w:rPr>
        <w:t xml:space="preserve"> نظراً </w:t>
      </w:r>
      <w:r w:rsidRPr="00EF0115">
        <w:rPr>
          <w:rFonts w:cs="Traditional Arabic" w:hint="cs"/>
          <w:szCs w:val="30"/>
          <w:rtl/>
          <w:lang w:eastAsia="zh-TW"/>
        </w:rPr>
        <w:t>لكو</w:t>
      </w:r>
      <w:r w:rsidRPr="00EF0115">
        <w:rPr>
          <w:rFonts w:cs="Traditional Arabic"/>
          <w:szCs w:val="30"/>
          <w:rtl/>
          <w:lang w:eastAsia="zh-TW"/>
        </w:rPr>
        <w:t xml:space="preserve">ن الإجراء التنظيمي بحظر استخدام الأسيتوكلور يخفض بقدر كبير </w:t>
      </w:r>
      <w:r w:rsidRPr="00EF0115">
        <w:rPr>
          <w:rFonts w:cs="Traditional Arabic" w:hint="cs"/>
          <w:szCs w:val="30"/>
          <w:rtl/>
          <w:lang w:eastAsia="zh-TW"/>
        </w:rPr>
        <w:t>ال</w:t>
      </w:r>
      <w:r w:rsidRPr="00EF0115">
        <w:rPr>
          <w:rFonts w:cs="Traditional Arabic"/>
          <w:szCs w:val="30"/>
          <w:rtl/>
          <w:lang w:eastAsia="zh-TW"/>
        </w:rPr>
        <w:t xml:space="preserve">كمية </w:t>
      </w:r>
      <w:r w:rsidRPr="00EF0115">
        <w:rPr>
          <w:rFonts w:cs="Traditional Arabic" w:hint="cs"/>
          <w:szCs w:val="30"/>
          <w:rtl/>
          <w:lang w:eastAsia="zh-TW"/>
        </w:rPr>
        <w:t xml:space="preserve">المستخدمة من تلك </w:t>
      </w:r>
      <w:r w:rsidRPr="00EF0115">
        <w:rPr>
          <w:rFonts w:cs="Traditional Arabic"/>
          <w:szCs w:val="30"/>
          <w:rtl/>
          <w:lang w:eastAsia="zh-TW"/>
        </w:rPr>
        <w:t xml:space="preserve">المادة الكيميائية، فإنه سيخفض أيضاً بقدر كبير المخاطر على صحة البشر </w:t>
      </w:r>
      <w:r w:rsidRPr="00EF0115">
        <w:rPr>
          <w:rFonts w:cs="Traditional Arabic" w:hint="cs"/>
          <w:szCs w:val="30"/>
          <w:rtl/>
          <w:lang w:eastAsia="zh-TW"/>
        </w:rPr>
        <w:t>و</w:t>
      </w:r>
      <w:r w:rsidRPr="00EF0115">
        <w:rPr>
          <w:rFonts w:cs="Traditional Arabic"/>
          <w:szCs w:val="30"/>
          <w:rtl/>
          <w:lang w:eastAsia="zh-TW"/>
        </w:rPr>
        <w:t>البيئة.</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وعليه، فإن اللجنة تؤكّد أن المعيار الوارد في الفقرة (ج) ’2‘ قد است</w:t>
      </w:r>
      <w:r w:rsidRPr="00EF0115">
        <w:rPr>
          <w:rFonts w:cs="Traditional Arabic" w:hint="cs"/>
          <w:szCs w:val="30"/>
          <w:rtl/>
          <w:lang w:eastAsia="zh-TW"/>
        </w:rPr>
        <w:t>ُ</w:t>
      </w:r>
      <w:r w:rsidRPr="00EF0115">
        <w:rPr>
          <w:rFonts w:cs="Traditional Arabic"/>
          <w:szCs w:val="30"/>
          <w:rtl/>
          <w:lang w:eastAsia="zh-TW"/>
        </w:rPr>
        <w:t>وفي.</w:t>
      </w:r>
    </w:p>
    <w:p w:rsidR="00412193" w:rsidRPr="0049078E" w:rsidRDefault="00412193" w:rsidP="00412193">
      <w:pPr>
        <w:pStyle w:val="Normalnumber"/>
        <w:numPr>
          <w:ilvl w:val="0"/>
          <w:numId w:val="0"/>
        </w:numPr>
        <w:tabs>
          <w:tab w:val="clear" w:pos="624"/>
        </w:tabs>
        <w:bidi/>
        <w:spacing w:line="400" w:lineRule="exact"/>
        <w:ind w:left="2975" w:hanging="567"/>
        <w:jc w:val="both"/>
        <w:textDirection w:val="tbRlV"/>
        <w:rPr>
          <w:rFonts w:cs="Traditional Arabic"/>
          <w:i/>
          <w:iCs/>
          <w:szCs w:val="30"/>
          <w:rtl/>
          <w:lang w:eastAsia="zh-TW"/>
        </w:rPr>
      </w:pPr>
      <w:r w:rsidRPr="0049078E">
        <w:rPr>
          <w:rFonts w:cs="Traditional Arabic"/>
          <w:i/>
          <w:iCs/>
          <w:szCs w:val="30"/>
          <w:rtl/>
          <w:lang w:eastAsia="zh-TW"/>
        </w:rPr>
        <w:t>’٣‘</w:t>
      </w:r>
      <w:r w:rsidRPr="0049078E">
        <w:rPr>
          <w:rFonts w:cs="Traditional Arabic"/>
          <w:i/>
          <w:iCs/>
          <w:szCs w:val="30"/>
          <w:rtl/>
          <w:lang w:eastAsia="zh-TW"/>
        </w:rPr>
        <w:tab/>
        <w:t>ما إذا كانت الاعتبارات التي أدت إلى اتخاذ الإجراء التنظيمي النهائي غير منطبقة سوى على منطقة جغرافية محدودة، أو على ظروف محدودة أخرى؛</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ينص الإخطار على أن من المحتمل أن تحدث مشاكل صحية وبيئية في البلدان الأخرى التي تستعمل فيها المادة، وخصوصاً البلدان النامية </w:t>
      </w:r>
      <w:r w:rsidRPr="00493C2E">
        <w:rPr>
          <w:rFonts w:asciiTheme="majorBidi" w:hAnsiTheme="majorBidi" w:cstheme="majorBidi"/>
          <w:rtl/>
          <w:lang w:eastAsia="zh-TW"/>
        </w:rPr>
        <w:t>(</w:t>
      </w:r>
      <w:r w:rsidRPr="00EF0115">
        <w:rPr>
          <w:rFonts w:cs="Traditional Arabic"/>
          <w:szCs w:val="30"/>
          <w:lang w:eastAsia="zh-TW"/>
        </w:rPr>
        <w:t>UNEP/FAO/RC/CRC.13/3</w:t>
      </w:r>
      <w:r w:rsidRPr="00EF0115">
        <w:rPr>
          <w:rFonts w:cs="Traditional Arabic"/>
          <w:szCs w:val="30"/>
          <w:rtl/>
          <w:lang w:eastAsia="zh-TW"/>
        </w:rPr>
        <w:t>، المرفق، الفرع 2-5-2).</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وعليه، فإن اللجنة تؤكّد أن المعيار الوارد في الفقرة (ج) ’3‘ قد استوفي.</w:t>
      </w:r>
    </w:p>
    <w:p w:rsidR="00412193" w:rsidRPr="0049078E" w:rsidRDefault="00412193" w:rsidP="00412193">
      <w:pPr>
        <w:pStyle w:val="Normalnumber"/>
        <w:numPr>
          <w:ilvl w:val="0"/>
          <w:numId w:val="0"/>
        </w:numPr>
        <w:tabs>
          <w:tab w:val="clear" w:pos="624"/>
        </w:tabs>
        <w:bidi/>
        <w:spacing w:line="400" w:lineRule="exact"/>
        <w:ind w:left="2975" w:hanging="567"/>
        <w:jc w:val="both"/>
        <w:textDirection w:val="tbRlV"/>
        <w:rPr>
          <w:rFonts w:cs="Traditional Arabic"/>
          <w:i/>
          <w:iCs/>
          <w:szCs w:val="30"/>
          <w:rtl/>
          <w:lang w:eastAsia="zh-TW"/>
        </w:rPr>
      </w:pPr>
      <w:r w:rsidRPr="0049078E">
        <w:rPr>
          <w:rFonts w:cs="Traditional Arabic"/>
          <w:i/>
          <w:iCs/>
          <w:szCs w:val="30"/>
          <w:rtl/>
          <w:lang w:eastAsia="zh-TW"/>
        </w:rPr>
        <w:t>’٤‘</w:t>
      </w:r>
      <w:r w:rsidRPr="0049078E">
        <w:rPr>
          <w:rFonts w:cs="Traditional Arabic"/>
          <w:i/>
          <w:iCs/>
          <w:szCs w:val="30"/>
          <w:rtl/>
          <w:lang w:eastAsia="zh-TW"/>
        </w:rPr>
        <w:tab/>
        <w:t>ما إذا كان هناك دليل يؤكد استمرار التجارة الدولية في المادة الكيميائية</w:t>
      </w:r>
      <w:r>
        <w:rPr>
          <w:rFonts w:cs="Traditional Arabic" w:hint="cs"/>
          <w:i/>
          <w:iCs/>
          <w:szCs w:val="30"/>
          <w:rtl/>
          <w:lang w:eastAsia="zh-TW"/>
        </w:rPr>
        <w:t>؛</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لا ي</w:t>
      </w:r>
      <w:r w:rsidRPr="00EF0115">
        <w:rPr>
          <w:rFonts w:cs="Traditional Arabic" w:hint="cs"/>
          <w:szCs w:val="30"/>
          <w:rtl/>
          <w:lang w:eastAsia="zh-TW"/>
        </w:rPr>
        <w:t>تضمن</w:t>
      </w:r>
      <w:r w:rsidRPr="00EF0115">
        <w:rPr>
          <w:rFonts w:cs="Traditional Arabic"/>
          <w:szCs w:val="30"/>
          <w:rtl/>
          <w:lang w:eastAsia="zh-TW"/>
        </w:rPr>
        <w:t xml:space="preserve"> الإخطار الوارد من الاتحاد الأوروبي أي</w:t>
      </w:r>
      <w:r w:rsidRPr="00EF0115">
        <w:rPr>
          <w:rFonts w:cs="Traditional Arabic" w:hint="cs"/>
          <w:szCs w:val="30"/>
          <w:rtl/>
          <w:lang w:eastAsia="zh-TW"/>
        </w:rPr>
        <w:t>ة</w:t>
      </w:r>
      <w:r w:rsidRPr="00EF0115">
        <w:rPr>
          <w:rFonts w:cs="Traditional Arabic"/>
          <w:szCs w:val="30"/>
          <w:rtl/>
          <w:lang w:eastAsia="zh-TW"/>
        </w:rPr>
        <w:t xml:space="preserve"> معلومات عن الكمية التقديرية للأسيتوكلور المنتج والمستورد والمصدَّر والمُستخدَم. </w:t>
      </w:r>
    </w:p>
    <w:p w:rsidR="00412193" w:rsidRPr="00EF0115" w:rsidRDefault="00412193" w:rsidP="00412193">
      <w:pPr>
        <w:pStyle w:val="Normalnumber"/>
        <w:numPr>
          <w:ilvl w:val="0"/>
          <w:numId w:val="2"/>
        </w:numPr>
        <w:tabs>
          <w:tab w:val="clear" w:pos="624"/>
          <w:tab w:val="left" w:pos="1841"/>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بيد أن المعلومات التي جمعتها الأمانة تدل على أن التجارة الدولية في الأسيتوكلور لا تزال قائمة </w:t>
      </w:r>
      <w:r w:rsidRPr="007B4110">
        <w:rPr>
          <w:rFonts w:asciiTheme="majorBidi" w:hAnsiTheme="majorBidi" w:cstheme="majorBidi"/>
          <w:rtl/>
          <w:lang w:eastAsia="zh-TW"/>
        </w:rPr>
        <w:t>(</w:t>
      </w:r>
      <w:r w:rsidRPr="007B4110">
        <w:rPr>
          <w:rFonts w:asciiTheme="majorBidi" w:hAnsiTheme="majorBidi" w:cstheme="majorBidi"/>
          <w:lang w:eastAsia="zh-TW"/>
        </w:rPr>
        <w:t>UNEP/FAO/RC/CRC.13/INF/5</w:t>
      </w:r>
      <w:r w:rsidRPr="007B4110">
        <w:rPr>
          <w:rFonts w:asciiTheme="majorBidi" w:hAnsiTheme="majorBidi" w:cstheme="majorBidi"/>
          <w:rtl/>
          <w:lang w:eastAsia="zh-TW"/>
        </w:rPr>
        <w:t>)</w:t>
      </w:r>
      <w:r w:rsidRPr="00EF0115">
        <w:rPr>
          <w:rFonts w:cs="Traditional Arabic"/>
          <w:szCs w:val="30"/>
          <w:rtl/>
          <w:lang w:eastAsia="zh-TW"/>
        </w:rPr>
        <w:t>.</w:t>
      </w:r>
    </w:p>
    <w:p w:rsidR="00412193" w:rsidRPr="00EF0115" w:rsidRDefault="00412193" w:rsidP="00412193">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وعليه، فإن اللجنة تؤكّد أن المعيار الوارد في الفقرة (ج) ’4‘ قد استوفي.</w:t>
      </w:r>
    </w:p>
    <w:p w:rsidR="00412193" w:rsidRPr="0085112A"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r w:rsidRPr="0085112A">
        <w:rPr>
          <w:rFonts w:cs="Traditional Arabic"/>
          <w:bCs/>
          <w:sz w:val="30"/>
          <w:szCs w:val="30"/>
          <w:rtl/>
          <w:lang w:eastAsia="zh-TW"/>
        </w:rPr>
        <w:t>(هـ)</w:t>
      </w:r>
      <w:r w:rsidRPr="0085112A">
        <w:rPr>
          <w:rFonts w:cs="Traditional Arabic"/>
          <w:bCs/>
          <w:sz w:val="30"/>
          <w:szCs w:val="30"/>
          <w:rtl/>
          <w:lang w:eastAsia="zh-TW"/>
        </w:rPr>
        <w:tab/>
        <w:t>المعيار الوارد في الفقرة (د) من المرفق الثاني</w:t>
      </w:r>
    </w:p>
    <w:p w:rsidR="00412193" w:rsidRPr="00AD33C3" w:rsidRDefault="00412193" w:rsidP="00412193">
      <w:pPr>
        <w:pStyle w:val="Normalnumber"/>
        <w:numPr>
          <w:ilvl w:val="0"/>
          <w:numId w:val="0"/>
        </w:numPr>
        <w:tabs>
          <w:tab w:val="clear" w:pos="624"/>
          <w:tab w:val="left" w:pos="2408"/>
        </w:tabs>
        <w:bidi/>
        <w:spacing w:line="400" w:lineRule="exact"/>
        <w:ind w:left="1132" w:firstLine="709"/>
        <w:jc w:val="both"/>
        <w:textDirection w:val="tbRlV"/>
        <w:rPr>
          <w:rFonts w:cs="Traditional Arabic"/>
          <w:i/>
          <w:iCs/>
          <w:szCs w:val="30"/>
          <w:rtl/>
          <w:lang w:eastAsia="zh-TW"/>
        </w:rPr>
      </w:pPr>
      <w:r w:rsidRPr="00AD33C3">
        <w:rPr>
          <w:rFonts w:cs="Traditional Arabic"/>
          <w:i/>
          <w:iCs/>
          <w:szCs w:val="30"/>
          <w:rtl/>
          <w:lang w:eastAsia="zh-TW"/>
        </w:rPr>
        <w:t>(د)</w:t>
      </w:r>
      <w:r w:rsidRPr="00AD33C3">
        <w:rPr>
          <w:rFonts w:cs="Traditional Arabic"/>
          <w:i/>
          <w:iCs/>
          <w:szCs w:val="30"/>
          <w:rtl/>
          <w:lang w:eastAsia="zh-TW"/>
        </w:rPr>
        <w:tab/>
        <w:t>أن يؤخذ في الاعتبار أن إساءة الاستعمال بصورة متعمدة لا تشكل سبباً كافياً لإدراج المادة الكيميائية في المرفق الثالث؛</w:t>
      </w:r>
    </w:p>
    <w:p w:rsidR="00412193" w:rsidRPr="00EF0115" w:rsidRDefault="00412193" w:rsidP="00412193">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 xml:space="preserve">لا يوجد </w:t>
      </w:r>
      <w:r w:rsidRPr="00EF0115">
        <w:rPr>
          <w:rFonts w:cs="Traditional Arabic" w:hint="cs"/>
          <w:szCs w:val="30"/>
          <w:rtl/>
          <w:lang w:eastAsia="zh-TW"/>
        </w:rPr>
        <w:t xml:space="preserve">في الإخطار </w:t>
      </w:r>
      <w:r w:rsidRPr="00EF0115">
        <w:rPr>
          <w:rFonts w:cs="Traditional Arabic"/>
          <w:szCs w:val="30"/>
          <w:rtl/>
          <w:lang w:eastAsia="zh-TW"/>
        </w:rPr>
        <w:t xml:space="preserve">ما يشير </w:t>
      </w:r>
      <w:r w:rsidRPr="00EF0115">
        <w:rPr>
          <w:rFonts w:cs="Traditional Arabic" w:hint="cs"/>
          <w:szCs w:val="30"/>
          <w:rtl/>
          <w:lang w:eastAsia="zh-TW"/>
        </w:rPr>
        <w:t xml:space="preserve">إلى أن </w:t>
      </w:r>
      <w:r w:rsidRPr="00EF0115">
        <w:rPr>
          <w:rFonts w:cs="Traditional Arabic"/>
          <w:szCs w:val="30"/>
          <w:rtl/>
          <w:lang w:eastAsia="zh-TW"/>
        </w:rPr>
        <w:t xml:space="preserve">الإجراء التنظيمي </w:t>
      </w:r>
      <w:r w:rsidRPr="00EF0115">
        <w:rPr>
          <w:rFonts w:cs="Traditional Arabic" w:hint="cs"/>
          <w:szCs w:val="30"/>
          <w:rtl/>
          <w:lang w:eastAsia="zh-TW"/>
        </w:rPr>
        <w:t>اتُّخذ مخافة إساءة الاستخدام المتعمدة للمادة</w:t>
      </w:r>
      <w:r w:rsidRPr="00EF0115">
        <w:rPr>
          <w:rFonts w:cs="Traditional Arabic"/>
          <w:szCs w:val="30"/>
          <w:rtl/>
          <w:lang w:eastAsia="zh-TW"/>
        </w:rPr>
        <w:t xml:space="preserve">. </w:t>
      </w:r>
    </w:p>
    <w:p w:rsidR="00412193" w:rsidRPr="00EF0115" w:rsidRDefault="00412193" w:rsidP="00412193">
      <w:pPr>
        <w:pStyle w:val="Normalnumber"/>
        <w:numPr>
          <w:ilvl w:val="0"/>
          <w:numId w:val="2"/>
        </w:numPr>
        <w:tabs>
          <w:tab w:val="clear" w:pos="624"/>
        </w:tabs>
        <w:bidi/>
        <w:spacing w:line="400" w:lineRule="exact"/>
        <w:ind w:left="1134" w:firstLine="0"/>
        <w:jc w:val="both"/>
        <w:textDirection w:val="tbRlV"/>
        <w:rPr>
          <w:rFonts w:cs="Traditional Arabic"/>
          <w:snapToGrid w:val="0"/>
          <w:szCs w:val="30"/>
          <w:rtl/>
          <w:lang w:eastAsia="zh-TW"/>
        </w:rPr>
      </w:pPr>
      <w:r w:rsidRPr="00EF0115">
        <w:rPr>
          <w:rFonts w:cs="Traditional Arabic"/>
          <w:szCs w:val="30"/>
          <w:rtl/>
          <w:lang w:eastAsia="zh-TW"/>
        </w:rPr>
        <w:t xml:space="preserve">وعليه، فإن اللجنة تؤكّد أن المعيار الوارد في الفقرة (د) قد استوفي. </w:t>
      </w:r>
    </w:p>
    <w:p w:rsidR="00412193" w:rsidRPr="0085112A"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r w:rsidRPr="0085112A">
        <w:rPr>
          <w:rFonts w:cs="Traditional Arabic"/>
          <w:bCs/>
          <w:sz w:val="30"/>
          <w:szCs w:val="30"/>
          <w:rtl/>
          <w:lang w:eastAsia="zh-TW"/>
        </w:rPr>
        <w:t>(و)</w:t>
      </w:r>
      <w:r w:rsidRPr="0085112A">
        <w:rPr>
          <w:rFonts w:cs="Traditional Arabic"/>
          <w:bCs/>
          <w:sz w:val="30"/>
          <w:szCs w:val="30"/>
          <w:rtl/>
          <w:lang w:eastAsia="zh-TW"/>
        </w:rPr>
        <w:tab/>
        <w:t>الخلاصة</w:t>
      </w:r>
    </w:p>
    <w:p w:rsidR="00412193" w:rsidRPr="00EF0115" w:rsidRDefault="00412193" w:rsidP="00412193">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تستنتج اللجنة أن الإخطار بالإجراء التنظيمي النهائي الذي قدمه الاتحاد الأوروبي يستوفي المعايير الواردة في المرفق الثاني للاتفاقية.</w:t>
      </w:r>
    </w:p>
    <w:p w:rsidR="00412193" w:rsidRPr="005B4476" w:rsidRDefault="00412193" w:rsidP="00412193">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2"/>
        <w:jc w:val="both"/>
        <w:textDirection w:val="tbRlV"/>
        <w:rPr>
          <w:rFonts w:cs="Traditional Arabic"/>
          <w:bCs/>
          <w:sz w:val="32"/>
          <w:szCs w:val="32"/>
          <w:rtl/>
          <w:lang w:eastAsia="zh-TW"/>
        </w:rPr>
      </w:pPr>
      <w:r w:rsidRPr="005B4476">
        <w:rPr>
          <w:rFonts w:cs="Traditional Arabic"/>
          <w:bCs/>
          <w:sz w:val="32"/>
          <w:szCs w:val="32"/>
          <w:rtl/>
          <w:lang w:eastAsia="zh-TW"/>
        </w:rPr>
        <w:t>الخلاصة</w:t>
      </w:r>
    </w:p>
    <w:p w:rsidR="00412193" w:rsidRPr="00EF0115" w:rsidRDefault="00412193" w:rsidP="00412193">
      <w:pPr>
        <w:pStyle w:val="Normalnumber"/>
        <w:numPr>
          <w:ilvl w:val="0"/>
          <w:numId w:val="2"/>
        </w:numPr>
        <w:tabs>
          <w:tab w:val="clear" w:pos="624"/>
        </w:tabs>
        <w:bidi/>
        <w:spacing w:line="400" w:lineRule="exact"/>
        <w:ind w:left="1134" w:firstLine="0"/>
        <w:jc w:val="both"/>
        <w:textDirection w:val="tbRlV"/>
        <w:rPr>
          <w:rFonts w:cs="Traditional Arabic"/>
          <w:szCs w:val="30"/>
          <w:rtl/>
          <w:lang w:eastAsia="zh-TW"/>
        </w:rPr>
      </w:pPr>
      <w:r w:rsidRPr="00EF0115">
        <w:rPr>
          <w:rFonts w:cs="Traditional Arabic"/>
          <w:szCs w:val="30"/>
          <w:rtl/>
          <w:lang w:eastAsia="zh-TW"/>
        </w:rPr>
        <w:t>تستنتج اللجنة أن الإخطارات بالإجراء التنظيمي النهائي التي قدمها الاتحاد الأوروبي</w:t>
      </w:r>
      <w:r w:rsidRPr="00EF0115">
        <w:rPr>
          <w:rFonts w:cs="Traditional Arabic" w:hint="cs"/>
          <w:szCs w:val="30"/>
          <w:rtl/>
          <w:lang w:eastAsia="zh-TW"/>
        </w:rPr>
        <w:t>،</w:t>
      </w:r>
      <w:r w:rsidRPr="00EF0115">
        <w:rPr>
          <w:rFonts w:cs="Traditional Arabic"/>
          <w:szCs w:val="30"/>
          <w:rtl/>
          <w:lang w:eastAsia="zh-TW"/>
        </w:rPr>
        <w:t xml:space="preserve"> </w:t>
      </w:r>
      <w:r w:rsidRPr="00EF0115">
        <w:rPr>
          <w:rFonts w:cs="Traditional Arabic" w:hint="cs"/>
          <w:szCs w:val="30"/>
          <w:rtl/>
          <w:lang w:eastAsia="zh-TW"/>
        </w:rPr>
        <w:t>و</w:t>
      </w:r>
      <w:r w:rsidRPr="00EF0115">
        <w:rPr>
          <w:rFonts w:cs="Traditional Arabic"/>
          <w:szCs w:val="30"/>
          <w:rtl/>
          <w:lang w:eastAsia="zh-TW"/>
        </w:rPr>
        <w:t xml:space="preserve">بوركينا فاسو وتشاد وتوغو والسنغال وغامبيا وغينيا بيساو وكابو فيردي ومالي وموريتانيا والنيجر تستوفي المعايير الواردة في المرفق الثاني للاتفاقية. وخلصت اللجنة أيضاً إلى أن الإجراءات التنظيمية النهائية التي اتخذتها هذه الأطراف </w:t>
      </w:r>
      <w:r w:rsidRPr="00EF0115">
        <w:rPr>
          <w:rFonts w:cs="Traditional Arabic"/>
          <w:szCs w:val="30"/>
          <w:rtl/>
          <w:lang w:eastAsia="zh-TW"/>
        </w:rPr>
        <w:lastRenderedPageBreak/>
        <w:t xml:space="preserve">وفرت أساساً كافياً يبرر إدراج الأسيتوكلور في المرفق الثالث لاتفاقية روتردام </w:t>
      </w:r>
      <w:r w:rsidRPr="00EF0115">
        <w:rPr>
          <w:rFonts w:cs="Traditional Arabic" w:hint="cs"/>
          <w:szCs w:val="30"/>
          <w:rtl/>
          <w:lang w:eastAsia="zh-TW"/>
        </w:rPr>
        <w:t>ضمن</w:t>
      </w:r>
      <w:r w:rsidRPr="00EF0115">
        <w:rPr>
          <w:rFonts w:cs="Traditional Arabic"/>
          <w:szCs w:val="30"/>
          <w:rtl/>
          <w:lang w:eastAsia="zh-TW"/>
        </w:rPr>
        <w:t xml:space="preserve"> فئة مبيدات الآفات، وأنه ينبغي صياغة وثيقة توجيه قرارات على أساس هذه الإخطارات.</w:t>
      </w:r>
    </w:p>
    <w:p w:rsidR="00D22374" w:rsidRDefault="00D22374"/>
    <w:sectPr w:rsidR="00D22374" w:rsidSect="00D2237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0019" w:rsidRDefault="003D0019" w:rsidP="00412193">
      <w:r>
        <w:separator/>
      </w:r>
    </w:p>
  </w:endnote>
  <w:endnote w:type="continuationSeparator" w:id="0">
    <w:p w:rsidR="003D0019" w:rsidRDefault="003D0019" w:rsidP="004121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0019" w:rsidRDefault="003D0019" w:rsidP="00412193">
      <w:r>
        <w:separator/>
      </w:r>
    </w:p>
  </w:footnote>
  <w:footnote w:type="continuationSeparator" w:id="0">
    <w:p w:rsidR="003D0019" w:rsidRDefault="003D0019" w:rsidP="00412193">
      <w:r>
        <w:continuationSeparator/>
      </w:r>
    </w:p>
  </w:footnote>
  <w:footnote w:id="1">
    <w:p w:rsidR="00412193" w:rsidRPr="00FA6E8B" w:rsidRDefault="00412193" w:rsidP="00412193">
      <w:pPr>
        <w:pStyle w:val="FootnoteText"/>
        <w:spacing w:after="60" w:line="300" w:lineRule="exact"/>
        <w:ind w:left="1134"/>
        <w:rPr>
          <w:rFonts w:ascii="Times New Roman" w:hAnsi="Times New Roman" w:cs="Traditional Arabic"/>
          <w:sz w:val="18"/>
          <w:szCs w:val="26"/>
          <w:rtl/>
        </w:rPr>
      </w:pPr>
      <w:r w:rsidRPr="00FA6E8B">
        <w:rPr>
          <w:rStyle w:val="FootnoteReference"/>
          <w:rFonts w:ascii="Times New Roman" w:hAnsi="Times New Roman" w:cs="Traditional Arabic" w:hint="cs"/>
          <w:sz w:val="18"/>
          <w:szCs w:val="26"/>
        </w:rPr>
        <w:t>)</w:t>
      </w:r>
      <w:r w:rsidRPr="00FA6E8B">
        <w:rPr>
          <w:rStyle w:val="FootnoteReference"/>
          <w:rFonts w:ascii="Times New Roman" w:hAnsi="Times New Roman" w:cs="Traditional Arabic"/>
          <w:sz w:val="18"/>
          <w:szCs w:val="26"/>
          <w:rtl/>
        </w:rPr>
        <w:t>1</w:t>
      </w:r>
      <w:r w:rsidRPr="00FA6E8B">
        <w:rPr>
          <w:rStyle w:val="FootnoteReference"/>
          <w:rFonts w:ascii="Times New Roman" w:hAnsi="Times New Roman" w:cs="Traditional Arabic" w:hint="cs"/>
          <w:sz w:val="18"/>
          <w:szCs w:val="26"/>
        </w:rPr>
        <w:t>(</w:t>
      </w:r>
      <w:r>
        <w:rPr>
          <w:rFonts w:ascii="Times New Roman" w:hAnsi="Times New Roman" w:cs="Traditional Arabic" w:hint="cs"/>
          <w:sz w:val="18"/>
          <w:szCs w:val="26"/>
          <w:rtl/>
        </w:rPr>
        <w:t xml:space="preserve">  </w:t>
      </w:r>
      <w:r w:rsidRPr="00FA6E8B">
        <w:rPr>
          <w:rFonts w:ascii="Times New Roman" w:hAnsi="Times New Roman" w:cs="Traditional Arabic"/>
          <w:sz w:val="18"/>
          <w:szCs w:val="26"/>
          <w:rtl/>
          <w:lang w:val="en-GB" w:eastAsia="zh-TW"/>
        </w:rPr>
        <w:t xml:space="preserve">انظر الوثيقة </w:t>
      </w:r>
      <w:r w:rsidRPr="00FA6E8B">
        <w:rPr>
          <w:rFonts w:ascii="Times New Roman" w:hAnsi="Times New Roman" w:cs="Traditional Arabic"/>
          <w:sz w:val="18"/>
          <w:szCs w:val="26"/>
          <w:lang w:val="en-GB" w:eastAsia="zh-TW"/>
        </w:rPr>
        <w:t>UNEP/FAO/RC/CRC.13/3</w:t>
      </w:r>
      <w:r w:rsidRPr="00FA6E8B">
        <w:rPr>
          <w:rFonts w:ascii="Times New Roman" w:hAnsi="Times New Roman" w:cs="Traditional Arabic"/>
          <w:sz w:val="18"/>
          <w:szCs w:val="26"/>
          <w:rtl/>
          <w:lang w:val="en-GB" w:eastAsia="zh-TW"/>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85449A"/>
    <w:multiLevelType w:val="hybridMultilevel"/>
    <w:tmpl w:val="2554937A"/>
    <w:lvl w:ilvl="0" w:tplc="04130001">
      <w:start w:val="1"/>
      <w:numFmt w:val="bullet"/>
      <w:lvlText w:val=""/>
      <w:lvlJc w:val="left"/>
      <w:pPr>
        <w:ind w:left="984" w:hanging="360"/>
      </w:pPr>
      <w:rPr>
        <w:rFonts w:ascii="Symbol" w:hAnsi="Symbol" w:hint="default"/>
        <w:b w:val="0"/>
      </w:rPr>
    </w:lvl>
    <w:lvl w:ilvl="1" w:tplc="04130019" w:tentative="1">
      <w:start w:val="1"/>
      <w:numFmt w:val="lowerLetter"/>
      <w:lvlText w:val="%2."/>
      <w:lvlJc w:val="left"/>
      <w:pPr>
        <w:ind w:left="1704" w:hanging="360"/>
      </w:pPr>
    </w:lvl>
    <w:lvl w:ilvl="2" w:tplc="0413001B" w:tentative="1">
      <w:start w:val="1"/>
      <w:numFmt w:val="lowerRoman"/>
      <w:lvlText w:val="%3."/>
      <w:lvlJc w:val="right"/>
      <w:pPr>
        <w:ind w:left="2424" w:hanging="180"/>
      </w:pPr>
    </w:lvl>
    <w:lvl w:ilvl="3" w:tplc="0413000F" w:tentative="1">
      <w:start w:val="1"/>
      <w:numFmt w:val="decimal"/>
      <w:lvlText w:val="%4."/>
      <w:lvlJc w:val="left"/>
      <w:pPr>
        <w:ind w:left="3144" w:hanging="360"/>
      </w:pPr>
    </w:lvl>
    <w:lvl w:ilvl="4" w:tplc="04130019" w:tentative="1">
      <w:start w:val="1"/>
      <w:numFmt w:val="lowerLetter"/>
      <w:lvlText w:val="%5."/>
      <w:lvlJc w:val="left"/>
      <w:pPr>
        <w:ind w:left="3864" w:hanging="360"/>
      </w:pPr>
    </w:lvl>
    <w:lvl w:ilvl="5" w:tplc="0413001B" w:tentative="1">
      <w:start w:val="1"/>
      <w:numFmt w:val="lowerRoman"/>
      <w:lvlText w:val="%6."/>
      <w:lvlJc w:val="right"/>
      <w:pPr>
        <w:ind w:left="4584" w:hanging="180"/>
      </w:pPr>
    </w:lvl>
    <w:lvl w:ilvl="6" w:tplc="0413000F" w:tentative="1">
      <w:start w:val="1"/>
      <w:numFmt w:val="decimal"/>
      <w:lvlText w:val="%7."/>
      <w:lvlJc w:val="left"/>
      <w:pPr>
        <w:ind w:left="5304" w:hanging="360"/>
      </w:pPr>
    </w:lvl>
    <w:lvl w:ilvl="7" w:tplc="04130019" w:tentative="1">
      <w:start w:val="1"/>
      <w:numFmt w:val="lowerLetter"/>
      <w:lvlText w:val="%8."/>
      <w:lvlJc w:val="left"/>
      <w:pPr>
        <w:ind w:left="6024" w:hanging="360"/>
      </w:pPr>
    </w:lvl>
    <w:lvl w:ilvl="8" w:tplc="0413001B" w:tentative="1">
      <w:start w:val="1"/>
      <w:numFmt w:val="lowerRoman"/>
      <w:lvlText w:val="%9."/>
      <w:lvlJc w:val="right"/>
      <w:pPr>
        <w:ind w:left="6744" w:hanging="180"/>
      </w:pPr>
    </w:lvl>
  </w:abstractNum>
  <w:abstractNum w:abstractNumId="1">
    <w:nsid w:val="4E611374"/>
    <w:multiLevelType w:val="hybridMultilevel"/>
    <w:tmpl w:val="DA80F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2A66A9D"/>
    <w:multiLevelType w:val="multilevel"/>
    <w:tmpl w:val="94A2A7D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nsid w:val="620C4041"/>
    <w:multiLevelType w:val="hybridMultilevel"/>
    <w:tmpl w:val="3DD0B7F0"/>
    <w:lvl w:ilvl="0" w:tplc="A484E1D2">
      <w:start w:val="1"/>
      <w:numFmt w:val="decimal"/>
      <w:lvlText w:val="%1 -"/>
      <w:lvlJc w:val="left"/>
      <w:pPr>
        <w:ind w:left="1494" w:hanging="360"/>
      </w:pPr>
      <w:rPr>
        <w:rFonts w:hint="default"/>
        <w:b w:val="0"/>
      </w:rPr>
    </w:lvl>
    <w:lvl w:ilvl="1" w:tplc="08090019">
      <w:start w:val="1"/>
      <w:numFmt w:val="lowerLetter"/>
      <w:lvlText w:val="%2."/>
      <w:lvlJc w:val="left"/>
      <w:pPr>
        <w:ind w:left="167" w:hanging="360"/>
      </w:pPr>
    </w:lvl>
    <w:lvl w:ilvl="2" w:tplc="0809001B" w:tentative="1">
      <w:start w:val="1"/>
      <w:numFmt w:val="lowerRoman"/>
      <w:lvlText w:val="%3."/>
      <w:lvlJc w:val="right"/>
      <w:pPr>
        <w:ind w:left="887" w:hanging="180"/>
      </w:pPr>
    </w:lvl>
    <w:lvl w:ilvl="3" w:tplc="0809000F" w:tentative="1">
      <w:start w:val="1"/>
      <w:numFmt w:val="decimal"/>
      <w:lvlText w:val="%4."/>
      <w:lvlJc w:val="left"/>
      <w:pPr>
        <w:ind w:left="1607" w:hanging="360"/>
      </w:pPr>
    </w:lvl>
    <w:lvl w:ilvl="4" w:tplc="08090019" w:tentative="1">
      <w:start w:val="1"/>
      <w:numFmt w:val="lowerLetter"/>
      <w:lvlText w:val="%5."/>
      <w:lvlJc w:val="left"/>
      <w:pPr>
        <w:ind w:left="2327" w:hanging="360"/>
      </w:pPr>
    </w:lvl>
    <w:lvl w:ilvl="5" w:tplc="0809001B" w:tentative="1">
      <w:start w:val="1"/>
      <w:numFmt w:val="lowerRoman"/>
      <w:lvlText w:val="%6."/>
      <w:lvlJc w:val="right"/>
      <w:pPr>
        <w:ind w:left="3047" w:hanging="180"/>
      </w:pPr>
    </w:lvl>
    <w:lvl w:ilvl="6" w:tplc="0809000F" w:tentative="1">
      <w:start w:val="1"/>
      <w:numFmt w:val="decimal"/>
      <w:lvlText w:val="%7."/>
      <w:lvlJc w:val="left"/>
      <w:pPr>
        <w:ind w:left="3767" w:hanging="360"/>
      </w:pPr>
    </w:lvl>
    <w:lvl w:ilvl="7" w:tplc="08090019" w:tentative="1">
      <w:start w:val="1"/>
      <w:numFmt w:val="lowerLetter"/>
      <w:lvlText w:val="%8."/>
      <w:lvlJc w:val="left"/>
      <w:pPr>
        <w:ind w:left="4487" w:hanging="360"/>
      </w:pPr>
    </w:lvl>
    <w:lvl w:ilvl="8" w:tplc="0809001B" w:tentative="1">
      <w:start w:val="1"/>
      <w:numFmt w:val="lowerRoman"/>
      <w:lvlText w:val="%9."/>
      <w:lvlJc w:val="right"/>
      <w:pPr>
        <w:ind w:left="5207" w:hanging="180"/>
      </w:pPr>
    </w:lvl>
  </w:abstractNum>
  <w:num w:numId="1">
    <w:abstractNumId w:val="2"/>
  </w:num>
  <w:num w:numId="2">
    <w:abstractNumId w:val="3"/>
  </w:num>
  <w:num w:numId="3">
    <w:abstractNumId w:val="1"/>
    <w:lvlOverride w:ilvl="0">
      <w:lvl w:ilvl="0" w:tplc="04130001">
        <w:start w:val="1"/>
        <w:numFmt w:val="bullet"/>
        <w:lvlText w:val=""/>
        <w:lvlJc w:val="left"/>
        <w:pPr>
          <w:ind w:left="720" w:hanging="360"/>
        </w:pPr>
        <w:rPr>
          <w:rFonts w:ascii="Symbol" w:hAnsi="Symbol" w:hint="default"/>
        </w:rPr>
      </w:lvl>
    </w:lvlOverride>
  </w:num>
  <w:num w:numId="4">
    <w:abstractNumId w:val="0"/>
    <w:lvlOverride w:ilvl="0">
      <w:lvl w:ilvl="0" w:tplc="04130001">
        <w:start w:val="1"/>
        <w:numFmt w:val="bullet"/>
        <w:lvlText w:val=""/>
        <w:lvlJc w:val="left"/>
        <w:pPr>
          <w:ind w:left="984" w:hanging="360"/>
        </w:pPr>
        <w:rPr>
          <w:rFonts w:ascii="Symbol" w:hAnsi="Symbol" w:hint="default"/>
          <w:b w:val="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62"/>
  <w:characterSpacingControl w:val="doNotCompress"/>
  <w:footnotePr>
    <w:footnote w:id="-1"/>
    <w:footnote w:id="0"/>
  </w:footnotePr>
  <w:endnotePr>
    <w:endnote w:id="-1"/>
    <w:endnote w:id="0"/>
  </w:endnotePr>
  <w:compat/>
  <w:rsids>
    <w:rsidRoot w:val="00412193"/>
    <w:rsid w:val="003D0019"/>
    <w:rsid w:val="00412193"/>
    <w:rsid w:val="00D223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193"/>
    <w:pPr>
      <w:bidi/>
      <w:spacing w:after="0" w:line="240" w:lineRule="auto"/>
    </w:pPr>
    <w:rPr>
      <w:rFonts w:ascii="Times" w:eastAsia="Times New Roman" w:hAnsi="Times" w:cs="Simplified Arabic"/>
      <w:noProo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uiPriority w:val="99"/>
    <w:rsid w:val="00412193"/>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uiPriority w:val="99"/>
    <w:rsid w:val="00412193"/>
    <w:rPr>
      <w:rFonts w:ascii="Times" w:eastAsia="Times New Roman" w:hAnsi="Times" w:cs="Simplified Arabic"/>
      <w:noProof/>
      <w:sz w:val="20"/>
      <w:szCs w:val="20"/>
    </w:rPr>
  </w:style>
  <w:style w:type="character" w:styleId="FootnoteReference">
    <w:name w:val="footnote reference"/>
    <w:aliases w:val="16 Point,Superscript 6 Point,ftref,(Ref. de nota al pie),number,SUPERS,Footnote Reference Superscript"/>
    <w:uiPriority w:val="99"/>
    <w:rsid w:val="00412193"/>
    <w:rPr>
      <w:vertAlign w:val="superscript"/>
    </w:rPr>
  </w:style>
  <w:style w:type="paragraph" w:customStyle="1" w:styleId="Normal-pool">
    <w:name w:val="Normal-pool"/>
    <w:link w:val="Normal-poolChar"/>
    <w:rsid w:val="0041219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CH1">
    <w:name w:val="CH1"/>
    <w:basedOn w:val="Normal"/>
    <w:next w:val="Normal"/>
    <w:rsid w:val="00412193"/>
    <w:pPr>
      <w:keepNext/>
      <w:keepLines/>
      <w:tabs>
        <w:tab w:val="right" w:pos="851"/>
        <w:tab w:val="left" w:pos="1247"/>
        <w:tab w:val="left" w:pos="1814"/>
        <w:tab w:val="left" w:pos="2381"/>
        <w:tab w:val="left" w:pos="2948"/>
        <w:tab w:val="left" w:pos="3515"/>
        <w:tab w:val="left" w:pos="4082"/>
      </w:tabs>
      <w:suppressAutoHyphens/>
      <w:bidi w:val="0"/>
      <w:spacing w:before="240" w:after="120"/>
      <w:ind w:left="1247" w:right="284" w:hanging="1247"/>
    </w:pPr>
    <w:rPr>
      <w:rFonts w:ascii="Times New Roman" w:hAnsi="Times New Roman" w:cs="Times New Roman"/>
      <w:b/>
      <w:noProof w:val="0"/>
      <w:sz w:val="28"/>
      <w:lang w:val="en-GB"/>
    </w:rPr>
  </w:style>
  <w:style w:type="numbering" w:customStyle="1" w:styleId="Normallist">
    <w:name w:val="Normal_list"/>
    <w:basedOn w:val="NoList"/>
    <w:rsid w:val="00412193"/>
    <w:pPr>
      <w:numPr>
        <w:numId w:val="1"/>
      </w:numPr>
    </w:pPr>
  </w:style>
  <w:style w:type="paragraph" w:customStyle="1" w:styleId="Normalnumber">
    <w:name w:val="Normal_number"/>
    <w:basedOn w:val="Normal"/>
    <w:link w:val="NormalnumberChar"/>
    <w:rsid w:val="00412193"/>
    <w:pPr>
      <w:numPr>
        <w:numId w:val="1"/>
      </w:numPr>
      <w:tabs>
        <w:tab w:val="left" w:pos="624"/>
      </w:tabs>
      <w:bidi w:val="0"/>
      <w:spacing w:after="120"/>
    </w:pPr>
    <w:rPr>
      <w:rFonts w:ascii="Times New Roman" w:hAnsi="Times New Roman" w:cs="Times New Roman"/>
      <w:noProof w:val="0"/>
      <w:szCs w:val="20"/>
      <w:lang w:val="en-GB"/>
    </w:rPr>
  </w:style>
  <w:style w:type="character" w:customStyle="1" w:styleId="NormalnumberChar">
    <w:name w:val="Normal_number Char"/>
    <w:link w:val="Normalnumber"/>
    <w:locked/>
    <w:rsid w:val="00412193"/>
    <w:rPr>
      <w:rFonts w:ascii="Times New Roman" w:eastAsia="Times New Roman" w:hAnsi="Times New Roman" w:cs="Times New Roman"/>
      <w:sz w:val="20"/>
      <w:szCs w:val="20"/>
      <w:lang w:val="en-GB"/>
    </w:rPr>
  </w:style>
  <w:style w:type="character" w:customStyle="1" w:styleId="Normal-poolChar">
    <w:name w:val="Normal-pool Char"/>
    <w:link w:val="Normal-pool"/>
    <w:locked/>
    <w:rsid w:val="00412193"/>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3757</Words>
  <Characters>21420</Characters>
  <Application>Microsoft Office Word</Application>
  <DocSecurity>0</DocSecurity>
  <Lines>178</Lines>
  <Paragraphs>50</Paragraphs>
  <ScaleCrop>false</ScaleCrop>
  <Company>BRS</Company>
  <LinksUpToDate>false</LinksUpToDate>
  <CharactersWithSpaces>25127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2018-02-28T16:30:00Z</dcterms:created>
  <dcterms:modified xsi:type="dcterms:W3CDTF">2018-02-28T16:30:00Z</dcterms:modified>
</cp:coreProperties>
</file>