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019" w:rsidRPr="00C62790" w:rsidRDefault="00172019" w:rsidP="004552A7">
      <w:pPr>
        <w:pStyle w:val="CH1"/>
        <w:tabs>
          <w:tab w:val="clear" w:pos="851"/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before="0"/>
        <w:ind w:left="1253" w:right="288" w:firstLine="0"/>
        <w:rPr>
          <w:lang w:val="fr-FR"/>
        </w:rPr>
      </w:pPr>
      <w:r w:rsidRPr="00C62790">
        <w:rPr>
          <w:lang w:val="fr-FR"/>
        </w:rPr>
        <w:t>CRC-13/1</w:t>
      </w:r>
      <w:r>
        <w:rPr>
          <w:lang w:val="fr-FR"/>
        </w:rPr>
        <w:t> </w:t>
      </w:r>
      <w:r w:rsidRPr="00C62790">
        <w:rPr>
          <w:lang w:val="fr-FR"/>
        </w:rPr>
        <w:t xml:space="preserve">: 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</w:t>
      </w:r>
    </w:p>
    <w:p w:rsidR="00172019" w:rsidRPr="00C62790" w:rsidRDefault="00172019" w:rsidP="00172019">
      <w:pPr>
        <w:keepNext/>
        <w:tabs>
          <w:tab w:val="left" w:pos="624"/>
        </w:tabs>
        <w:spacing w:after="120"/>
        <w:ind w:left="1247" w:firstLine="624"/>
        <w:rPr>
          <w:i/>
        </w:rPr>
      </w:pPr>
      <w:r w:rsidRPr="00C62790">
        <w:rPr>
          <w:i/>
        </w:rPr>
        <w:t>Le Comité d</w:t>
      </w:r>
      <w:r>
        <w:rPr>
          <w:i/>
        </w:rPr>
        <w:t>’</w:t>
      </w:r>
      <w:r w:rsidRPr="00C62790">
        <w:rPr>
          <w:i/>
        </w:rPr>
        <w:t xml:space="preserve">étude des produits chimiques, </w:t>
      </w:r>
    </w:p>
    <w:p w:rsidR="00172019" w:rsidRPr="00C62790" w:rsidRDefault="00172019" w:rsidP="00172019">
      <w:pPr>
        <w:widowControl w:val="0"/>
        <w:tabs>
          <w:tab w:val="left" w:pos="624"/>
        </w:tabs>
        <w:suppressAutoHyphens/>
        <w:spacing w:after="120"/>
        <w:ind w:left="1247" w:firstLine="624"/>
      </w:pPr>
      <w:r w:rsidRPr="00C62790">
        <w:rPr>
          <w:i/>
        </w:rPr>
        <w:t>Rappelant</w:t>
      </w:r>
      <w:r>
        <w:t xml:space="preserve"> l’article </w:t>
      </w:r>
      <w:r w:rsidRPr="00C62790">
        <w:t>5 de la Convention de Rotterdam sur la procédure de consentement préalable en connaissance de cause applicable à certains produits chimiques et pesticides dangereux qui font l</w:t>
      </w:r>
      <w:r>
        <w:t>’</w:t>
      </w:r>
      <w:r w:rsidRPr="00C62790">
        <w:t>objet d</w:t>
      </w:r>
      <w:r>
        <w:t>’</w:t>
      </w:r>
      <w:r w:rsidRPr="00C62790">
        <w:t>un commerce international,</w:t>
      </w:r>
    </w:p>
    <w:p w:rsidR="00172019" w:rsidRPr="00C62790" w:rsidRDefault="00172019" w:rsidP="00172019">
      <w:pPr>
        <w:tabs>
          <w:tab w:val="left" w:pos="624"/>
          <w:tab w:val="left" w:pos="2520"/>
        </w:tabs>
        <w:spacing w:after="120"/>
        <w:ind w:left="1247" w:firstLine="624"/>
      </w:pPr>
      <w:r w:rsidRPr="00C62790">
        <w:rPr>
          <w:iCs/>
        </w:rPr>
        <w:t>1.</w:t>
      </w:r>
      <w:r w:rsidRPr="00C62790">
        <w:rPr>
          <w:iCs/>
        </w:rPr>
        <w:tab/>
      </w:r>
      <w:r w:rsidRPr="00C62790">
        <w:rPr>
          <w:i/>
          <w:iCs/>
        </w:rPr>
        <w:t>Conclut</w:t>
      </w:r>
      <w:r w:rsidRPr="00C62790">
        <w:t xml:space="preserve"> que les notifications de mesure de réglementation finale concernant l</w:t>
      </w:r>
      <w:r>
        <w:t>’</w:t>
      </w:r>
      <w:proofErr w:type="spellStart"/>
      <w:r w:rsidRPr="00C62790">
        <w:rPr>
          <w:lang w:eastAsia="en-GB"/>
        </w:rPr>
        <w:t>acétochlore</w:t>
      </w:r>
      <w:proofErr w:type="spellEnd"/>
      <w:r w:rsidRPr="00C62790">
        <w:rPr>
          <w:lang w:eastAsia="en-GB"/>
        </w:rPr>
        <w:t xml:space="preserve"> soumises par l</w:t>
      </w:r>
      <w:r>
        <w:rPr>
          <w:lang w:eastAsia="en-GB"/>
        </w:rPr>
        <w:t>’</w:t>
      </w:r>
      <w:r w:rsidRPr="00C62790">
        <w:rPr>
          <w:lang w:eastAsia="en-GB"/>
        </w:rPr>
        <w:t xml:space="preserve">Union européenne et le Burkina Faso, le </w:t>
      </w:r>
      <w:proofErr w:type="spellStart"/>
      <w:r w:rsidRPr="00C62790">
        <w:rPr>
          <w:lang w:eastAsia="en-GB"/>
        </w:rPr>
        <w:t>Cabo</w:t>
      </w:r>
      <w:proofErr w:type="spellEnd"/>
      <w:r w:rsidRPr="00C62790">
        <w:rPr>
          <w:lang w:eastAsia="en-GB"/>
        </w:rPr>
        <w:t xml:space="preserve"> </w:t>
      </w:r>
      <w:proofErr w:type="spellStart"/>
      <w:r w:rsidRPr="00C62790">
        <w:rPr>
          <w:lang w:eastAsia="en-GB"/>
        </w:rPr>
        <w:t>Verde</w:t>
      </w:r>
      <w:proofErr w:type="spellEnd"/>
      <w:r w:rsidRPr="00C62790">
        <w:rPr>
          <w:lang w:eastAsia="en-GB"/>
        </w:rPr>
        <w:t>, la Gambie, la Guinée-Bissau, le Mali, la Mauritanie, le Niger, le Sénégal, le Tchad et le Togo</w:t>
      </w:r>
      <w:r w:rsidRPr="00C62790">
        <w:rPr>
          <w:rStyle w:val="FootnoteReference"/>
          <w:lang w:eastAsia="en-GB"/>
        </w:rPr>
        <w:footnoteReference w:id="1"/>
      </w:r>
      <w:r w:rsidRPr="00C62790">
        <w:t xml:space="preserve"> satisfont aux critères énoncés dans l</w:t>
      </w:r>
      <w:r>
        <w:t>’Annexe </w:t>
      </w:r>
      <w:r w:rsidRPr="00C62790">
        <w:t xml:space="preserve">II </w:t>
      </w:r>
      <w:r>
        <w:t>de</w:t>
      </w:r>
      <w:r w:rsidRPr="00C62790">
        <w:t xml:space="preserve"> la Convention</w:t>
      </w:r>
      <w:r>
        <w:t> </w:t>
      </w:r>
      <w:r w:rsidRPr="00C62790">
        <w:t>;</w:t>
      </w:r>
    </w:p>
    <w:p w:rsidR="00172019" w:rsidRPr="00C62790" w:rsidRDefault="00172019" w:rsidP="001720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iCs/>
          <w:lang w:val="fr-FR"/>
        </w:rPr>
        <w:t>2.</w:t>
      </w:r>
      <w:r w:rsidRPr="00C62790">
        <w:rPr>
          <w:i/>
          <w:iCs/>
          <w:lang w:val="fr-FR"/>
        </w:rPr>
        <w:tab/>
        <w:t>Adopte</w:t>
      </w:r>
      <w:r w:rsidRPr="00C62790">
        <w:rPr>
          <w:lang w:val="fr-FR"/>
        </w:rPr>
        <w:t xml:space="preserve"> la justification de la conclusion </w:t>
      </w:r>
      <w:r>
        <w:rPr>
          <w:lang w:val="fr-FR"/>
        </w:rPr>
        <w:t>du Comité figurant</w:t>
      </w:r>
      <w:r w:rsidRPr="00C62790">
        <w:rPr>
          <w:lang w:val="fr-FR"/>
        </w:rPr>
        <w:t xml:space="preserve"> dans l</w:t>
      </w:r>
      <w:r>
        <w:rPr>
          <w:lang w:val="fr-FR"/>
        </w:rPr>
        <w:t>’</w:t>
      </w:r>
      <w:r w:rsidRPr="00C62790">
        <w:rPr>
          <w:lang w:val="fr-FR"/>
        </w:rPr>
        <w:t xml:space="preserve">annexe </w:t>
      </w:r>
      <w:r>
        <w:rPr>
          <w:lang w:val="fr-FR"/>
        </w:rPr>
        <w:br/>
      </w:r>
      <w:r w:rsidRPr="00C62790">
        <w:rPr>
          <w:lang w:val="fr-FR"/>
        </w:rPr>
        <w:t>à la présente décision</w:t>
      </w:r>
      <w:r>
        <w:rPr>
          <w:lang w:val="fr-FR"/>
        </w:rPr>
        <w:t> </w:t>
      </w:r>
      <w:r w:rsidRPr="00C62790">
        <w:rPr>
          <w:lang w:val="fr-FR"/>
        </w:rPr>
        <w:t>;</w:t>
      </w:r>
    </w:p>
    <w:p w:rsidR="00172019" w:rsidRPr="00C62790" w:rsidRDefault="00172019" w:rsidP="001720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iCs/>
          <w:lang w:val="fr-FR"/>
        </w:rPr>
        <w:t>3.</w:t>
      </w:r>
      <w:r w:rsidRPr="00C62790">
        <w:rPr>
          <w:iCs/>
          <w:lang w:val="fr-FR"/>
        </w:rPr>
        <w:tab/>
      </w:r>
      <w:r w:rsidRPr="00C62790">
        <w:rPr>
          <w:i/>
          <w:lang w:val="fr-FR"/>
        </w:rPr>
        <w:t xml:space="preserve">Recommande </w:t>
      </w:r>
      <w:r w:rsidRPr="00C62790">
        <w:rPr>
          <w:lang w:val="fr-FR"/>
        </w:rPr>
        <w:t>à la Conférence des Parties, conformément au paragraphe 6 de l</w:t>
      </w:r>
      <w:r>
        <w:rPr>
          <w:lang w:val="fr-FR"/>
        </w:rPr>
        <w:t>’</w:t>
      </w:r>
      <w:r w:rsidRPr="00C62790">
        <w:rPr>
          <w:lang w:val="fr-FR"/>
        </w:rPr>
        <w:t>article 5 de la Convention, d</w:t>
      </w:r>
      <w:r>
        <w:rPr>
          <w:lang w:val="fr-FR"/>
        </w:rPr>
        <w:t>’</w:t>
      </w:r>
      <w:r w:rsidRPr="00C62790">
        <w:rPr>
          <w:lang w:val="fr-FR"/>
        </w:rPr>
        <w:t>inscrire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à l</w:t>
      </w:r>
      <w:r>
        <w:rPr>
          <w:lang w:val="fr-FR"/>
        </w:rPr>
        <w:t>’</w:t>
      </w:r>
      <w:r w:rsidRPr="00C62790">
        <w:rPr>
          <w:lang w:val="fr-FR"/>
        </w:rPr>
        <w:t>Annexe III de la Convention en tant que pesticide</w:t>
      </w:r>
      <w:r>
        <w:rPr>
          <w:lang w:val="fr-FR"/>
        </w:rPr>
        <w:t> </w:t>
      </w:r>
      <w:r w:rsidRPr="00C62790">
        <w:rPr>
          <w:lang w:val="fr-FR"/>
        </w:rPr>
        <w:t>;</w:t>
      </w:r>
    </w:p>
    <w:p w:rsidR="00172019" w:rsidRPr="00C62790" w:rsidRDefault="00172019" w:rsidP="001720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iCs/>
          <w:lang w:val="fr-FR"/>
        </w:rPr>
        <w:t>4.</w:t>
      </w:r>
      <w:r w:rsidRPr="00C62790">
        <w:rPr>
          <w:iCs/>
          <w:lang w:val="fr-FR"/>
        </w:rPr>
        <w:tab/>
      </w:r>
      <w:r w:rsidRPr="00C62790">
        <w:rPr>
          <w:i/>
          <w:lang w:val="fr-FR"/>
        </w:rPr>
        <w:t>Décide</w:t>
      </w:r>
      <w:r w:rsidRPr="00C62790">
        <w:rPr>
          <w:lang w:val="fr-FR"/>
        </w:rPr>
        <w:t>, conformément au paragraphe 1 de l</w:t>
      </w:r>
      <w:r>
        <w:rPr>
          <w:lang w:val="fr-FR"/>
        </w:rPr>
        <w:t>’</w:t>
      </w:r>
      <w:r w:rsidRPr="00C62790">
        <w:rPr>
          <w:lang w:val="fr-FR"/>
        </w:rPr>
        <w:t>article 7 de la Convention, de préparer un projet de document d</w:t>
      </w:r>
      <w:r>
        <w:rPr>
          <w:lang w:val="fr-FR"/>
        </w:rPr>
        <w:t>’</w:t>
      </w:r>
      <w:r w:rsidRPr="00C62790">
        <w:rPr>
          <w:lang w:val="fr-FR"/>
        </w:rPr>
        <w:t>orientation des décisions sur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;</w:t>
      </w:r>
    </w:p>
    <w:p w:rsidR="00172019" w:rsidRPr="00C62790" w:rsidRDefault="00172019" w:rsidP="00172019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  <w:tab w:val="left" w:pos="2520"/>
        </w:tabs>
        <w:spacing w:after="120"/>
        <w:ind w:left="1247" w:firstLine="624"/>
        <w:rPr>
          <w:lang w:val="fr-FR"/>
        </w:rPr>
      </w:pPr>
      <w:r w:rsidRPr="00C62790">
        <w:rPr>
          <w:lang w:val="fr-FR"/>
        </w:rPr>
        <w:t>5.</w:t>
      </w:r>
      <w:r w:rsidRPr="00C62790">
        <w:rPr>
          <w:lang w:val="fr-FR"/>
        </w:rPr>
        <w:tab/>
      </w:r>
      <w:r w:rsidRPr="00C62790">
        <w:rPr>
          <w:i/>
          <w:lang w:val="fr-FR"/>
        </w:rPr>
        <w:t>Décide également</w:t>
      </w:r>
      <w:r w:rsidRPr="00C62790">
        <w:rPr>
          <w:lang w:val="fr-FR"/>
        </w:rPr>
        <w:t>, conformément à la procédure à suivre pour l</w:t>
      </w:r>
      <w:r>
        <w:rPr>
          <w:lang w:val="fr-FR"/>
        </w:rPr>
        <w:t>’</w:t>
      </w:r>
      <w:r w:rsidRPr="00C62790">
        <w:rPr>
          <w:lang w:val="fr-FR"/>
        </w:rPr>
        <w:t>élaboration des documents d</w:t>
      </w:r>
      <w:r>
        <w:rPr>
          <w:lang w:val="fr-FR"/>
        </w:rPr>
        <w:t>’</w:t>
      </w:r>
      <w:r w:rsidRPr="00C62790">
        <w:rPr>
          <w:lang w:val="fr-FR"/>
        </w:rPr>
        <w:t>orientation des déc</w:t>
      </w:r>
      <w:r>
        <w:rPr>
          <w:lang w:val="fr-FR"/>
        </w:rPr>
        <w:t>isions décrite dans la décision </w:t>
      </w:r>
      <w:r w:rsidRPr="00C62790">
        <w:rPr>
          <w:lang w:val="fr-FR"/>
        </w:rPr>
        <w:t>RC-2/2, telle que modifiée par la</w:t>
      </w:r>
      <w:r>
        <w:rPr>
          <w:lang w:val="fr-FR"/>
        </w:rPr>
        <w:t> </w:t>
      </w:r>
      <w:r w:rsidRPr="00C62790">
        <w:rPr>
          <w:lang w:val="fr-FR"/>
        </w:rPr>
        <w:t>décision</w:t>
      </w:r>
      <w:r>
        <w:rPr>
          <w:lang w:val="fr-FR"/>
        </w:rPr>
        <w:t> </w:t>
      </w:r>
      <w:r w:rsidRPr="00C62790">
        <w:rPr>
          <w:lang w:val="fr-FR"/>
        </w:rPr>
        <w:t>RC-6/3, que la composition du groupe de rédaction intersessions chargé de préparer le projet de document d</w:t>
      </w:r>
      <w:r>
        <w:rPr>
          <w:lang w:val="fr-FR"/>
        </w:rPr>
        <w:t>’</w:t>
      </w:r>
      <w:r w:rsidRPr="00C62790">
        <w:rPr>
          <w:lang w:val="fr-FR"/>
        </w:rPr>
        <w:t>orientation des décisions sur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et le plan de travail du groupe seront, respectivement, ceux figurant </w:t>
      </w:r>
      <w:r>
        <w:rPr>
          <w:lang w:val="fr-FR"/>
        </w:rPr>
        <w:t>dans les annexes II et III du</w:t>
      </w:r>
      <w:r w:rsidRPr="00C62790">
        <w:rPr>
          <w:lang w:val="fr-FR"/>
        </w:rPr>
        <w:t xml:space="preserve"> rapport du Comité sur les travaux </w:t>
      </w:r>
      <w:r>
        <w:rPr>
          <w:lang w:val="fr-FR"/>
        </w:rPr>
        <w:t xml:space="preserve">de </w:t>
      </w:r>
      <w:r w:rsidRPr="00C62790">
        <w:rPr>
          <w:lang w:val="fr-FR"/>
        </w:rPr>
        <w:t>sa</w:t>
      </w:r>
      <w:r>
        <w:rPr>
          <w:lang w:val="fr-FR"/>
        </w:rPr>
        <w:t> </w:t>
      </w:r>
      <w:r w:rsidRPr="00C62790">
        <w:rPr>
          <w:lang w:val="fr-FR"/>
        </w:rPr>
        <w:t>treizième réunion.</w:t>
      </w:r>
    </w:p>
    <w:p w:rsidR="00172019" w:rsidRPr="00C62790" w:rsidRDefault="00172019" w:rsidP="00172019">
      <w:pPr>
        <w:pStyle w:val="CH1"/>
        <w:rPr>
          <w:lang w:val="fr-FR"/>
        </w:rPr>
      </w:pPr>
      <w:r w:rsidRPr="00C62790">
        <w:rPr>
          <w:lang w:val="fr-FR"/>
        </w:rPr>
        <w:tab/>
      </w:r>
      <w:r w:rsidRPr="00C62790">
        <w:rPr>
          <w:lang w:val="fr-FR"/>
        </w:rPr>
        <w:tab/>
        <w:t>Annexe à la dé</w:t>
      </w:r>
      <w:r>
        <w:rPr>
          <w:lang w:val="fr-FR"/>
        </w:rPr>
        <w:t>cision </w:t>
      </w:r>
      <w:r w:rsidRPr="00C62790">
        <w:rPr>
          <w:lang w:val="fr-FR"/>
        </w:rPr>
        <w:t>CRC-13/1</w:t>
      </w:r>
    </w:p>
    <w:p w:rsidR="00172019" w:rsidRPr="00C62790" w:rsidRDefault="00172019" w:rsidP="00172019">
      <w:pPr>
        <w:pStyle w:val="ZZAnxtitle"/>
        <w:keepNext/>
        <w:keepLines/>
        <w:spacing w:before="240"/>
        <w:ind w:left="1253"/>
        <w:rPr>
          <w:lang w:val="fr-FR"/>
        </w:rPr>
      </w:pPr>
      <w:r w:rsidRPr="00C62790">
        <w:rPr>
          <w:lang w:val="fr-FR"/>
        </w:rPr>
        <w:t>Justification de la conclusion du Comité d</w:t>
      </w:r>
      <w:r>
        <w:rPr>
          <w:lang w:val="fr-FR"/>
        </w:rPr>
        <w:t>’</w:t>
      </w:r>
      <w:r w:rsidRPr="00C62790">
        <w:rPr>
          <w:lang w:val="fr-FR"/>
        </w:rPr>
        <w:t>étude des produits chimiques selon laquelle les notifications</w:t>
      </w:r>
      <w:r>
        <w:rPr>
          <w:lang w:val="fr-FR"/>
        </w:rPr>
        <w:t xml:space="preserve"> de mesure de </w:t>
      </w:r>
      <w:r w:rsidRPr="00C62790">
        <w:rPr>
          <w:lang w:val="fr-FR"/>
        </w:rPr>
        <w:t>réglementation finale concernant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dans la ca</w:t>
      </w:r>
      <w:r>
        <w:rPr>
          <w:lang w:val="fr-FR"/>
        </w:rPr>
        <w:t>tégorie des pesticides soumises</w:t>
      </w:r>
      <w:r w:rsidRPr="00C62790">
        <w:rPr>
          <w:lang w:val="fr-FR"/>
        </w:rPr>
        <w:t xml:space="preserve"> par le </w:t>
      </w:r>
      <w:r>
        <w:rPr>
          <w:lang w:val="fr-FR"/>
        </w:rPr>
        <w:t xml:space="preserve">Burkina Faso, le </w:t>
      </w:r>
      <w:proofErr w:type="spellStart"/>
      <w:r>
        <w:rPr>
          <w:lang w:val="fr-FR"/>
        </w:rPr>
        <w:t>Cabo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Verde</w:t>
      </w:r>
      <w:proofErr w:type="spellEnd"/>
      <w:r>
        <w:rPr>
          <w:lang w:val="fr-FR"/>
        </w:rPr>
        <w:t>, la </w:t>
      </w:r>
      <w:r w:rsidRPr="00C62790">
        <w:rPr>
          <w:lang w:val="fr-FR"/>
        </w:rPr>
        <w:t>Gambie, la Guinée-Bissau, le Mali, la Mauritanie, l</w:t>
      </w:r>
      <w:r>
        <w:rPr>
          <w:lang w:val="fr-FR"/>
        </w:rPr>
        <w:t>e Niger, le </w:t>
      </w:r>
      <w:r w:rsidRPr="00C62790">
        <w:rPr>
          <w:lang w:val="fr-FR"/>
        </w:rPr>
        <w:t>Sénégal, le Tchad, le Togo, et l</w:t>
      </w:r>
      <w:r>
        <w:rPr>
          <w:lang w:val="fr-FR"/>
        </w:rPr>
        <w:t>’</w:t>
      </w:r>
      <w:r w:rsidRPr="00C62790">
        <w:rPr>
          <w:lang w:val="fr-FR"/>
        </w:rPr>
        <w:t>Union européenne, satisfont aux critères de l</w:t>
      </w:r>
      <w:r>
        <w:rPr>
          <w:lang w:val="fr-FR"/>
        </w:rPr>
        <w:t>’</w:t>
      </w:r>
      <w:r w:rsidRPr="00C62790">
        <w:rPr>
          <w:lang w:val="fr-FR"/>
        </w:rPr>
        <w:t xml:space="preserve">Annexe 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 de Rotterdam</w:t>
      </w:r>
    </w:p>
    <w:p w:rsidR="00172019" w:rsidRPr="00C62790" w:rsidRDefault="00172019" w:rsidP="00172019">
      <w:pPr>
        <w:pStyle w:val="Normalnumber"/>
        <w:numPr>
          <w:ilvl w:val="0"/>
          <w:numId w:val="2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Après avoir examiné les notifications de mesure de réglementation finale soumises par le</w:t>
      </w:r>
      <w:r>
        <w:rPr>
          <w:lang w:val="fr-FR"/>
        </w:rPr>
        <w:t> </w:t>
      </w:r>
      <w:r w:rsidRPr="00C62790">
        <w:rPr>
          <w:lang w:val="fr-FR"/>
        </w:rPr>
        <w:t xml:space="preserve">Burkina Faso, le </w:t>
      </w:r>
      <w:proofErr w:type="spellStart"/>
      <w:r w:rsidRPr="00C62790">
        <w:rPr>
          <w:lang w:val="fr-FR"/>
        </w:rPr>
        <w:t>Cabo</w:t>
      </w:r>
      <w:proofErr w:type="spellEnd"/>
      <w:r w:rsidRPr="00C62790">
        <w:rPr>
          <w:lang w:val="fr-FR"/>
        </w:rPr>
        <w:t xml:space="preserve"> </w:t>
      </w:r>
      <w:proofErr w:type="spellStart"/>
      <w:r w:rsidRPr="00C62790">
        <w:rPr>
          <w:lang w:val="fr-FR"/>
        </w:rPr>
        <w:t>Verde</w:t>
      </w:r>
      <w:proofErr w:type="spellEnd"/>
      <w:r w:rsidRPr="00C62790">
        <w:rPr>
          <w:lang w:val="fr-FR"/>
        </w:rPr>
        <w:t>, la Gambie, la Guinée-Bissau, le Mali, la Mauritanie, le Niger, le</w:t>
      </w:r>
      <w:r>
        <w:rPr>
          <w:lang w:val="fr-FR"/>
        </w:rPr>
        <w:t> </w:t>
      </w:r>
      <w:r w:rsidRPr="00C62790">
        <w:rPr>
          <w:lang w:val="fr-FR"/>
        </w:rPr>
        <w:t>Sénégal,</w:t>
      </w:r>
      <w:r>
        <w:rPr>
          <w:lang w:val="fr-FR"/>
        </w:rPr>
        <w:t xml:space="preserve"> le Tchad, </w:t>
      </w:r>
      <w:r w:rsidRPr="00C62790">
        <w:rPr>
          <w:lang w:val="fr-FR"/>
        </w:rPr>
        <w:t>le Togo et l</w:t>
      </w:r>
      <w:r>
        <w:rPr>
          <w:lang w:val="fr-FR"/>
        </w:rPr>
        <w:t>’</w:t>
      </w:r>
      <w:r w:rsidRPr="00C62790">
        <w:rPr>
          <w:lang w:val="fr-FR"/>
        </w:rPr>
        <w:t xml:space="preserve">Union </w:t>
      </w:r>
      <w:r>
        <w:rPr>
          <w:lang w:val="fr-FR"/>
        </w:rPr>
        <w:t>européenne</w:t>
      </w:r>
      <w:r w:rsidRPr="00C62790">
        <w:rPr>
          <w:lang w:val="fr-FR"/>
        </w:rPr>
        <w:t xml:space="preserve"> interdisant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tant que pesticide, ainsi que la documentation à l</w:t>
      </w:r>
      <w:r>
        <w:rPr>
          <w:lang w:val="fr-FR"/>
        </w:rPr>
        <w:t>’</w:t>
      </w:r>
      <w:r w:rsidRPr="00C62790">
        <w:rPr>
          <w:lang w:val="fr-FR"/>
        </w:rPr>
        <w:t>appui fournie par ces Parties, le Comité a pu confirmer que la mesure de</w:t>
      </w:r>
      <w:r>
        <w:rPr>
          <w:lang w:val="fr-FR"/>
        </w:rPr>
        <w:t> </w:t>
      </w:r>
      <w:r w:rsidRPr="00C62790">
        <w:rPr>
          <w:lang w:val="fr-FR"/>
        </w:rPr>
        <w:t>réglementation finale avait été prise pour protéger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environnement. Les</w:t>
      </w:r>
      <w:r>
        <w:rPr>
          <w:lang w:val="fr-FR"/>
        </w:rPr>
        <w:t> </w:t>
      </w:r>
      <w:r w:rsidRPr="00C62790">
        <w:rPr>
          <w:lang w:val="fr-FR"/>
        </w:rPr>
        <w:t>notifications de ces Parties</w:t>
      </w:r>
      <w:r>
        <w:rPr>
          <w:lang w:val="fr-FR"/>
        </w:rPr>
        <w:t xml:space="preserve"> contenaient les informations</w:t>
      </w:r>
      <w:r w:rsidRPr="00C62790">
        <w:rPr>
          <w:lang w:val="fr-FR"/>
        </w:rPr>
        <w:t xml:space="preserve"> demandé</w:t>
      </w:r>
      <w:r>
        <w:rPr>
          <w:lang w:val="fr-FR"/>
        </w:rPr>
        <w:t>e</w:t>
      </w:r>
      <w:r w:rsidRPr="00C62790">
        <w:rPr>
          <w:lang w:val="fr-FR"/>
        </w:rPr>
        <w:t>s dans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 </w:t>
      </w:r>
      <w:r>
        <w:rPr>
          <w:lang w:val="fr-FR"/>
        </w:rPr>
        <w:t>de</w:t>
      </w:r>
      <w:r w:rsidRPr="00C62790">
        <w:rPr>
          <w:lang w:val="fr-FR"/>
        </w:rPr>
        <w:t xml:space="preserve"> la</w:t>
      </w:r>
      <w:r>
        <w:rPr>
          <w:lang w:val="fr-FR"/>
        </w:rPr>
        <w:t> </w:t>
      </w:r>
      <w:r w:rsidRPr="00C62790">
        <w:rPr>
          <w:lang w:val="fr-FR"/>
        </w:rPr>
        <w:t xml:space="preserve">Convention de Rotterdam. </w:t>
      </w:r>
    </w:p>
    <w:p w:rsidR="00172019" w:rsidRPr="00C62790" w:rsidRDefault="00172019" w:rsidP="00172019">
      <w:pPr>
        <w:pStyle w:val="Normalnumber"/>
        <w:numPr>
          <w:ilvl w:val="0"/>
          <w:numId w:val="2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Les notifications et la documentation à l</w:t>
      </w:r>
      <w:r>
        <w:rPr>
          <w:lang w:val="fr-FR"/>
        </w:rPr>
        <w:t>’</w:t>
      </w:r>
      <w:r w:rsidRPr="00C62790">
        <w:rPr>
          <w:lang w:val="fr-FR"/>
        </w:rPr>
        <w:t>appui, figurant dans les</w:t>
      </w:r>
      <w:r>
        <w:rPr>
          <w:lang w:val="fr-FR"/>
        </w:rPr>
        <w:t> </w:t>
      </w:r>
      <w:r w:rsidRPr="00C62790">
        <w:rPr>
          <w:lang w:val="fr-FR"/>
        </w:rPr>
        <w:t>documents</w:t>
      </w:r>
      <w:r>
        <w:rPr>
          <w:lang w:val="fr-FR"/>
        </w:rPr>
        <w:t> </w:t>
      </w:r>
      <w:r w:rsidRPr="00C62790">
        <w:rPr>
          <w:lang w:val="fr-FR"/>
        </w:rPr>
        <w:t>UNEP/FAO/RC/CRC.13/2, UNEP/FAO/RC/CRC.13/3, UNEP/FAO/RC/CRC.13/INF/7 et UNEP/FAO/RC/CRC.13/INF/8, ont été soumises au Comité pour</w:t>
      </w:r>
      <w:r>
        <w:rPr>
          <w:lang w:val="fr-FR"/>
        </w:rPr>
        <w:t> </w:t>
      </w:r>
      <w:r w:rsidRPr="00C62790">
        <w:rPr>
          <w:lang w:val="fr-FR"/>
        </w:rPr>
        <w:t>examen. Des informations sur le commerce international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ont été fournies par l</w:t>
      </w:r>
      <w:r>
        <w:rPr>
          <w:lang w:val="fr-FR"/>
        </w:rPr>
        <w:t>’</w:t>
      </w:r>
      <w:r w:rsidRPr="00C62790">
        <w:rPr>
          <w:lang w:val="fr-FR"/>
        </w:rPr>
        <w:t>Union</w:t>
      </w:r>
      <w:r>
        <w:rPr>
          <w:lang w:val="fr-FR"/>
        </w:rPr>
        <w:t> </w:t>
      </w:r>
      <w:r w:rsidRPr="00C62790">
        <w:rPr>
          <w:lang w:val="fr-FR"/>
        </w:rPr>
        <w:t>européenne et l</w:t>
      </w:r>
      <w:r>
        <w:rPr>
          <w:lang w:val="fr-FR"/>
        </w:rPr>
        <w:t>’</w:t>
      </w:r>
      <w:r w:rsidRPr="00C62790">
        <w:rPr>
          <w:lang w:val="fr-FR"/>
        </w:rPr>
        <w:t xml:space="preserve">organisation </w:t>
      </w:r>
      <w:proofErr w:type="spellStart"/>
      <w:r w:rsidRPr="00C62790">
        <w:rPr>
          <w:lang w:val="fr-FR"/>
        </w:rPr>
        <w:t>CropLife</w:t>
      </w:r>
      <w:proofErr w:type="spellEnd"/>
      <w:r w:rsidRPr="00C62790">
        <w:rPr>
          <w:lang w:val="fr-FR"/>
        </w:rPr>
        <w:t xml:space="preserve"> International et sont reproduites dans 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>UNEP/FAO/RC/CRC.13/INF/5.</w:t>
      </w:r>
    </w:p>
    <w:p w:rsidR="00172019" w:rsidRPr="00C62790" w:rsidRDefault="00172019" w:rsidP="00172019">
      <w:pPr>
        <w:pStyle w:val="CH2"/>
        <w:rPr>
          <w:lang w:val="fr-FR"/>
        </w:rPr>
      </w:pPr>
      <w:r w:rsidRPr="00C62790">
        <w:rPr>
          <w:lang w:val="fr-FR"/>
        </w:rPr>
        <w:lastRenderedPageBreak/>
        <w:tab/>
        <w:t>I.</w:t>
      </w:r>
      <w:r w:rsidRPr="00C62790">
        <w:rPr>
          <w:lang w:val="fr-FR"/>
        </w:rPr>
        <w:tab/>
        <w:t xml:space="preserve">Burkina Faso, </w:t>
      </w:r>
      <w:proofErr w:type="spellStart"/>
      <w:r w:rsidRPr="00C62790">
        <w:rPr>
          <w:lang w:val="fr-FR"/>
        </w:rPr>
        <w:t>Cabo</w:t>
      </w:r>
      <w:proofErr w:type="spellEnd"/>
      <w:r w:rsidRPr="00C62790">
        <w:rPr>
          <w:lang w:val="fr-FR"/>
        </w:rPr>
        <w:t xml:space="preserve"> </w:t>
      </w:r>
      <w:proofErr w:type="spellStart"/>
      <w:r w:rsidRPr="00C62790">
        <w:rPr>
          <w:lang w:val="fr-FR"/>
        </w:rPr>
        <w:t>Verde</w:t>
      </w:r>
      <w:proofErr w:type="spellEnd"/>
      <w:r>
        <w:rPr>
          <w:lang w:val="fr-FR"/>
        </w:rPr>
        <w:t>,</w:t>
      </w:r>
      <w:r w:rsidRPr="00C62790">
        <w:rPr>
          <w:lang w:val="fr-FR"/>
        </w:rPr>
        <w:t xml:space="preserve"> Gambie, Guinée-Bissau, Mali, Mauritanie, Niger, Sénégal, Tchad et Togo 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a)</w:t>
      </w:r>
      <w:r w:rsidRPr="00C62790">
        <w:rPr>
          <w:lang w:val="fr-FR"/>
        </w:rPr>
        <w:tab/>
        <w:t>Portée de la</w:t>
      </w:r>
      <w:r>
        <w:rPr>
          <w:lang w:val="fr-FR"/>
        </w:rPr>
        <w:t xml:space="preserve"> mesure de réglementation</w:t>
      </w:r>
      <w:r w:rsidRPr="00C62790">
        <w:rPr>
          <w:lang w:val="fr-FR"/>
        </w:rPr>
        <w:t xml:space="preserve"> notifiée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 xml:space="preserve">La </w:t>
      </w:r>
      <w:r>
        <w:rPr>
          <w:lang w:val="fr-FR"/>
        </w:rPr>
        <w:t xml:space="preserve">mesure de réglementation finale </w:t>
      </w:r>
      <w:r w:rsidRPr="00C62790">
        <w:rPr>
          <w:lang w:val="fr-FR"/>
        </w:rPr>
        <w:t xml:space="preserve">notifiée par les pays membres du Comité permanent </w:t>
      </w:r>
      <w:r>
        <w:rPr>
          <w:lang w:val="fr-FR"/>
        </w:rPr>
        <w:br/>
      </w:r>
      <w:proofErr w:type="spellStart"/>
      <w:r w:rsidRPr="00C62790">
        <w:rPr>
          <w:lang w:val="fr-FR"/>
        </w:rPr>
        <w:t>inter-États</w:t>
      </w:r>
      <w:proofErr w:type="spellEnd"/>
      <w:r w:rsidRPr="00C62790">
        <w:rPr>
          <w:lang w:val="fr-FR"/>
        </w:rPr>
        <w:t xml:space="preserve"> de lutte contre la sécheresse dans le Sahel (CILSS), à savoir le Burkina Faso, le</w:t>
      </w:r>
      <w:r>
        <w:rPr>
          <w:lang w:val="fr-FR"/>
        </w:rPr>
        <w:t> </w:t>
      </w:r>
      <w:proofErr w:type="spellStart"/>
      <w:r w:rsidRPr="00C62790">
        <w:rPr>
          <w:lang w:val="fr-FR"/>
        </w:rPr>
        <w:t>Cabo</w:t>
      </w:r>
      <w:proofErr w:type="spellEnd"/>
      <w:r>
        <w:rPr>
          <w:lang w:val="fr-FR"/>
        </w:rPr>
        <w:t> </w:t>
      </w:r>
      <w:proofErr w:type="spellStart"/>
      <w:r w:rsidRPr="00C62790">
        <w:rPr>
          <w:lang w:val="fr-FR"/>
        </w:rPr>
        <w:t>Verde</w:t>
      </w:r>
      <w:proofErr w:type="spellEnd"/>
      <w:r w:rsidRPr="00C62790">
        <w:rPr>
          <w:lang w:val="fr-FR"/>
        </w:rPr>
        <w:t>, la Gambie, la Guinée-Bissau, le Mali, la Mauritanie, le Niger, le Sénégal, le Tchad et le Togo (ci-après dénommés « pays du CILSS »), avait trait à l</w:t>
      </w:r>
      <w:r>
        <w:rPr>
          <w:lang w:val="fr-FR"/>
        </w:rPr>
        <w:t>’</w:t>
      </w:r>
      <w:r w:rsidRPr="00C62790">
        <w:rPr>
          <w:lang w:val="fr-FR"/>
        </w:rPr>
        <w:t>utilisation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tant que</w:t>
      </w:r>
      <w:r>
        <w:rPr>
          <w:lang w:val="fr-FR"/>
        </w:rPr>
        <w:t> </w:t>
      </w:r>
      <w:r w:rsidRPr="00C62790">
        <w:rPr>
          <w:lang w:val="fr-FR"/>
        </w:rPr>
        <w:t xml:space="preserve">pesticide. La mesure de réglementation finale, entrée en vigueur le </w:t>
      </w:r>
      <w:r>
        <w:rPr>
          <w:lang w:val="fr-FR"/>
        </w:rPr>
        <w:t>20 </w:t>
      </w:r>
      <w:r w:rsidRPr="00C62790">
        <w:rPr>
          <w:lang w:val="fr-FR"/>
        </w:rPr>
        <w:t>mars 2017, interdit l</w:t>
      </w:r>
      <w:r>
        <w:rPr>
          <w:lang w:val="fr-FR"/>
        </w:rPr>
        <w:t>’</w:t>
      </w:r>
      <w:r w:rsidRPr="00C62790">
        <w:rPr>
          <w:lang w:val="fr-FR"/>
        </w:rPr>
        <w:t>utilisation de toutes les préparations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>, vu les risques que ce produit pourrait comporter pour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environnement. L</w:t>
      </w:r>
      <w:r>
        <w:rPr>
          <w:lang w:val="fr-FR"/>
        </w:rPr>
        <w:t>’</w:t>
      </w:r>
      <w:r w:rsidRPr="00C62790">
        <w:rPr>
          <w:lang w:val="fr-FR"/>
        </w:rPr>
        <w:t xml:space="preserve">importation, la fabrication </w:t>
      </w:r>
      <w:r>
        <w:rPr>
          <w:lang w:val="fr-FR"/>
        </w:rPr>
        <w:t>pour le marché</w:t>
      </w:r>
      <w:r w:rsidRPr="00C62790">
        <w:rPr>
          <w:lang w:val="fr-FR"/>
        </w:rPr>
        <w:t xml:space="preserve"> intéri</w:t>
      </w:r>
      <w:r>
        <w:rPr>
          <w:lang w:val="fr-FR"/>
        </w:rPr>
        <w:t>eur</w:t>
      </w:r>
      <w:r w:rsidRPr="00C62790">
        <w:rPr>
          <w:lang w:val="fr-FR"/>
        </w:rPr>
        <w:t>, la distribution et la vente de ce produit sont également interdites (</w:t>
      </w:r>
      <w:r>
        <w:rPr>
          <w:lang w:val="fr-FR"/>
        </w:rPr>
        <w:t>voir le document </w:t>
      </w:r>
      <w:r w:rsidRPr="00C62790">
        <w:rPr>
          <w:lang w:val="fr-FR"/>
        </w:rPr>
        <w:t>UNEP/FAO/RC/CRC.13/3, annexe, partie</w:t>
      </w:r>
      <w:r>
        <w:rPr>
          <w:lang w:val="fr-FR"/>
        </w:rPr>
        <w:t> </w:t>
      </w:r>
      <w:r w:rsidRPr="00C62790">
        <w:rPr>
          <w:lang w:val="fr-FR"/>
        </w:rPr>
        <w:t>B, sect</w:t>
      </w:r>
      <w:r>
        <w:rPr>
          <w:lang w:val="fr-FR"/>
        </w:rPr>
        <w:t>ions </w:t>
      </w:r>
      <w:r w:rsidRPr="00C62790">
        <w:rPr>
          <w:lang w:val="fr-FR"/>
        </w:rPr>
        <w:t xml:space="preserve">2.1, 2.2.1 et 2.2.3).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contenait les informations demandées dans l</w:t>
      </w:r>
      <w:r>
        <w:rPr>
          <w:lang w:val="fr-FR"/>
        </w:rPr>
        <w:t>’</w:t>
      </w:r>
      <w:r w:rsidRPr="00C62790">
        <w:rPr>
          <w:lang w:val="fr-FR"/>
        </w:rPr>
        <w:t>Annexe I.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b)</w:t>
      </w:r>
      <w:r w:rsidRPr="00C62790">
        <w:rPr>
          <w:lang w:val="fr-FR"/>
        </w:rPr>
        <w:tab/>
      </w:r>
      <w:r>
        <w:rPr>
          <w:lang w:val="fr-FR"/>
        </w:rPr>
        <w:t>Critère du paragraphe </w:t>
      </w:r>
      <w:r w:rsidRPr="00C62790">
        <w:rPr>
          <w:lang w:val="fr-FR"/>
        </w:rPr>
        <w:t>a)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</w:t>
      </w:r>
    </w:p>
    <w:p w:rsidR="00172019" w:rsidRPr="00C62790" w:rsidRDefault="00172019" w:rsidP="00172019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C62790">
        <w:rPr>
          <w:i/>
        </w:rPr>
        <w:t>a)</w:t>
      </w:r>
      <w:r w:rsidRPr="00C62790">
        <w:rPr>
          <w:i/>
        </w:rPr>
        <w:tab/>
        <w:t>Confirme que la mesure de règlementation finale a été prise pour protéger la santé des personnes ou l</w:t>
      </w:r>
      <w:r>
        <w:rPr>
          <w:i/>
        </w:rPr>
        <w:t>’</w:t>
      </w:r>
      <w:r w:rsidRPr="00C62790">
        <w:rPr>
          <w:i/>
        </w:rPr>
        <w:t>environnement 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confirme que la mesure de réglementation finale a été prise pour protéger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 (</w:t>
      </w:r>
      <w:r>
        <w:rPr>
          <w:lang w:val="fr-FR"/>
        </w:rPr>
        <w:t xml:space="preserve">voir le document </w:t>
      </w:r>
      <w:r w:rsidRPr="00C62790">
        <w:rPr>
          <w:lang w:val="fr-FR"/>
        </w:rPr>
        <w:t>UNEP/FAO/RC/CRC.13/3, annexe, partie</w:t>
      </w:r>
      <w:r>
        <w:rPr>
          <w:lang w:val="fr-FR"/>
        </w:rPr>
        <w:t> </w:t>
      </w:r>
      <w:r w:rsidRPr="00C62790">
        <w:rPr>
          <w:lang w:val="fr-FR"/>
        </w:rPr>
        <w:t>B, sections</w:t>
      </w:r>
      <w:r>
        <w:rPr>
          <w:lang w:val="fr-FR"/>
        </w:rPr>
        <w:t> </w:t>
      </w:r>
      <w:r w:rsidRPr="00C62790">
        <w:rPr>
          <w:lang w:val="fr-FR"/>
        </w:rPr>
        <w:t xml:space="preserve">2.4.1 et 2.4.2).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était utilisé comme pesticide dans les pays du CILSS, notamment comme herbicide sélectif sur les cultures de maïs (</w:t>
      </w:r>
      <w:r>
        <w:rPr>
          <w:lang w:val="fr-FR"/>
        </w:rPr>
        <w:t xml:space="preserve">voir le document </w:t>
      </w:r>
      <w:r w:rsidRPr="00C62790">
        <w:rPr>
          <w:lang w:val="fr-FR"/>
        </w:rPr>
        <w:t>UNEP/FAO/RC/CRC.13/3, section</w:t>
      </w:r>
      <w:r>
        <w:rPr>
          <w:lang w:val="fr-FR"/>
        </w:rPr>
        <w:t> </w:t>
      </w:r>
      <w:r w:rsidRPr="00C62790">
        <w:rPr>
          <w:lang w:val="fr-FR"/>
        </w:rPr>
        <w:t>2.3.1). Plusieurs préparations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étaient autorisées dans les pays du CILSS entre 2010 et 2012. En 2014, le Comité sahélien des pesticides a tenu une session de travail. Sur la base d</w:t>
      </w:r>
      <w:r>
        <w:rPr>
          <w:lang w:val="fr-FR"/>
        </w:rPr>
        <w:t>’</w:t>
      </w:r>
      <w:r w:rsidRPr="00C62790">
        <w:rPr>
          <w:lang w:val="fr-FR"/>
        </w:rPr>
        <w:t>une proposition transmise au Comité durant cette session, le Ministre chargé de la coordination a décidé d</w:t>
      </w:r>
      <w:r>
        <w:rPr>
          <w:lang w:val="fr-FR"/>
        </w:rPr>
        <w:t>’</w:t>
      </w:r>
      <w:r w:rsidRPr="00C62790">
        <w:rPr>
          <w:lang w:val="fr-FR"/>
        </w:rPr>
        <w:t>interdire les préparations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à compter du </w:t>
      </w:r>
      <w:r>
        <w:rPr>
          <w:lang w:val="fr-FR"/>
        </w:rPr>
        <w:t>20 </w:t>
      </w:r>
      <w:r w:rsidRPr="00C62790">
        <w:rPr>
          <w:lang w:val="fr-FR"/>
        </w:rPr>
        <w:t>mars 2017. Le Comité sahélien des pesticides a recommandé de ne plus autoriser les préparations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compte tenu </w:t>
      </w:r>
      <w:r w:rsidRPr="00C62790">
        <w:rPr>
          <w:lang w:val="fr-FR"/>
        </w:rPr>
        <w:t>: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Des risques de contamination des ressources en eau associés à la présence de plusieurs métabolites, notamment le t-</w:t>
      </w:r>
      <w:proofErr w:type="spellStart"/>
      <w:r w:rsidRPr="00C62790">
        <w:t>norchloro</w:t>
      </w:r>
      <w:proofErr w:type="spellEnd"/>
      <w:r w:rsidRPr="00C62790">
        <w:t xml:space="preserve"> </w:t>
      </w:r>
      <w:proofErr w:type="spellStart"/>
      <w:r w:rsidRPr="00C62790">
        <w:t>acétochlore</w:t>
      </w:r>
      <w:proofErr w:type="spellEnd"/>
      <w:r w:rsidRPr="00C62790">
        <w:t>.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Des risques élevés pour les organismes aquatiques et des risques à long terme pour les oiseaux herbivores et les êtres humains après une exposition prolongée.</w:t>
      </w:r>
    </w:p>
    <w:p w:rsidR="00172019" w:rsidRPr="00C62790" w:rsidRDefault="00172019" w:rsidP="00172019">
      <w:pPr>
        <w:tabs>
          <w:tab w:val="clear" w:pos="1247"/>
          <w:tab w:val="clear" w:pos="1814"/>
          <w:tab w:val="left" w:pos="624"/>
        </w:tabs>
        <w:snapToGrid w:val="0"/>
        <w:ind w:left="2410"/>
      </w:pPr>
      <w:r w:rsidRPr="00C62790"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En outre, les éléments suivants ont été pris en compte (voir</w:t>
      </w:r>
      <w:r>
        <w:rPr>
          <w:lang w:val="fr-FR"/>
        </w:rPr>
        <w:t> </w:t>
      </w:r>
      <w:r w:rsidRPr="00C62790">
        <w:rPr>
          <w:lang w:val="fr-FR"/>
        </w:rPr>
        <w:t>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>UNEP/FAO/RC/CRC.13/INF/8)</w:t>
      </w:r>
      <w:r>
        <w:rPr>
          <w:lang w:val="fr-FR"/>
        </w:rPr>
        <w:t> </w:t>
      </w:r>
      <w:r w:rsidRPr="00C62790">
        <w:rPr>
          <w:lang w:val="fr-FR"/>
        </w:rPr>
        <w:t>: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Les difficultés éprouvées par la population locale pour se procurer un équipement de protection individuelle approprié.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L</w:t>
      </w:r>
      <w:r>
        <w:t>’</w:t>
      </w:r>
      <w:r w:rsidRPr="00C62790">
        <w:t>écologie fragile des pays du CILSS, caractérisée par des pluies torrentielles s</w:t>
      </w:r>
      <w:r>
        <w:t>’</w:t>
      </w:r>
      <w:r w:rsidRPr="00C62790">
        <w:t>abattant sur des sols souvent pauvres en matières organiques et donc fortement sujets à l</w:t>
      </w:r>
      <w:r>
        <w:t>’</w:t>
      </w:r>
      <w:r w:rsidRPr="00C62790">
        <w:t>érosion et au lessivage.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L</w:t>
      </w:r>
      <w:r>
        <w:t>’</w:t>
      </w:r>
      <w:r w:rsidRPr="00C62790">
        <w:t>absence d</w:t>
      </w:r>
      <w:r>
        <w:t>’</w:t>
      </w:r>
      <w:r w:rsidRPr="00C62790">
        <w:t>un système de gestion de l</w:t>
      </w:r>
      <w:r>
        <w:t>’</w:t>
      </w:r>
      <w:r w:rsidRPr="00C62790">
        <w:t xml:space="preserve">environnement respectant les </w:t>
      </w:r>
      <w:r>
        <w:t xml:space="preserve">zones tampons </w:t>
      </w:r>
      <w:r w:rsidRPr="00C62790">
        <w:t>entre les ch</w:t>
      </w:r>
      <w:r>
        <w:t xml:space="preserve">amps traités et les cours d’eau et l’utilisation </w:t>
      </w:r>
      <w:r w:rsidRPr="00C62790">
        <w:t>des eaux</w:t>
      </w:r>
      <w:r>
        <w:t xml:space="preserve"> superficielles comme eau de boisson pour les </w:t>
      </w:r>
      <w:r w:rsidRPr="00C62790">
        <w:t>homme</w:t>
      </w:r>
      <w:r>
        <w:t>s</w:t>
      </w:r>
      <w:r w:rsidRPr="00C62790">
        <w:t xml:space="preserve"> et les animaux.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L</w:t>
      </w:r>
      <w:r>
        <w:t>’</w:t>
      </w:r>
      <w:r w:rsidRPr="00C62790">
        <w:t>exploitation des nappes souterraines comme seul réservoir d</w:t>
      </w:r>
      <w:r>
        <w:t>’</w:t>
      </w:r>
      <w:r w:rsidRPr="00C62790">
        <w:t xml:space="preserve">eau de boisson. </w:t>
      </w:r>
    </w:p>
    <w:p w:rsidR="00172019" w:rsidRPr="00C62790" w:rsidRDefault="00172019" w:rsidP="00172019">
      <w:pPr>
        <w:numPr>
          <w:ilvl w:val="0"/>
          <w:numId w:val="3"/>
        </w:numPr>
        <w:tabs>
          <w:tab w:val="clear" w:pos="1247"/>
          <w:tab w:val="clear" w:pos="1814"/>
          <w:tab w:val="left" w:pos="624"/>
        </w:tabs>
        <w:snapToGrid w:val="0"/>
        <w:ind w:left="2410" w:hanging="567"/>
      </w:pPr>
      <w:r w:rsidRPr="00C62790">
        <w:t>La disponibilité de solutions de remplacement de l</w:t>
      </w:r>
      <w:r>
        <w:t>’</w:t>
      </w:r>
      <w:proofErr w:type="spellStart"/>
      <w:r w:rsidRPr="00C62790">
        <w:t>acétochlore</w:t>
      </w:r>
      <w:proofErr w:type="spellEnd"/>
      <w:r w:rsidRPr="00C62790">
        <w:t xml:space="preserve">. </w:t>
      </w:r>
    </w:p>
    <w:p w:rsidR="00172019" w:rsidRPr="00C62790" w:rsidRDefault="00172019" w:rsidP="00172019">
      <w:pPr>
        <w:snapToGrid w:val="0"/>
        <w:ind w:left="2410"/>
      </w:pP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En 2014, sur la recommandation du Comité sahélien des pesticides,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a été interdit p</w:t>
      </w:r>
      <w:r>
        <w:rPr>
          <w:lang w:val="fr-FR"/>
        </w:rPr>
        <w:t xml:space="preserve">ar </w:t>
      </w:r>
      <w:r w:rsidRPr="00C62790">
        <w:rPr>
          <w:lang w:val="fr-FR"/>
        </w:rPr>
        <w:t>décision du Ministre chargé de la coordination du CILSS en raison d</w:t>
      </w:r>
      <w:r>
        <w:rPr>
          <w:lang w:val="fr-FR"/>
        </w:rPr>
        <w:t>’</w:t>
      </w:r>
      <w:r w:rsidRPr="00C62790">
        <w:rPr>
          <w:lang w:val="fr-FR"/>
        </w:rPr>
        <w:t>un risque inacceptable pour</w:t>
      </w:r>
      <w:r>
        <w:rPr>
          <w:lang w:val="fr-FR"/>
        </w:rPr>
        <w:t xml:space="preserve"> la santé d</w:t>
      </w:r>
      <w:r w:rsidRPr="00C62790">
        <w:rPr>
          <w:lang w:val="fr-FR"/>
        </w:rPr>
        <w:t xml:space="preserve">es </w:t>
      </w:r>
      <w:r>
        <w:rPr>
          <w:lang w:val="fr-FR"/>
        </w:rPr>
        <w:t xml:space="preserve">populations, </w:t>
      </w:r>
      <w:r w:rsidRPr="00C62790">
        <w:rPr>
          <w:lang w:val="fr-FR"/>
        </w:rPr>
        <w:t xml:space="preserve">les organismes aquatiques et les oiseaux herbivores vivant dans le milieu naturel, ainsi que des difficultés éprouvées par les utilisateurs des pays du Sahel </w:t>
      </w:r>
      <w:r>
        <w:rPr>
          <w:lang w:val="fr-FR"/>
        </w:rPr>
        <w:t xml:space="preserve">pour se servir </w:t>
      </w:r>
      <w:r w:rsidRPr="00C62790">
        <w:rPr>
          <w:lang w:val="fr-FR"/>
        </w:rPr>
        <w:t>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sans risque inacceptable. L</w:t>
      </w:r>
      <w:r>
        <w:rPr>
          <w:lang w:val="fr-FR"/>
        </w:rPr>
        <w:t>’</w:t>
      </w:r>
      <w:r w:rsidRPr="00C62790">
        <w:rPr>
          <w:lang w:val="fr-FR"/>
        </w:rPr>
        <w:t xml:space="preserve">interdiction ou les restrictions </w:t>
      </w:r>
      <w:r w:rsidRPr="00C62790">
        <w:rPr>
          <w:lang w:val="fr-FR"/>
        </w:rPr>
        <w:lastRenderedPageBreak/>
        <w:t>frappant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dans les préparations pesticides dans plusieurs autres pays, notamment les États-Unis d</w:t>
      </w:r>
      <w:r>
        <w:rPr>
          <w:lang w:val="fr-FR"/>
        </w:rPr>
        <w:t>’</w:t>
      </w:r>
      <w:r w:rsidRPr="00C62790">
        <w:rPr>
          <w:lang w:val="fr-FR"/>
        </w:rPr>
        <w:t>Amérique et l</w:t>
      </w:r>
      <w:r>
        <w:rPr>
          <w:lang w:val="fr-FR"/>
        </w:rPr>
        <w:t>’</w:t>
      </w:r>
      <w:r w:rsidRPr="00C62790">
        <w:rPr>
          <w:lang w:val="fr-FR"/>
        </w:rPr>
        <w:t>Union européenne, ont également été mentionné</w:t>
      </w:r>
      <w:r>
        <w:rPr>
          <w:lang w:val="fr-FR"/>
        </w:rPr>
        <w:t>e</w:t>
      </w:r>
      <w:r w:rsidRPr="00C62790">
        <w:rPr>
          <w:lang w:val="fr-FR"/>
        </w:rPr>
        <w:t>s (UNEP/FAO/RC/CRC.13/INF/8).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Dans la notification et la documentation à l</w:t>
      </w:r>
      <w:r>
        <w:rPr>
          <w:lang w:val="fr-FR"/>
        </w:rPr>
        <w:t>’</w:t>
      </w:r>
      <w:r w:rsidRPr="00C62790">
        <w:rPr>
          <w:lang w:val="fr-FR"/>
        </w:rPr>
        <w:t>appui, les risques pour la santé humaine posés par les risques élevés de contamination</w:t>
      </w:r>
      <w:r>
        <w:rPr>
          <w:lang w:val="fr-FR"/>
        </w:rPr>
        <w:t xml:space="preserve"> des eaux superficielles</w:t>
      </w:r>
      <w:r w:rsidRPr="00C62790">
        <w:rPr>
          <w:lang w:val="fr-FR"/>
        </w:rPr>
        <w:t xml:space="preserve"> et des eaux souterraines par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et ses métabolites sont signalés.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Aux États-Unis, du fait de préoccupations concernant la contamination des eaux souterraines,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ne peut être utilisé sur des sols à texture grossière (par exemple des sols sablonneux contenant moins de 3</w:t>
      </w:r>
      <w:r>
        <w:rPr>
          <w:lang w:val="fr-FR"/>
        </w:rPr>
        <w:t> </w:t>
      </w:r>
      <w:r w:rsidRPr="00C62790">
        <w:rPr>
          <w:lang w:val="fr-FR"/>
        </w:rPr>
        <w:t>% de matière organique) si la profondeur des eaux souterraines est inférieure à</w:t>
      </w:r>
      <w:r>
        <w:rPr>
          <w:lang w:val="fr-FR"/>
        </w:rPr>
        <w:t> </w:t>
      </w:r>
      <w:r w:rsidRPr="00C62790">
        <w:rPr>
          <w:lang w:val="fr-FR"/>
        </w:rPr>
        <w:t>30 pieds.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ne peut être appliqué à l</w:t>
      </w:r>
      <w:r>
        <w:rPr>
          <w:lang w:val="fr-FR"/>
        </w:rPr>
        <w:t>’</w:t>
      </w:r>
      <w:r w:rsidRPr="00C62790">
        <w:rPr>
          <w:lang w:val="fr-FR"/>
        </w:rPr>
        <w:t>aide d</w:t>
      </w:r>
      <w:r>
        <w:rPr>
          <w:lang w:val="fr-FR"/>
        </w:rPr>
        <w:t>’</w:t>
      </w:r>
      <w:r w:rsidRPr="00C62790">
        <w:rPr>
          <w:lang w:val="fr-FR"/>
        </w:rPr>
        <w:t>un système d</w:t>
      </w:r>
      <w:r>
        <w:rPr>
          <w:lang w:val="fr-FR"/>
        </w:rPr>
        <w:t>’</w:t>
      </w:r>
      <w:r w:rsidRPr="00C62790">
        <w:rPr>
          <w:lang w:val="fr-FR"/>
        </w:rPr>
        <w:t>irrigation (y compris un système d</w:t>
      </w:r>
      <w:r>
        <w:rPr>
          <w:lang w:val="fr-FR"/>
        </w:rPr>
        <w:t>’</w:t>
      </w:r>
      <w:r w:rsidRPr="00C62790">
        <w:rPr>
          <w:lang w:val="fr-FR"/>
        </w:rPr>
        <w:t>irrigation par inondation) ni non plus par épandage aérien.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ne peut pas être appliqué directement sur des plans d</w:t>
      </w:r>
      <w:r>
        <w:rPr>
          <w:lang w:val="fr-FR"/>
        </w:rPr>
        <w:t>’</w:t>
      </w:r>
      <w:r w:rsidRPr="00C62790">
        <w:rPr>
          <w:lang w:val="fr-FR"/>
        </w:rPr>
        <w:t>eau o</w:t>
      </w:r>
      <w:r>
        <w:rPr>
          <w:lang w:val="fr-FR"/>
        </w:rPr>
        <w:t>u</w:t>
      </w:r>
      <w:r w:rsidRPr="00C62790">
        <w:rPr>
          <w:lang w:val="fr-FR"/>
        </w:rPr>
        <w:t xml:space="preserve"> dans des zones où des eaux de surface sont présentes. En</w:t>
      </w:r>
      <w:r>
        <w:rPr>
          <w:lang w:val="fr-FR"/>
        </w:rPr>
        <w:t> </w:t>
      </w:r>
      <w:r w:rsidRPr="00C62790">
        <w:rPr>
          <w:lang w:val="fr-FR"/>
        </w:rPr>
        <w:t xml:space="preserve">outre, il ne doit pas être mélangé ou chargé à moins de </w:t>
      </w:r>
      <w:r>
        <w:rPr>
          <w:lang w:val="fr-FR"/>
        </w:rPr>
        <w:t>50 </w:t>
      </w:r>
      <w:r w:rsidRPr="00C62790">
        <w:rPr>
          <w:lang w:val="fr-FR"/>
        </w:rPr>
        <w:t>pieds des eaux de surface ou des puits, à</w:t>
      </w:r>
      <w:r>
        <w:rPr>
          <w:lang w:val="fr-FR"/>
        </w:rPr>
        <w:t> </w:t>
      </w:r>
      <w:r w:rsidRPr="00C62790">
        <w:rPr>
          <w:lang w:val="fr-FR"/>
        </w:rPr>
        <w:t>moins que des mesures de confinement ou d</w:t>
      </w:r>
      <w:r>
        <w:rPr>
          <w:lang w:val="fr-FR"/>
        </w:rPr>
        <w:t>’</w:t>
      </w:r>
      <w:r w:rsidRPr="00C62790">
        <w:rPr>
          <w:lang w:val="fr-FR"/>
        </w:rPr>
        <w:t>élimination adéquates ne soient en place. Chacune de ces mesures a pour but d</w:t>
      </w:r>
      <w:r>
        <w:rPr>
          <w:lang w:val="fr-FR"/>
        </w:rPr>
        <w:t>’</w:t>
      </w:r>
      <w:r w:rsidRPr="00C62790">
        <w:rPr>
          <w:lang w:val="fr-FR"/>
        </w:rPr>
        <w:t>empêcher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de migrer vers les eaux souterraines ou</w:t>
      </w:r>
      <w:r w:rsidRPr="00C62790">
        <w:rPr>
          <w:lang w:val="fr-FR"/>
        </w:rPr>
        <w:t xml:space="preserve"> superficielles </w:t>
      </w:r>
      <w:r w:rsidRPr="00974940">
        <w:rPr>
          <w:lang w:val="fr-FR"/>
        </w:rPr>
        <w:t>[</w:t>
      </w:r>
      <w:r w:rsidRPr="00C62790">
        <w:rPr>
          <w:lang w:val="fr-FR"/>
        </w:rPr>
        <w:t>U</w:t>
      </w:r>
      <w:r>
        <w:rPr>
          <w:lang w:val="fr-FR"/>
        </w:rPr>
        <w:t>nited </w:t>
      </w:r>
      <w:r w:rsidRPr="00C62790">
        <w:rPr>
          <w:lang w:val="fr-FR"/>
        </w:rPr>
        <w:t xml:space="preserve">States </w:t>
      </w:r>
      <w:proofErr w:type="spellStart"/>
      <w:r w:rsidRPr="00C62790">
        <w:rPr>
          <w:lang w:val="fr-FR"/>
        </w:rPr>
        <w:t>Environmental</w:t>
      </w:r>
      <w:proofErr w:type="spellEnd"/>
      <w:r w:rsidRPr="00C62790">
        <w:rPr>
          <w:lang w:val="fr-FR"/>
        </w:rPr>
        <w:t xml:space="preserve"> Protection </w:t>
      </w:r>
      <w:proofErr w:type="spellStart"/>
      <w:r w:rsidRPr="00C62790">
        <w:rPr>
          <w:lang w:val="fr-FR"/>
        </w:rPr>
        <w:t>Agency</w:t>
      </w:r>
      <w:proofErr w:type="spellEnd"/>
      <w:r w:rsidRPr="00C62790">
        <w:rPr>
          <w:lang w:val="fr-FR"/>
        </w:rPr>
        <w:t xml:space="preserve"> (USEPA), 2006</w:t>
      </w:r>
      <w:r>
        <w:rPr>
          <w:lang w:val="fr-FR"/>
        </w:rPr>
        <w:t>]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Selon la documentation à l</w:t>
      </w:r>
      <w:r>
        <w:rPr>
          <w:lang w:val="fr-FR"/>
        </w:rPr>
        <w:t>’</w:t>
      </w:r>
      <w:r w:rsidRPr="00C62790">
        <w:rPr>
          <w:lang w:val="fr-FR"/>
        </w:rPr>
        <w:t xml:space="preserve">appui, il ne serait guère possible de mettre en place dans le Sahel, </w:t>
      </w:r>
      <w:r>
        <w:rPr>
          <w:lang w:val="fr-FR"/>
        </w:rPr>
        <w:t>par</w:t>
      </w:r>
      <w:r w:rsidRPr="00C62790">
        <w:rPr>
          <w:lang w:val="fr-FR"/>
        </w:rPr>
        <w:t xml:space="preserve"> mesure de précaution, un système de gestion</w:t>
      </w:r>
      <w:r>
        <w:rPr>
          <w:lang w:val="fr-FR"/>
        </w:rPr>
        <w:t xml:space="preserve"> de l’environnement comportant d</w:t>
      </w:r>
      <w:r w:rsidRPr="00C62790">
        <w:rPr>
          <w:lang w:val="fr-FR"/>
        </w:rPr>
        <w:t xml:space="preserve">es </w:t>
      </w:r>
      <w:r>
        <w:rPr>
          <w:lang w:val="fr-FR"/>
        </w:rPr>
        <w:t xml:space="preserve">zones tampons à respecter </w:t>
      </w:r>
      <w:r w:rsidRPr="00C62790">
        <w:rPr>
          <w:lang w:val="fr-FR"/>
        </w:rPr>
        <w:t>entre les champs traités et les cours d</w:t>
      </w:r>
      <w:r>
        <w:rPr>
          <w:lang w:val="fr-FR"/>
        </w:rPr>
        <w:t>’</w:t>
      </w:r>
      <w:r w:rsidRPr="00C62790">
        <w:rPr>
          <w:lang w:val="fr-FR"/>
        </w:rPr>
        <w:t xml:space="preserve">eau.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Les valeurs de modélisation pour la teneur en carbone organique des sols à l</w:t>
      </w:r>
      <w:r>
        <w:rPr>
          <w:lang w:val="fr-FR"/>
        </w:rPr>
        <w:t>’</w:t>
      </w:r>
      <w:r w:rsidRPr="00C62790">
        <w:rPr>
          <w:lang w:val="fr-FR"/>
        </w:rPr>
        <w:t>intérieur du périmètre considéré se situent entre1</w:t>
      </w:r>
      <w:proofErr w:type="gramStart"/>
      <w:r w:rsidRPr="00C62790">
        <w:rPr>
          <w:lang w:val="fr-FR"/>
        </w:rPr>
        <w:t>,06</w:t>
      </w:r>
      <w:proofErr w:type="gramEnd"/>
      <w:r w:rsidRPr="00C62790">
        <w:rPr>
          <w:lang w:val="fr-FR"/>
        </w:rPr>
        <w:t xml:space="preserve"> et 1,36</w:t>
      </w:r>
      <w:r>
        <w:rPr>
          <w:lang w:val="fr-FR"/>
        </w:rPr>
        <w:t> </w:t>
      </w:r>
      <w:r w:rsidRPr="00C62790">
        <w:rPr>
          <w:lang w:val="fr-FR"/>
        </w:rPr>
        <w:t>% (Direction culture/SN-SOSUCO, 2008).</w:t>
      </w:r>
      <w:r>
        <w:rPr>
          <w:lang w:val="fr-FR"/>
        </w:rPr>
        <w:t xml:space="preserve"> </w:t>
      </w:r>
      <w:r w:rsidRPr="00C62790">
        <w:rPr>
          <w:lang w:val="fr-FR"/>
        </w:rPr>
        <w:t>La teneur moyenne en carbone organique des sols situés à proximité des cours d</w:t>
      </w:r>
      <w:r>
        <w:rPr>
          <w:lang w:val="fr-FR"/>
        </w:rPr>
        <w:t>’</w:t>
      </w:r>
      <w:r w:rsidRPr="00C62790">
        <w:rPr>
          <w:lang w:val="fr-FR"/>
        </w:rPr>
        <w:t>eau est égale à 1,06</w:t>
      </w:r>
      <w:r>
        <w:rPr>
          <w:lang w:val="fr-FR"/>
        </w:rPr>
        <w:t> </w:t>
      </w:r>
      <w:r w:rsidRPr="00C62790">
        <w:rPr>
          <w:lang w:val="fr-FR"/>
        </w:rPr>
        <w:t>% (</w:t>
      </w:r>
      <w:proofErr w:type="spellStart"/>
      <w:r w:rsidRPr="00C62790">
        <w:rPr>
          <w:lang w:val="fr-FR"/>
        </w:rPr>
        <w:t>Ouedraogo</w:t>
      </w:r>
      <w:proofErr w:type="spellEnd"/>
      <w:r w:rsidRPr="00C62790">
        <w:rPr>
          <w:lang w:val="fr-FR"/>
        </w:rPr>
        <w:t xml:space="preserve"> et al, 2012).</w:t>
      </w:r>
      <w:r>
        <w:rPr>
          <w:lang w:val="fr-FR"/>
        </w:rPr>
        <w:t xml:space="preserve"> 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 xml:space="preserve">écologie fragile des pays du CILSS se caractérise </w:t>
      </w:r>
      <w:r>
        <w:rPr>
          <w:lang w:val="fr-FR"/>
        </w:rPr>
        <w:t xml:space="preserve">à certains endroits </w:t>
      </w:r>
      <w:r w:rsidRPr="00C62790">
        <w:rPr>
          <w:lang w:val="fr-FR"/>
        </w:rPr>
        <w:t>par des pluies torrentielles s</w:t>
      </w:r>
      <w:r>
        <w:rPr>
          <w:lang w:val="fr-FR"/>
        </w:rPr>
        <w:t>’</w:t>
      </w:r>
      <w:r w:rsidRPr="00C62790">
        <w:rPr>
          <w:lang w:val="fr-FR"/>
        </w:rPr>
        <w:t>abattant sur des sols souvent pauvres en matière organique et, par conséquent, sujets à l</w:t>
      </w:r>
      <w:r>
        <w:rPr>
          <w:lang w:val="fr-FR"/>
        </w:rPr>
        <w:t>’</w:t>
      </w:r>
      <w:r w:rsidRPr="00C62790">
        <w:rPr>
          <w:lang w:val="fr-FR"/>
        </w:rPr>
        <w:t xml:space="preserve">érosion et au lessivage.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Les résultats de l</w:t>
      </w:r>
      <w:r>
        <w:rPr>
          <w:lang w:val="fr-FR"/>
        </w:rPr>
        <w:t>’</w:t>
      </w:r>
      <w:r w:rsidRPr="00C62790">
        <w:rPr>
          <w:lang w:val="fr-FR"/>
        </w:rPr>
        <w:t xml:space="preserve">étude de modélisation réalisée par </w:t>
      </w:r>
      <w:proofErr w:type="spellStart"/>
      <w:r w:rsidRPr="00C62790">
        <w:rPr>
          <w:lang w:val="fr-FR"/>
        </w:rPr>
        <w:t>Ouedraogo</w:t>
      </w:r>
      <w:proofErr w:type="spellEnd"/>
      <w:r w:rsidRPr="00C62790">
        <w:rPr>
          <w:lang w:val="fr-FR"/>
        </w:rPr>
        <w:t xml:space="preserve"> et al (2012) indiquaient que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avait un potentiel très élevé de contamination des eaux de surface dans ses conditions d</w:t>
      </w:r>
      <w:r>
        <w:rPr>
          <w:lang w:val="fr-FR"/>
        </w:rPr>
        <w:t>’</w:t>
      </w:r>
      <w:r w:rsidRPr="00C62790">
        <w:rPr>
          <w:lang w:val="fr-FR"/>
        </w:rPr>
        <w:t xml:space="preserve">utilisation effectives au Burkina Faso.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Dans une étude mesurant les concentrations de pesticides dans deux lacs au Burkina Faso, des concentrations d</w:t>
      </w:r>
      <w:r>
        <w:rPr>
          <w:lang w:val="fr-FR"/>
        </w:rPr>
        <w:t>’</w:t>
      </w:r>
      <w:proofErr w:type="spellStart"/>
      <w:r>
        <w:rPr>
          <w:lang w:val="fr-FR"/>
        </w:rPr>
        <w:t>acétochlore</w:t>
      </w:r>
      <w:proofErr w:type="spellEnd"/>
      <w:r>
        <w:rPr>
          <w:lang w:val="fr-FR"/>
        </w:rPr>
        <w:t xml:space="preserve"> allant jusqu’à 53,1 </w:t>
      </w:r>
      <w:r w:rsidRPr="00C62790">
        <w:rPr>
          <w:lang w:val="fr-FR"/>
        </w:rPr>
        <w:t xml:space="preserve">µg/l </w:t>
      </w:r>
      <w:r>
        <w:rPr>
          <w:lang w:val="fr-FR"/>
        </w:rPr>
        <w:t>ont été</w:t>
      </w:r>
      <w:r w:rsidRPr="00C62790">
        <w:rPr>
          <w:lang w:val="fr-FR"/>
        </w:rPr>
        <w:t xml:space="preserve"> enregistrées (</w:t>
      </w:r>
      <w:proofErr w:type="spellStart"/>
      <w:r w:rsidRPr="00C62790">
        <w:rPr>
          <w:lang w:val="fr-FR"/>
        </w:rPr>
        <w:t>Soleri</w:t>
      </w:r>
      <w:proofErr w:type="spellEnd"/>
      <w:r w:rsidRPr="00C62790">
        <w:rPr>
          <w:lang w:val="fr-FR"/>
        </w:rPr>
        <w:t>, 2013).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contamination des eaux souterraines et superficielles dans les pays du CILSS est responsable de la contamination de l</w:t>
      </w:r>
      <w:r>
        <w:rPr>
          <w:lang w:val="fr-FR"/>
        </w:rPr>
        <w:t>’</w:t>
      </w:r>
      <w:r w:rsidRPr="00C62790">
        <w:rPr>
          <w:lang w:val="fr-FR"/>
        </w:rPr>
        <w:t>eau de boisson, puisque ces eaux sont utilisées comme sources d</w:t>
      </w:r>
      <w:r>
        <w:rPr>
          <w:lang w:val="fr-FR"/>
        </w:rPr>
        <w:t>’</w:t>
      </w:r>
      <w:r w:rsidRPr="00C62790">
        <w:rPr>
          <w:lang w:val="fr-FR"/>
        </w:rPr>
        <w:t>eau potable. Dans des pays comme le Burkina Faso, plus de la moitié des agriculteurs (67,</w:t>
      </w:r>
      <w:r>
        <w:rPr>
          <w:lang w:val="fr-FR"/>
        </w:rPr>
        <w:t>5 </w:t>
      </w:r>
      <w:r w:rsidRPr="00C62790">
        <w:rPr>
          <w:lang w:val="fr-FR"/>
        </w:rPr>
        <w:t>%) ont accès à un point d</w:t>
      </w:r>
      <w:r>
        <w:rPr>
          <w:lang w:val="fr-FR"/>
        </w:rPr>
        <w:t>’</w:t>
      </w:r>
      <w:r w:rsidRPr="00C62790">
        <w:rPr>
          <w:lang w:val="fr-FR"/>
        </w:rPr>
        <w:t xml:space="preserve">eau </w:t>
      </w:r>
      <w:r>
        <w:rPr>
          <w:lang w:val="fr-FR"/>
        </w:rPr>
        <w:t>dans</w:t>
      </w:r>
      <w:r w:rsidRPr="00C62790">
        <w:rPr>
          <w:lang w:val="fr-FR"/>
        </w:rPr>
        <w:t xml:space="preserve"> leurs champs ou </w:t>
      </w:r>
      <w:r>
        <w:rPr>
          <w:lang w:val="fr-FR"/>
        </w:rPr>
        <w:t>près de ces derniers</w:t>
      </w:r>
      <w:r w:rsidRPr="00C62790">
        <w:rPr>
          <w:lang w:val="fr-FR"/>
        </w:rPr>
        <w:t>. La plupart des points d</w:t>
      </w:r>
      <w:r>
        <w:rPr>
          <w:lang w:val="fr-FR"/>
        </w:rPr>
        <w:t>’</w:t>
      </w:r>
      <w:r w:rsidRPr="00C62790">
        <w:rPr>
          <w:lang w:val="fr-FR"/>
        </w:rPr>
        <w:t>eau sont à moins de 100</w:t>
      </w:r>
      <w:r>
        <w:rPr>
          <w:lang w:val="fr-FR"/>
        </w:rPr>
        <w:t> </w:t>
      </w:r>
      <w:r w:rsidRPr="00C62790">
        <w:rPr>
          <w:lang w:val="fr-FR"/>
        </w:rPr>
        <w:t xml:space="preserve">mètres </w:t>
      </w:r>
      <w:r>
        <w:rPr>
          <w:lang w:val="fr-FR"/>
        </w:rPr>
        <w:t xml:space="preserve">des champs </w:t>
      </w:r>
      <w:r w:rsidRPr="00C62790">
        <w:rPr>
          <w:lang w:val="fr-FR"/>
        </w:rPr>
        <w:t>(</w:t>
      </w:r>
      <w:proofErr w:type="spellStart"/>
      <w:r w:rsidRPr="00C62790">
        <w:rPr>
          <w:lang w:val="fr-FR"/>
        </w:rPr>
        <w:t>Toe</w:t>
      </w:r>
      <w:proofErr w:type="spellEnd"/>
      <w:r w:rsidRPr="00C62790">
        <w:rPr>
          <w:lang w:val="fr-FR"/>
        </w:rPr>
        <w:t>, 2010). La contamination des eaux par des pesticides, par différentes voies, est rendue possible par cette p</w:t>
      </w:r>
      <w:r>
        <w:rPr>
          <w:lang w:val="fr-FR"/>
        </w:rPr>
        <w:t>roximité. L’</w:t>
      </w:r>
      <w:r w:rsidRPr="00C62790">
        <w:rPr>
          <w:lang w:val="fr-FR"/>
        </w:rPr>
        <w:t>eau provenant de ces points d</w:t>
      </w:r>
      <w:r>
        <w:rPr>
          <w:lang w:val="fr-FR"/>
        </w:rPr>
        <w:t>’</w:t>
      </w:r>
      <w:r w:rsidRPr="00C62790">
        <w:rPr>
          <w:lang w:val="fr-FR"/>
        </w:rPr>
        <w:t xml:space="preserve">eau </w:t>
      </w:r>
      <w:r>
        <w:rPr>
          <w:lang w:val="fr-FR"/>
        </w:rPr>
        <w:t>était bue par près de 50 % de la population ; elle était</w:t>
      </w:r>
      <w:r w:rsidRPr="00C62790">
        <w:rPr>
          <w:lang w:val="fr-FR"/>
        </w:rPr>
        <w:t xml:space="preserve"> utilisée pour la préparation ou la dilution de</w:t>
      </w:r>
      <w:r>
        <w:rPr>
          <w:lang w:val="fr-FR"/>
        </w:rPr>
        <w:t>s</w:t>
      </w:r>
      <w:r w:rsidRPr="00C62790">
        <w:rPr>
          <w:lang w:val="fr-FR"/>
        </w:rPr>
        <w:t xml:space="preserve"> pesticides à hauteur de 29,26</w:t>
      </w:r>
      <w:r>
        <w:rPr>
          <w:lang w:val="fr-FR"/>
        </w:rPr>
        <w:t> </w:t>
      </w:r>
      <w:r w:rsidRPr="00C62790">
        <w:rPr>
          <w:lang w:val="fr-FR"/>
        </w:rPr>
        <w:t>% et pour l</w:t>
      </w:r>
      <w:r>
        <w:rPr>
          <w:lang w:val="fr-FR"/>
        </w:rPr>
        <w:t>’</w:t>
      </w:r>
      <w:r w:rsidRPr="00C62790">
        <w:rPr>
          <w:lang w:val="fr-FR"/>
        </w:rPr>
        <w:t>abreuvage des animaux à hauteur de 26,96</w:t>
      </w:r>
      <w:r>
        <w:rPr>
          <w:lang w:val="fr-FR"/>
        </w:rPr>
        <w:t> </w:t>
      </w:r>
      <w:r w:rsidRPr="00C62790">
        <w:rPr>
          <w:lang w:val="fr-FR"/>
        </w:rPr>
        <w:t>% (</w:t>
      </w:r>
      <w:proofErr w:type="spellStart"/>
      <w:r w:rsidRPr="00C62790">
        <w:rPr>
          <w:lang w:val="fr-FR"/>
        </w:rPr>
        <w:t>Toe</w:t>
      </w:r>
      <w:proofErr w:type="spellEnd"/>
      <w:r w:rsidRPr="00C62790">
        <w:rPr>
          <w:lang w:val="fr-FR"/>
        </w:rPr>
        <w:t>, 2010), ce qui explique la présence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dans certains cours d</w:t>
      </w:r>
      <w:r>
        <w:rPr>
          <w:lang w:val="fr-FR"/>
        </w:rPr>
        <w:t>’</w:t>
      </w:r>
      <w:r w:rsidRPr="00C62790">
        <w:rPr>
          <w:lang w:val="fr-FR"/>
        </w:rPr>
        <w:t xml:space="preserve">eau </w:t>
      </w:r>
      <w:r>
        <w:rPr>
          <w:lang w:val="fr-FR"/>
        </w:rPr>
        <w:t>du pays</w:t>
      </w:r>
      <w:r w:rsidRPr="00C62790">
        <w:rPr>
          <w:lang w:val="fr-FR"/>
        </w:rPr>
        <w:t xml:space="preserve"> (</w:t>
      </w:r>
      <w:proofErr w:type="spellStart"/>
      <w:r w:rsidRPr="00C62790">
        <w:rPr>
          <w:lang w:val="fr-FR"/>
        </w:rPr>
        <w:t>Soleri</w:t>
      </w:r>
      <w:proofErr w:type="spellEnd"/>
      <w:r w:rsidRPr="00C62790">
        <w:rPr>
          <w:lang w:val="fr-FR"/>
        </w:rPr>
        <w:t>, 2013).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Les pays du CILSS ont conclu que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comme pesticide posait un risque inacceptable pour la santé humaine et animale dans ses conditions d</w:t>
      </w:r>
      <w:r>
        <w:rPr>
          <w:lang w:val="fr-FR"/>
        </w:rPr>
        <w:t>’</w:t>
      </w:r>
      <w:r w:rsidRPr="00C62790">
        <w:rPr>
          <w:lang w:val="fr-FR"/>
        </w:rPr>
        <w:t>emploi dans ces pays par suite de la contamination de l</w:t>
      </w:r>
      <w:r>
        <w:rPr>
          <w:lang w:val="fr-FR"/>
        </w:rPr>
        <w:t>’</w:t>
      </w:r>
      <w:r w:rsidRPr="00C62790">
        <w:rPr>
          <w:lang w:val="fr-FR"/>
        </w:rPr>
        <w:t>eau de boisson.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et la documentation à l</w:t>
      </w:r>
      <w:r>
        <w:rPr>
          <w:lang w:val="fr-FR"/>
        </w:rPr>
        <w:t>’</w:t>
      </w:r>
      <w:r w:rsidRPr="00C62790">
        <w:rPr>
          <w:lang w:val="fr-FR"/>
        </w:rPr>
        <w:t>appui mentionn</w:t>
      </w:r>
      <w:r>
        <w:rPr>
          <w:lang w:val="fr-FR"/>
        </w:rPr>
        <w:t>ai</w:t>
      </w:r>
      <w:r w:rsidRPr="00C62790">
        <w:rPr>
          <w:lang w:val="fr-FR"/>
        </w:rPr>
        <w:t xml:space="preserve">ent aussi les risques pour les opérateurs.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Référence est faite à un rapport de l</w:t>
      </w:r>
      <w:r>
        <w:rPr>
          <w:lang w:val="fr-FR"/>
        </w:rPr>
        <w:t>’</w:t>
      </w:r>
      <w:r w:rsidRPr="00C62790">
        <w:rPr>
          <w:lang w:val="fr-FR"/>
        </w:rPr>
        <w:t>Autorité européenne de sécurité des aliments (AESA,</w:t>
      </w:r>
      <w:r>
        <w:rPr>
          <w:lang w:val="fr-FR"/>
        </w:rPr>
        <w:t> </w:t>
      </w:r>
      <w:r w:rsidRPr="00C62790">
        <w:rPr>
          <w:lang w:val="fr-FR"/>
        </w:rPr>
        <w:t>2011)</w:t>
      </w:r>
      <w:r>
        <w:rPr>
          <w:lang w:val="fr-FR"/>
        </w:rPr>
        <w:t xml:space="preserve"> mentionnant que</w:t>
      </w:r>
      <w:r w:rsidRPr="00C62790">
        <w:rPr>
          <w:lang w:val="fr-FR"/>
        </w:rPr>
        <w:t xml:space="preserve"> </w:t>
      </w:r>
      <w:r w:rsidRPr="00E347F2">
        <w:rPr>
          <w:lang w:val="fr-FR"/>
        </w:rPr>
        <w:t xml:space="preserve">les risques pour la santé des opérateurs étaient aggravés </w:t>
      </w:r>
      <w:r>
        <w:rPr>
          <w:lang w:val="fr-FR"/>
        </w:rPr>
        <w:t>car</w:t>
      </w:r>
      <w:r w:rsidRPr="00E347F2">
        <w:rPr>
          <w:lang w:val="fr-FR"/>
        </w:rPr>
        <w:t xml:space="preserve"> </w:t>
      </w:r>
      <w:r>
        <w:rPr>
          <w:lang w:val="fr-FR"/>
        </w:rPr>
        <w:t xml:space="preserve">la valeur estimée de </w:t>
      </w:r>
      <w:r w:rsidRPr="00E347F2">
        <w:rPr>
          <w:lang w:val="fr-FR"/>
        </w:rPr>
        <w:t>l</w:t>
      </w:r>
      <w:r>
        <w:rPr>
          <w:lang w:val="fr-FR"/>
        </w:rPr>
        <w:t>’</w:t>
      </w:r>
      <w:r w:rsidRPr="00E347F2">
        <w:rPr>
          <w:lang w:val="fr-FR"/>
        </w:rPr>
        <w:t xml:space="preserve">exposition </w:t>
      </w:r>
      <w:r>
        <w:rPr>
          <w:lang w:val="fr-FR"/>
        </w:rPr>
        <w:t>à ces</w:t>
      </w:r>
      <w:r w:rsidRPr="00E347F2">
        <w:rPr>
          <w:lang w:val="fr-FR"/>
        </w:rPr>
        <w:t xml:space="preserve"> préparations dans la Communauté européenne </w:t>
      </w:r>
      <w:r>
        <w:rPr>
          <w:lang w:val="fr-FR"/>
        </w:rPr>
        <w:t>était plus élevée</w:t>
      </w:r>
      <w:r w:rsidRPr="00C62790">
        <w:rPr>
          <w:lang w:val="fr-FR"/>
        </w:rPr>
        <w:t xml:space="preserve"> (entre</w:t>
      </w:r>
      <w:r>
        <w:rPr>
          <w:lang w:val="fr-FR"/>
        </w:rPr>
        <w:t> </w:t>
      </w:r>
      <w:r w:rsidRPr="00C62790">
        <w:rPr>
          <w:lang w:val="fr-FR"/>
        </w:rPr>
        <w:t>1</w:t>
      </w:r>
      <w:r>
        <w:rPr>
          <w:lang w:val="fr-FR"/>
        </w:rPr>
        <w:t> </w:t>
      </w:r>
      <w:r w:rsidRPr="00C62790">
        <w:rPr>
          <w:lang w:val="fr-FR"/>
        </w:rPr>
        <w:t>435 % et 5</w:t>
      </w:r>
      <w:r>
        <w:rPr>
          <w:lang w:val="fr-FR"/>
        </w:rPr>
        <w:t> </w:t>
      </w:r>
      <w:r w:rsidRPr="00C62790">
        <w:rPr>
          <w:lang w:val="fr-FR"/>
        </w:rPr>
        <w:t>550 %) que le niveau acceptable d</w:t>
      </w:r>
      <w:r>
        <w:rPr>
          <w:lang w:val="fr-FR"/>
        </w:rPr>
        <w:t>’</w:t>
      </w:r>
      <w:r w:rsidRPr="00C62790">
        <w:rPr>
          <w:lang w:val="fr-FR"/>
        </w:rPr>
        <w:t>exposition de l</w:t>
      </w:r>
      <w:r>
        <w:rPr>
          <w:lang w:val="fr-FR"/>
        </w:rPr>
        <w:t>’</w:t>
      </w:r>
      <w:r w:rsidRPr="00C62790">
        <w:rPr>
          <w:lang w:val="fr-FR"/>
        </w:rPr>
        <w:t>opérateur (NAEO), malgré l</w:t>
      </w:r>
      <w:r>
        <w:rPr>
          <w:lang w:val="fr-FR"/>
        </w:rPr>
        <w:t>’</w:t>
      </w:r>
      <w:r w:rsidRPr="00C62790">
        <w:rPr>
          <w:lang w:val="fr-FR"/>
        </w:rPr>
        <w:t xml:space="preserve">utilisation de pulvérisateurs traînés et de gants durant les opérations de mélange, </w:t>
      </w:r>
      <w:r>
        <w:rPr>
          <w:lang w:val="fr-FR"/>
        </w:rPr>
        <w:t xml:space="preserve">de </w:t>
      </w:r>
      <w:r w:rsidRPr="00C62790">
        <w:rPr>
          <w:lang w:val="fr-FR"/>
        </w:rPr>
        <w:t>chargement et</w:t>
      </w:r>
      <w:r>
        <w:rPr>
          <w:lang w:val="fr-FR"/>
        </w:rPr>
        <w:t> d’</w:t>
      </w:r>
      <w:r w:rsidRPr="00C62790">
        <w:rPr>
          <w:lang w:val="fr-FR"/>
        </w:rPr>
        <w:t>application. En l</w:t>
      </w:r>
      <w:r>
        <w:rPr>
          <w:lang w:val="fr-FR"/>
        </w:rPr>
        <w:t>’</w:t>
      </w:r>
      <w:r w:rsidRPr="00C62790">
        <w:rPr>
          <w:lang w:val="fr-FR"/>
        </w:rPr>
        <w:t>absence d</w:t>
      </w:r>
      <w:r>
        <w:rPr>
          <w:lang w:val="fr-FR"/>
        </w:rPr>
        <w:t>’</w:t>
      </w:r>
      <w:r w:rsidRPr="00C62790">
        <w:rPr>
          <w:lang w:val="fr-FR"/>
        </w:rPr>
        <w:t xml:space="preserve">équipement de protection individuelle, des valeurs </w:t>
      </w:r>
      <w:r>
        <w:rPr>
          <w:lang w:val="fr-FR"/>
        </w:rPr>
        <w:t>pouvant atteindre </w:t>
      </w:r>
      <w:r w:rsidRPr="00C62790">
        <w:rPr>
          <w:lang w:val="fr-FR"/>
        </w:rPr>
        <w:t>35</w:t>
      </w:r>
      <w:r>
        <w:rPr>
          <w:lang w:val="fr-FR"/>
        </w:rPr>
        <w:t> </w:t>
      </w:r>
      <w:r w:rsidRPr="00C62790">
        <w:rPr>
          <w:lang w:val="fr-FR"/>
        </w:rPr>
        <w:t>550 </w:t>
      </w:r>
      <w:r>
        <w:rPr>
          <w:lang w:val="fr-FR"/>
        </w:rPr>
        <w:t xml:space="preserve">% de la NAEO </w:t>
      </w:r>
      <w:r w:rsidRPr="00C62790">
        <w:rPr>
          <w:lang w:val="fr-FR"/>
        </w:rPr>
        <w:t xml:space="preserve">ont </w:t>
      </w:r>
      <w:r>
        <w:rPr>
          <w:lang w:val="fr-FR"/>
        </w:rPr>
        <w:t xml:space="preserve">été </w:t>
      </w:r>
      <w:r w:rsidRPr="00C62790">
        <w:rPr>
          <w:lang w:val="fr-FR"/>
        </w:rPr>
        <w:t xml:space="preserve">signalées.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lastRenderedPageBreak/>
        <w:t>Contrairement aux recommandations d</w:t>
      </w:r>
      <w:r>
        <w:rPr>
          <w:lang w:val="fr-FR"/>
        </w:rPr>
        <w:t>’</w:t>
      </w:r>
      <w:r w:rsidRPr="00C62790">
        <w:rPr>
          <w:lang w:val="fr-FR"/>
        </w:rPr>
        <w:t>utilisation aux États-Unis et dans les États membres de l</w:t>
      </w:r>
      <w:r>
        <w:rPr>
          <w:lang w:val="fr-FR"/>
        </w:rPr>
        <w:t>’</w:t>
      </w:r>
      <w:r w:rsidRPr="00C62790">
        <w:rPr>
          <w:lang w:val="fr-FR"/>
        </w:rPr>
        <w:t>Union européenne, les recommandations d</w:t>
      </w:r>
      <w:r>
        <w:rPr>
          <w:lang w:val="fr-FR"/>
        </w:rPr>
        <w:t>’</w:t>
      </w:r>
      <w:r w:rsidRPr="00C62790">
        <w:rPr>
          <w:lang w:val="fr-FR"/>
        </w:rPr>
        <w:t>utilisation dans les pays du Sahel préconisaient l</w:t>
      </w:r>
      <w:r>
        <w:rPr>
          <w:lang w:val="fr-FR"/>
        </w:rPr>
        <w:t>’</w:t>
      </w:r>
      <w:r w:rsidRPr="00C62790">
        <w:rPr>
          <w:lang w:val="fr-FR"/>
        </w:rPr>
        <w:t>application, à l</w:t>
      </w:r>
      <w:r>
        <w:rPr>
          <w:lang w:val="fr-FR"/>
        </w:rPr>
        <w:t>’</w:t>
      </w:r>
      <w:r w:rsidRPr="00C62790">
        <w:rPr>
          <w:lang w:val="fr-FR"/>
        </w:rPr>
        <w:t>aide d</w:t>
      </w:r>
      <w:r>
        <w:rPr>
          <w:lang w:val="fr-FR"/>
        </w:rPr>
        <w:t>e</w:t>
      </w:r>
      <w:r w:rsidRPr="00C62790">
        <w:rPr>
          <w:lang w:val="fr-FR"/>
        </w:rPr>
        <w:t xml:space="preserve"> pulvérisateur</w:t>
      </w:r>
      <w:r>
        <w:rPr>
          <w:lang w:val="fr-FR"/>
        </w:rPr>
        <w:t>s</w:t>
      </w:r>
      <w:r w:rsidRPr="00C62790">
        <w:rPr>
          <w:lang w:val="fr-FR"/>
        </w:rPr>
        <w:t xml:space="preserve"> à dos, d</w:t>
      </w:r>
      <w:r>
        <w:rPr>
          <w:lang w:val="fr-FR"/>
        </w:rPr>
        <w:t>’</w:t>
      </w:r>
      <w:r w:rsidRPr="00C62790">
        <w:rPr>
          <w:lang w:val="fr-FR"/>
        </w:rPr>
        <w:t>un faible volume de la préparation dilué dans de l</w:t>
      </w:r>
      <w:r>
        <w:rPr>
          <w:lang w:val="fr-FR"/>
        </w:rPr>
        <w:t>’</w:t>
      </w:r>
      <w:r w:rsidRPr="00C62790">
        <w:rPr>
          <w:lang w:val="fr-FR"/>
        </w:rPr>
        <w:t xml:space="preserve">eau, </w:t>
      </w:r>
      <w:r>
        <w:rPr>
          <w:lang w:val="fr-FR"/>
        </w:rPr>
        <w:t>de</w:t>
      </w:r>
      <w:r w:rsidRPr="00C62790">
        <w:rPr>
          <w:lang w:val="fr-FR"/>
        </w:rPr>
        <w:t>s doses comprises entre 2,5 et 3,</w:t>
      </w:r>
      <w:r>
        <w:rPr>
          <w:lang w:val="fr-FR"/>
        </w:rPr>
        <w:t>5 l</w:t>
      </w:r>
      <w:r w:rsidRPr="00C62790">
        <w:rPr>
          <w:lang w:val="fr-FR"/>
        </w:rPr>
        <w:t>/ha sur les cultures de coton. La fréquence du traitement</w:t>
      </w:r>
      <w:r>
        <w:rPr>
          <w:lang w:val="fr-FR"/>
        </w:rPr>
        <w:t xml:space="preserve"> </w:t>
      </w:r>
      <w:r w:rsidRPr="00C62790">
        <w:rPr>
          <w:lang w:val="fr-FR"/>
        </w:rPr>
        <w:t xml:space="preserve">était une application unique par campagne agricole. Les équipements de protection individuelle recommandés comprenaient des vêtements protecteurs, des lunettes de protection et des gants.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Dans les pays du CILSS, il est difficile de se procurer des équipements de protection individuelle appropriés, raison pour laquelle les agriculteurs n</w:t>
      </w:r>
      <w:r>
        <w:rPr>
          <w:lang w:val="fr-FR"/>
        </w:rPr>
        <w:t>’</w:t>
      </w:r>
      <w:r w:rsidRPr="00C62790">
        <w:rPr>
          <w:lang w:val="fr-FR"/>
        </w:rPr>
        <w:t>utilisent pas d</w:t>
      </w:r>
      <w:r>
        <w:rPr>
          <w:lang w:val="fr-FR"/>
        </w:rPr>
        <w:t>’</w:t>
      </w:r>
      <w:r w:rsidRPr="00C62790">
        <w:rPr>
          <w:lang w:val="fr-FR"/>
        </w:rPr>
        <w:t>équipements adéquats (</w:t>
      </w:r>
      <w:proofErr w:type="spellStart"/>
      <w:r w:rsidRPr="00C62790">
        <w:rPr>
          <w:lang w:val="fr-FR"/>
        </w:rPr>
        <w:t>Gomgnimbou</w:t>
      </w:r>
      <w:proofErr w:type="spellEnd"/>
      <w:r w:rsidRPr="00C62790">
        <w:rPr>
          <w:lang w:val="fr-FR"/>
        </w:rPr>
        <w:t xml:space="preserve"> et </w:t>
      </w:r>
      <w:proofErr w:type="gramStart"/>
      <w:r w:rsidRPr="00C62790">
        <w:rPr>
          <w:lang w:val="fr-FR"/>
        </w:rPr>
        <w:t>al.,</w:t>
      </w:r>
      <w:proofErr w:type="gramEnd"/>
      <w:r w:rsidRPr="00C62790">
        <w:rPr>
          <w:lang w:val="fr-FR"/>
        </w:rPr>
        <w:t xml:space="preserve"> 2010, </w:t>
      </w:r>
      <w:proofErr w:type="spellStart"/>
      <w:r w:rsidRPr="00C62790">
        <w:rPr>
          <w:lang w:val="fr-FR"/>
        </w:rPr>
        <w:t>Ouedraogo</w:t>
      </w:r>
      <w:proofErr w:type="spellEnd"/>
      <w:r w:rsidRPr="00C62790">
        <w:rPr>
          <w:lang w:val="fr-FR"/>
        </w:rPr>
        <w:t xml:space="preserve"> et al., 2009, </w:t>
      </w:r>
      <w:proofErr w:type="spellStart"/>
      <w:r w:rsidRPr="00C62790">
        <w:rPr>
          <w:lang w:val="fr-FR"/>
        </w:rPr>
        <w:t>Toe</w:t>
      </w:r>
      <w:proofErr w:type="spellEnd"/>
      <w:r w:rsidRPr="00C62790">
        <w:rPr>
          <w:lang w:val="fr-FR"/>
        </w:rPr>
        <w:t xml:space="preserve"> et al, 2010). Les équipements de protection qui leur sont vendus comprennent pour l</w:t>
      </w:r>
      <w:r>
        <w:rPr>
          <w:lang w:val="fr-FR"/>
        </w:rPr>
        <w:t>’</w:t>
      </w:r>
      <w:r w:rsidRPr="00C62790">
        <w:rPr>
          <w:lang w:val="fr-FR"/>
        </w:rPr>
        <w:t xml:space="preserve">essentiel des masques, </w:t>
      </w:r>
      <w:r>
        <w:rPr>
          <w:lang w:val="fr-FR"/>
        </w:rPr>
        <w:t xml:space="preserve">des </w:t>
      </w:r>
      <w:r w:rsidRPr="00C62790">
        <w:rPr>
          <w:lang w:val="fr-FR"/>
        </w:rPr>
        <w:t>bottes et</w:t>
      </w:r>
      <w:r>
        <w:rPr>
          <w:lang w:val="fr-FR"/>
        </w:rPr>
        <w:t xml:space="preserve"> des</w:t>
      </w:r>
      <w:r w:rsidRPr="00C62790">
        <w:rPr>
          <w:lang w:val="fr-FR"/>
        </w:rPr>
        <w:t xml:space="preserve"> gants ; les masques</w:t>
      </w:r>
      <w:r>
        <w:rPr>
          <w:lang w:val="fr-FR"/>
        </w:rPr>
        <w:t> </w:t>
      </w:r>
      <w:r w:rsidRPr="00C62790">
        <w:rPr>
          <w:lang w:val="fr-FR"/>
        </w:rPr>
        <w:t xml:space="preserve">sont les </w:t>
      </w:r>
      <w:r>
        <w:rPr>
          <w:lang w:val="fr-FR"/>
        </w:rPr>
        <w:t xml:space="preserve">articles les </w:t>
      </w:r>
      <w:r w:rsidRPr="00C62790">
        <w:rPr>
          <w:lang w:val="fr-FR"/>
        </w:rPr>
        <w:t>plus utilisés (40 % des agriculteurs en portent, 39 % étant des masques anti-poussière et 1</w:t>
      </w:r>
      <w:r>
        <w:rPr>
          <w:lang w:val="fr-FR"/>
        </w:rPr>
        <w:t> </w:t>
      </w:r>
      <w:r w:rsidRPr="00C62790">
        <w:rPr>
          <w:lang w:val="fr-FR"/>
        </w:rPr>
        <w:t>% des masques à cartouche filtrante), suivis par les bottes (28,8 %), le port conjoint d</w:t>
      </w:r>
      <w:r>
        <w:rPr>
          <w:lang w:val="fr-FR"/>
        </w:rPr>
        <w:t>’un masque et de bottes étant la pratique la</w:t>
      </w:r>
      <w:r w:rsidRPr="00C62790">
        <w:rPr>
          <w:lang w:val="fr-FR"/>
        </w:rPr>
        <w:t xml:space="preserve"> moins courant</w:t>
      </w:r>
      <w:r>
        <w:rPr>
          <w:lang w:val="fr-FR"/>
        </w:rPr>
        <w:t>e</w:t>
      </w:r>
      <w:r w:rsidRPr="00C62790">
        <w:rPr>
          <w:lang w:val="fr-FR"/>
        </w:rPr>
        <w:t xml:space="preserve"> (4,5</w:t>
      </w:r>
      <w:r>
        <w:rPr>
          <w:lang w:val="fr-FR"/>
        </w:rPr>
        <w:t> </w:t>
      </w:r>
      <w:r w:rsidRPr="00C62790">
        <w:rPr>
          <w:lang w:val="fr-FR"/>
        </w:rPr>
        <w:t>%). Au total, 12,62 % des</w:t>
      </w:r>
      <w:r>
        <w:rPr>
          <w:lang w:val="fr-FR"/>
        </w:rPr>
        <w:t> </w:t>
      </w:r>
      <w:r w:rsidRPr="00C62790">
        <w:rPr>
          <w:lang w:val="fr-FR"/>
        </w:rPr>
        <w:t>agriculteurs portent des masques et des bottes, tandis que 0,93</w:t>
      </w:r>
      <w:r>
        <w:rPr>
          <w:lang w:val="fr-FR"/>
        </w:rPr>
        <w:t> </w:t>
      </w:r>
      <w:r w:rsidRPr="00C62790">
        <w:rPr>
          <w:lang w:val="fr-FR"/>
        </w:rPr>
        <w:t xml:space="preserve">% seulement portent en même temps des gants, des bottes, une salopette, un masque et des lunettes de protection. </w:t>
      </w:r>
      <w:r>
        <w:rPr>
          <w:lang w:val="fr-FR"/>
        </w:rPr>
        <w:t xml:space="preserve">Le port de </w:t>
      </w:r>
      <w:r w:rsidRPr="00C62790">
        <w:rPr>
          <w:lang w:val="fr-FR"/>
        </w:rPr>
        <w:t xml:space="preserve">masques à cartouche filtrante </w:t>
      </w:r>
      <w:r>
        <w:rPr>
          <w:lang w:val="fr-FR"/>
        </w:rPr>
        <w:t>des</w:t>
      </w:r>
      <w:r w:rsidRPr="00C62790">
        <w:rPr>
          <w:lang w:val="fr-FR"/>
        </w:rPr>
        <w:t xml:space="preserve"> gants, bottes,</w:t>
      </w:r>
      <w:r>
        <w:rPr>
          <w:lang w:val="fr-FR"/>
        </w:rPr>
        <w:t xml:space="preserve"> </w:t>
      </w:r>
      <w:r w:rsidRPr="00C62790">
        <w:rPr>
          <w:lang w:val="fr-FR"/>
        </w:rPr>
        <w:t>combinaison</w:t>
      </w:r>
      <w:r>
        <w:rPr>
          <w:lang w:val="fr-FR"/>
        </w:rPr>
        <w:t>s</w:t>
      </w:r>
      <w:r w:rsidRPr="00C62790">
        <w:rPr>
          <w:lang w:val="fr-FR"/>
        </w:rPr>
        <w:t xml:space="preserve"> et lunettes de protection </w:t>
      </w:r>
      <w:r>
        <w:rPr>
          <w:lang w:val="fr-FR"/>
        </w:rPr>
        <w:t xml:space="preserve">ne s’observe </w:t>
      </w:r>
      <w:r w:rsidRPr="00C62790">
        <w:rPr>
          <w:lang w:val="fr-FR"/>
        </w:rPr>
        <w:t>que dans</w:t>
      </w:r>
      <w:r>
        <w:rPr>
          <w:lang w:val="fr-FR"/>
        </w:rPr>
        <w:t> </w:t>
      </w:r>
      <w:r w:rsidRPr="00C62790">
        <w:rPr>
          <w:lang w:val="fr-FR"/>
        </w:rPr>
        <w:t>0,31</w:t>
      </w:r>
      <w:r>
        <w:rPr>
          <w:lang w:val="fr-FR"/>
        </w:rPr>
        <w:t> </w:t>
      </w:r>
      <w:r w:rsidRPr="00C62790">
        <w:rPr>
          <w:lang w:val="fr-FR"/>
        </w:rPr>
        <w:t>% des cas seulement (</w:t>
      </w:r>
      <w:proofErr w:type="spellStart"/>
      <w:r w:rsidRPr="00C62790">
        <w:rPr>
          <w:lang w:val="fr-FR"/>
        </w:rPr>
        <w:t>Toe</w:t>
      </w:r>
      <w:proofErr w:type="spellEnd"/>
      <w:r w:rsidRPr="00C62790">
        <w:rPr>
          <w:lang w:val="fr-FR"/>
        </w:rPr>
        <w:t>, 2010). Les opérateurs qui ne portent pas d</w:t>
      </w:r>
      <w:r>
        <w:rPr>
          <w:lang w:val="fr-FR"/>
        </w:rPr>
        <w:t>’</w:t>
      </w:r>
      <w:r w:rsidRPr="00C62790">
        <w:rPr>
          <w:lang w:val="fr-FR"/>
        </w:rPr>
        <w:t>équipement de protection individuelle approprié ne devraient pas être autorisés à appliquer des traitements qui exigent leur protection intégrale (comme c</w:t>
      </w:r>
      <w:r>
        <w:rPr>
          <w:lang w:val="fr-FR"/>
        </w:rPr>
        <w:t>’</w:t>
      </w:r>
      <w:r w:rsidRPr="00C62790">
        <w:rPr>
          <w:lang w:val="fr-FR"/>
        </w:rPr>
        <w:t>est le cas pour les préparations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>).</w:t>
      </w:r>
      <w:r w:rsidRPr="00C62790">
        <w:rPr>
          <w:b/>
          <w:lang w:val="fr-FR"/>
        </w:rPr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et la documentation à l</w:t>
      </w:r>
      <w:r>
        <w:rPr>
          <w:lang w:val="fr-FR"/>
        </w:rPr>
        <w:t>’</w:t>
      </w:r>
      <w:r w:rsidRPr="00C62790">
        <w:rPr>
          <w:lang w:val="fr-FR"/>
        </w:rPr>
        <w:t xml:space="preserve">appui mettent en évidence les risques </w:t>
      </w:r>
      <w:r>
        <w:rPr>
          <w:lang w:val="fr-FR"/>
        </w:rPr>
        <w:t>pour l’environnement qui sont décrits ci-après.</w:t>
      </w:r>
      <w:r w:rsidRPr="00C62790">
        <w:rPr>
          <w:lang w:val="fr-FR"/>
        </w:rPr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 xml:space="preserve">étude de modélisation réalisée par </w:t>
      </w:r>
      <w:proofErr w:type="spellStart"/>
      <w:r w:rsidRPr="00C62790">
        <w:rPr>
          <w:lang w:val="fr-FR"/>
        </w:rPr>
        <w:t>Ouedraogo</w:t>
      </w:r>
      <w:proofErr w:type="spellEnd"/>
      <w:r w:rsidRPr="00C62790">
        <w:rPr>
          <w:lang w:val="fr-FR"/>
        </w:rPr>
        <w:t xml:space="preserve"> et al</w:t>
      </w:r>
      <w:r>
        <w:rPr>
          <w:lang w:val="fr-FR"/>
        </w:rPr>
        <w:t>.</w:t>
      </w:r>
      <w:r w:rsidRPr="00C62790">
        <w:rPr>
          <w:lang w:val="fr-FR"/>
        </w:rPr>
        <w:t xml:space="preserve"> (2012) montre que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a un potentiel très élevé de contamination des eaux superficielles dans l</w:t>
      </w:r>
      <w:r>
        <w:rPr>
          <w:lang w:val="fr-FR"/>
        </w:rPr>
        <w:t>’</w:t>
      </w:r>
      <w:r w:rsidRPr="00C62790">
        <w:rPr>
          <w:lang w:val="fr-FR"/>
        </w:rPr>
        <w:t xml:space="preserve">industrie de la canne à sucre au Burkina Faso, </w:t>
      </w:r>
      <w:r>
        <w:rPr>
          <w:lang w:val="fr-FR"/>
        </w:rPr>
        <w:t>de</w:t>
      </w:r>
      <w:r w:rsidRPr="00C62790">
        <w:rPr>
          <w:lang w:val="fr-FR"/>
        </w:rPr>
        <w:t xml:space="preserve">s taux de 3,54 kg de principe actif par hectare.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Dans une étude mesurant les concentrations de pesticides dans deux lacs au Burkina Faso,</w:t>
      </w:r>
      <w:r>
        <w:rPr>
          <w:lang w:val="fr-FR"/>
        </w:rPr>
        <w:t xml:space="preserve"> d</w:t>
      </w:r>
      <w:r w:rsidRPr="00C62790">
        <w:rPr>
          <w:lang w:val="fr-FR"/>
        </w:rPr>
        <w:t>es</w:t>
      </w:r>
      <w:r>
        <w:rPr>
          <w:lang w:val="fr-FR"/>
        </w:rPr>
        <w:t> </w:t>
      </w:r>
      <w:r w:rsidRPr="00C62790">
        <w:rPr>
          <w:lang w:val="fr-FR"/>
        </w:rPr>
        <w:t>concentrations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atteignant jusqu</w:t>
      </w:r>
      <w:r>
        <w:rPr>
          <w:lang w:val="fr-FR"/>
        </w:rPr>
        <w:t>’</w:t>
      </w:r>
      <w:r w:rsidRPr="00C62790">
        <w:rPr>
          <w:lang w:val="fr-FR"/>
        </w:rPr>
        <w:t>à 53,</w:t>
      </w:r>
      <w:r>
        <w:rPr>
          <w:lang w:val="fr-FR"/>
        </w:rPr>
        <w:t>1 µg/l</w:t>
      </w:r>
      <w:r w:rsidRPr="00C62790">
        <w:rPr>
          <w:lang w:val="fr-FR"/>
        </w:rPr>
        <w:t xml:space="preserve"> ont été enregistrées (</w:t>
      </w:r>
      <w:proofErr w:type="spellStart"/>
      <w:r w:rsidRPr="00C62790">
        <w:rPr>
          <w:lang w:val="fr-FR"/>
        </w:rPr>
        <w:t>Soleri</w:t>
      </w:r>
      <w:proofErr w:type="spellEnd"/>
      <w:r w:rsidRPr="00C62790">
        <w:rPr>
          <w:lang w:val="fr-FR"/>
        </w:rPr>
        <w:t>, 2013).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contamination des eaux souterraines et superficielles dans les pays du CILSS po</w:t>
      </w:r>
      <w:r>
        <w:rPr>
          <w:lang w:val="fr-FR"/>
        </w:rPr>
        <w:t xml:space="preserve">urrait comporter un risque </w:t>
      </w:r>
      <w:r w:rsidRPr="00C62790">
        <w:rPr>
          <w:lang w:val="fr-FR"/>
        </w:rPr>
        <w:t>élevé à cour</w:t>
      </w:r>
      <w:r>
        <w:rPr>
          <w:lang w:val="fr-FR"/>
        </w:rPr>
        <w:t>t terme pour les oiseaux qui boiraient</w:t>
      </w:r>
      <w:r w:rsidRPr="00C62790">
        <w:rPr>
          <w:lang w:val="fr-FR"/>
        </w:rPr>
        <w:t xml:space="preserve"> de l</w:t>
      </w:r>
      <w:r>
        <w:rPr>
          <w:lang w:val="fr-FR"/>
        </w:rPr>
        <w:t>’</w:t>
      </w:r>
      <w:r w:rsidRPr="00C62790">
        <w:rPr>
          <w:lang w:val="fr-FR"/>
        </w:rPr>
        <w:t xml:space="preserve">eau contaminée </w:t>
      </w:r>
      <w:r>
        <w:rPr>
          <w:lang w:val="fr-FR"/>
        </w:rPr>
        <w:t>lors d’</w:t>
      </w:r>
      <w:r w:rsidRPr="00C62790">
        <w:rPr>
          <w:lang w:val="fr-FR"/>
        </w:rPr>
        <w:t>un traitement post-levée.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En outre, un risque</w:t>
      </w:r>
      <w:r>
        <w:rPr>
          <w:lang w:val="fr-FR"/>
        </w:rPr>
        <w:t xml:space="preserve"> potentiel</w:t>
      </w:r>
      <w:r w:rsidRPr="00C62790">
        <w:rPr>
          <w:lang w:val="fr-FR"/>
        </w:rPr>
        <w:t xml:space="preserve"> élevé pour les plantes terrestres non ciblées ainsi qu</w:t>
      </w:r>
      <w:r>
        <w:rPr>
          <w:lang w:val="fr-FR"/>
        </w:rPr>
        <w:t>’</w:t>
      </w:r>
      <w:r w:rsidRPr="00C62790">
        <w:rPr>
          <w:lang w:val="fr-FR"/>
        </w:rPr>
        <w:t>un risque élevé à long terme pour les oiseaux herbivores ont été signalés.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indique que la mesure de réglementation finale interdit toutes les utilisations de</w:t>
      </w:r>
      <w:r>
        <w:rPr>
          <w:lang w:val="fr-FR"/>
        </w:rPr>
        <w:t> </w:t>
      </w:r>
      <w:r w:rsidRPr="00C62790">
        <w:rPr>
          <w:lang w:val="fr-FR"/>
        </w:rPr>
        <w:t>préparations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</w:t>
      </w:r>
      <w:r>
        <w:rPr>
          <w:lang w:val="fr-FR"/>
        </w:rPr>
        <w:t>à compter du 20 </w:t>
      </w:r>
      <w:r w:rsidRPr="00C62790">
        <w:rPr>
          <w:lang w:val="fr-FR"/>
        </w:rPr>
        <w:t xml:space="preserve">mars 2017 et </w:t>
      </w:r>
      <w:r>
        <w:rPr>
          <w:lang w:val="fr-FR"/>
        </w:rPr>
        <w:t xml:space="preserve">qu’elle </w:t>
      </w:r>
      <w:r w:rsidRPr="00C62790">
        <w:rPr>
          <w:lang w:val="fr-FR"/>
        </w:rPr>
        <w:t>devrait par conséquent réduire sensiblement la quantité du produit chimique utilisée</w:t>
      </w:r>
      <w:r>
        <w:rPr>
          <w:lang w:val="fr-FR"/>
        </w:rPr>
        <w:t xml:space="preserve"> et donc réduire aussi sensiblement s</w:t>
      </w:r>
      <w:r w:rsidRPr="00C62790">
        <w:rPr>
          <w:lang w:val="fr-FR"/>
        </w:rPr>
        <w:t>es risques pour la santé humaine et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a) est satisfait.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c)</w:t>
      </w:r>
      <w:r w:rsidRPr="00C62790">
        <w:rPr>
          <w:lang w:val="fr-FR"/>
        </w:rPr>
        <w:tab/>
        <w:t>Critères du paragraphe</w:t>
      </w:r>
      <w:r>
        <w:rPr>
          <w:lang w:val="fr-FR"/>
        </w:rPr>
        <w:t> </w:t>
      </w:r>
      <w:r w:rsidRPr="00C62790">
        <w:rPr>
          <w:lang w:val="fr-FR"/>
        </w:rPr>
        <w:t>b)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II </w:t>
      </w:r>
    </w:p>
    <w:p w:rsidR="00172019" w:rsidRPr="00C62790" w:rsidRDefault="00172019" w:rsidP="00172019">
      <w:pPr>
        <w:keepNext/>
        <w:keepLines/>
        <w:widowControl w:val="0"/>
        <w:tabs>
          <w:tab w:val="left" w:pos="624"/>
        </w:tabs>
        <w:snapToGrid w:val="0"/>
        <w:spacing w:after="120"/>
        <w:ind w:left="1247" w:firstLine="619"/>
        <w:rPr>
          <w:i/>
        </w:rPr>
      </w:pPr>
      <w:r w:rsidRPr="00C62790">
        <w:rPr>
          <w:i/>
        </w:rPr>
        <w:t>b)</w:t>
      </w:r>
      <w:r w:rsidRPr="00C62790">
        <w:rPr>
          <w:i/>
        </w:rPr>
        <w:tab/>
        <w:t>Vérifie que la mesure de réglementation finale a été prise après une évaluation des</w:t>
      </w:r>
      <w:r>
        <w:rPr>
          <w:i/>
        </w:rPr>
        <w:t> </w:t>
      </w:r>
      <w:r w:rsidRPr="00C62790">
        <w:rPr>
          <w:i/>
        </w:rPr>
        <w:t>risques. Cette évaluation doit s</w:t>
      </w:r>
      <w:r>
        <w:rPr>
          <w:i/>
        </w:rPr>
        <w:t>’</w:t>
      </w:r>
      <w:r w:rsidRPr="00C62790">
        <w:rPr>
          <w:i/>
        </w:rPr>
        <w:t>appuyer sur une analyse des données scientifiques effectuée en</w:t>
      </w:r>
      <w:r>
        <w:rPr>
          <w:i/>
        </w:rPr>
        <w:t> </w:t>
      </w:r>
      <w:r w:rsidRPr="00C62790">
        <w:rPr>
          <w:i/>
        </w:rPr>
        <w:t>tenant compte du contexte propre à la Partie considérée. À cette fin, la documentation fournie doit</w:t>
      </w:r>
      <w:r>
        <w:rPr>
          <w:i/>
        </w:rPr>
        <w:t> </w:t>
      </w:r>
      <w:r w:rsidRPr="00C62790">
        <w:rPr>
          <w:i/>
        </w:rPr>
        <w:t>attester que</w:t>
      </w:r>
      <w:r>
        <w:rPr>
          <w:i/>
        </w:rPr>
        <w:t> </w:t>
      </w:r>
      <w:r w:rsidRPr="00C62790">
        <w:rPr>
          <w:i/>
        </w:rPr>
        <w:t>:</w:t>
      </w:r>
    </w:p>
    <w:p w:rsidR="00172019" w:rsidRPr="00C62790" w:rsidRDefault="00172019" w:rsidP="00172019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>i)</w:t>
      </w:r>
      <w:r w:rsidRPr="00C62790">
        <w:rPr>
          <w:i/>
        </w:rPr>
        <w:tab/>
        <w:t>Les données ont été obtenues par des méthodes scientifiquement reconnue</w:t>
      </w:r>
      <w:r>
        <w:rPr>
          <w:i/>
        </w:rPr>
        <w:t> </w:t>
      </w:r>
      <w:r w:rsidRPr="00C62790">
        <w:rPr>
          <w:i/>
        </w:rPr>
        <w:t>;</w:t>
      </w:r>
    </w:p>
    <w:p w:rsidR="00172019" w:rsidRPr="00C62790" w:rsidRDefault="00172019" w:rsidP="00172019">
      <w:pPr>
        <w:pStyle w:val="Normalnumber"/>
        <w:keepNext/>
        <w:keepLines/>
        <w:numPr>
          <w:ilvl w:val="0"/>
          <w:numId w:val="0"/>
        </w:numPr>
        <w:ind w:left="2430" w:hanging="559"/>
        <w:rPr>
          <w:i/>
          <w:lang w:val="fr-FR"/>
        </w:rPr>
      </w:pPr>
      <w:r w:rsidRPr="00C62790">
        <w:rPr>
          <w:i/>
          <w:lang w:val="fr-FR"/>
        </w:rPr>
        <w:t>ii)</w:t>
      </w:r>
      <w:r w:rsidRPr="00C62790">
        <w:rPr>
          <w:i/>
          <w:lang w:val="fr-FR"/>
        </w:rPr>
        <w:tab/>
        <w:t>Ces données ont été analysées et étayées en respectant des principes et des méthodes scientifiquement reconnus</w:t>
      </w:r>
      <w:r>
        <w:rPr>
          <w:i/>
          <w:lang w:val="fr-FR"/>
        </w:rPr>
        <w:t> </w:t>
      </w:r>
      <w:r w:rsidRPr="00C62790">
        <w:rPr>
          <w:i/>
          <w:lang w:val="fr-FR"/>
        </w:rPr>
        <w:t xml:space="preserve">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Les notifications</w:t>
      </w:r>
      <w:r w:rsidRPr="00C62790">
        <w:rPr>
          <w:lang w:val="fr-FR"/>
        </w:rPr>
        <w:t xml:space="preserve"> des pays du CILSS tenaient compte d</w:t>
      </w:r>
      <w:r>
        <w:rPr>
          <w:lang w:val="fr-FR"/>
        </w:rPr>
        <w:t>’</w:t>
      </w:r>
      <w:r w:rsidRPr="00C62790">
        <w:rPr>
          <w:lang w:val="fr-FR"/>
        </w:rPr>
        <w:t>informations scientifiques tirées d</w:t>
      </w:r>
      <w:r>
        <w:rPr>
          <w:lang w:val="fr-FR"/>
        </w:rPr>
        <w:t>’</w:t>
      </w:r>
      <w:r w:rsidRPr="00C62790">
        <w:rPr>
          <w:lang w:val="fr-FR"/>
        </w:rPr>
        <w:t>une variété de sources. Dans l</w:t>
      </w:r>
      <w:r>
        <w:rPr>
          <w:lang w:val="fr-FR"/>
        </w:rPr>
        <w:t>’</w:t>
      </w:r>
      <w:r w:rsidRPr="00C62790">
        <w:rPr>
          <w:lang w:val="fr-FR"/>
        </w:rPr>
        <w:t>annexe à la décision d</w:t>
      </w:r>
      <w:r>
        <w:rPr>
          <w:lang w:val="fr-FR"/>
        </w:rPr>
        <w:t>’</w:t>
      </w:r>
      <w:r w:rsidRPr="00C62790">
        <w:rPr>
          <w:lang w:val="fr-FR"/>
        </w:rPr>
        <w:t>interdire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>, référence est faite à plusieurs rapports nationaux, ainsi qu</w:t>
      </w:r>
      <w:r>
        <w:rPr>
          <w:lang w:val="fr-FR"/>
        </w:rPr>
        <w:t>’de</w:t>
      </w:r>
      <w:r w:rsidRPr="00C62790">
        <w:rPr>
          <w:lang w:val="fr-FR"/>
        </w:rPr>
        <w:t>s rapports de l</w:t>
      </w:r>
      <w:r>
        <w:rPr>
          <w:lang w:val="fr-FR"/>
        </w:rPr>
        <w:t>’</w:t>
      </w:r>
      <w:r w:rsidRPr="00C62790">
        <w:rPr>
          <w:lang w:val="fr-FR"/>
        </w:rPr>
        <w:t>USEPA et de l</w:t>
      </w:r>
      <w:r>
        <w:rPr>
          <w:lang w:val="fr-FR"/>
        </w:rPr>
        <w:t>’</w:t>
      </w:r>
      <w:r w:rsidRPr="00C62790">
        <w:rPr>
          <w:lang w:val="fr-FR"/>
        </w:rPr>
        <w:t xml:space="preserve">AESA et </w:t>
      </w:r>
      <w:r>
        <w:rPr>
          <w:lang w:val="fr-FR"/>
        </w:rPr>
        <w:t>de</w:t>
      </w:r>
      <w:r w:rsidRPr="00C62790">
        <w:rPr>
          <w:lang w:val="fr-FR"/>
        </w:rPr>
        <w:t>s articles parus dans des revues scientifiques ayant fait l</w:t>
      </w:r>
      <w:r>
        <w:rPr>
          <w:lang w:val="fr-FR"/>
        </w:rPr>
        <w:t>’</w:t>
      </w:r>
      <w:r w:rsidRPr="00C62790">
        <w:rPr>
          <w:lang w:val="fr-FR"/>
        </w:rPr>
        <w:t>objet d</w:t>
      </w:r>
      <w:r>
        <w:rPr>
          <w:lang w:val="fr-FR"/>
        </w:rPr>
        <w:t>’</w:t>
      </w:r>
      <w:r w:rsidRPr="00C62790">
        <w:rPr>
          <w:lang w:val="fr-FR"/>
        </w:rPr>
        <w:t xml:space="preserve">un examen par des pairs.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lastRenderedPageBreak/>
        <w:t>Le Comité conclut que dans la documentation à l</w:t>
      </w:r>
      <w:r>
        <w:rPr>
          <w:lang w:val="fr-FR"/>
        </w:rPr>
        <w:t>’</w:t>
      </w:r>
      <w:r w:rsidRPr="00C62790">
        <w:rPr>
          <w:lang w:val="fr-FR"/>
        </w:rPr>
        <w:t>appui soumise par les pays du CILSS, les données ont été obtenues par des méthodes scientifiques reconnues et qu</w:t>
      </w:r>
      <w:r>
        <w:rPr>
          <w:lang w:val="fr-FR"/>
        </w:rPr>
        <w:t>’</w:t>
      </w:r>
      <w:r w:rsidRPr="00C62790">
        <w:rPr>
          <w:lang w:val="fr-FR"/>
        </w:rPr>
        <w:t>elles ont été analysées et étayées en respectant des principes et des méthodes scientifiquement reconnus.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En conséquence, le Comité confirme que les critères des paragraphes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i) et ii)</w:t>
      </w:r>
      <w:r>
        <w:rPr>
          <w:lang w:val="fr-FR"/>
        </w:rPr>
        <w:t xml:space="preserve"> sont satisfaits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2495" w:hanging="624"/>
        <w:rPr>
          <w:i/>
          <w:lang w:val="fr-FR"/>
        </w:rPr>
      </w:pPr>
      <w:r w:rsidRPr="00C62790">
        <w:rPr>
          <w:i/>
          <w:lang w:val="fr-FR"/>
        </w:rPr>
        <w:t>iii)</w:t>
      </w:r>
      <w:r w:rsidRPr="00C62790">
        <w:rPr>
          <w:i/>
          <w:lang w:val="fr-FR"/>
        </w:rPr>
        <w:tab/>
        <w:t>La mesure de réglementation finale se fonde sur une évaluation des risques tenant compte du contexte propre à la Partie qui en est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 xml:space="preserve">auteur 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mesure de réglementation finale tendant à interdire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reposait sur une évaluation des risques. Les pays du CILSS avaient établi que ce produit posait des risques pour la santé humaine et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environnement, </w:t>
      </w:r>
      <w:r>
        <w:rPr>
          <w:lang w:val="fr-FR"/>
        </w:rPr>
        <w:t>au point que s</w:t>
      </w:r>
      <w:r w:rsidRPr="00C62790">
        <w:rPr>
          <w:lang w:val="fr-FR"/>
        </w:rPr>
        <w:t>es utilisateurs dans les pays du CILSS éprouvaient de grandes difficultés à l</w:t>
      </w:r>
      <w:r>
        <w:rPr>
          <w:lang w:val="fr-FR"/>
        </w:rPr>
        <w:t>’</w:t>
      </w:r>
      <w:r w:rsidRPr="00C62790">
        <w:rPr>
          <w:lang w:val="fr-FR"/>
        </w:rPr>
        <w:t>employer sans risque inacceptable. Les risques pour la santé humaine (par contamination des eaux souterraines et superficielles servant d</w:t>
      </w:r>
      <w:r>
        <w:rPr>
          <w:lang w:val="fr-FR"/>
        </w:rPr>
        <w:t>’</w:t>
      </w:r>
      <w:r w:rsidRPr="00C62790">
        <w:rPr>
          <w:lang w:val="fr-FR"/>
        </w:rPr>
        <w:t xml:space="preserve">eau de boisson), </w:t>
      </w:r>
      <w:r>
        <w:rPr>
          <w:lang w:val="fr-FR"/>
        </w:rPr>
        <w:t xml:space="preserve">pour </w:t>
      </w:r>
      <w:r w:rsidRPr="00C62790">
        <w:rPr>
          <w:lang w:val="fr-FR"/>
        </w:rPr>
        <w:t>les opérateurs (du fait de l</w:t>
      </w:r>
      <w:r>
        <w:rPr>
          <w:lang w:val="fr-FR"/>
        </w:rPr>
        <w:t>’</w:t>
      </w:r>
      <w:r w:rsidRPr="00C62790">
        <w:rPr>
          <w:lang w:val="fr-FR"/>
        </w:rPr>
        <w:t>absence de mesures de protection individuelle satisfaisantes) et pour l</w:t>
      </w:r>
      <w:r>
        <w:rPr>
          <w:lang w:val="fr-FR"/>
        </w:rPr>
        <w:t>’</w:t>
      </w:r>
      <w:r w:rsidRPr="00C62790">
        <w:rPr>
          <w:lang w:val="fr-FR"/>
        </w:rPr>
        <w:t>environnement (du fait des propriétés intrinsèques de la substance, du risque de contamination</w:t>
      </w:r>
      <w:r>
        <w:rPr>
          <w:lang w:val="fr-FR"/>
        </w:rPr>
        <w:t xml:space="preserve"> des eaux </w:t>
      </w:r>
      <w:r w:rsidRPr="00C62790">
        <w:rPr>
          <w:lang w:val="fr-FR"/>
        </w:rPr>
        <w:t>et des conditions d</w:t>
      </w:r>
      <w:r>
        <w:rPr>
          <w:lang w:val="fr-FR"/>
        </w:rPr>
        <w:t>’</w:t>
      </w:r>
      <w:r w:rsidRPr="00C62790">
        <w:rPr>
          <w:lang w:val="fr-FR"/>
        </w:rPr>
        <w:t>emploi du produit dans le Sahel) font qu</w:t>
      </w:r>
      <w:r>
        <w:rPr>
          <w:lang w:val="fr-FR"/>
        </w:rPr>
        <w:t>’</w:t>
      </w:r>
      <w:r w:rsidRPr="00C62790">
        <w:rPr>
          <w:lang w:val="fr-FR"/>
        </w:rPr>
        <w:t>il est extrêmement difficile d</w:t>
      </w:r>
      <w:r>
        <w:rPr>
          <w:lang w:val="fr-FR"/>
        </w:rPr>
        <w:t>’</w:t>
      </w:r>
      <w:r w:rsidRPr="00C62790">
        <w:rPr>
          <w:lang w:val="fr-FR"/>
        </w:rPr>
        <w:t>utiliser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toute sécurité.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 des risques tenait compte des conditions prévalant dans les Parties </w:t>
      </w:r>
      <w:proofErr w:type="spellStart"/>
      <w:r w:rsidRPr="00C62790">
        <w:rPr>
          <w:lang w:val="fr-FR"/>
        </w:rPr>
        <w:t>notifiantes</w:t>
      </w:r>
      <w:proofErr w:type="spellEnd"/>
      <w:r w:rsidRPr="00C62790">
        <w:rPr>
          <w:lang w:val="fr-FR"/>
        </w:rPr>
        <w:t>, notamment des conditions d</w:t>
      </w:r>
      <w:r>
        <w:rPr>
          <w:lang w:val="fr-FR"/>
        </w:rPr>
        <w:t>’</w:t>
      </w:r>
      <w:r w:rsidRPr="00C62790">
        <w:rPr>
          <w:lang w:val="fr-FR"/>
        </w:rPr>
        <w:t>application de la substance, de la disponibilité d</w:t>
      </w:r>
      <w:r>
        <w:rPr>
          <w:lang w:val="fr-FR"/>
        </w:rPr>
        <w:t>’</w:t>
      </w:r>
      <w:r w:rsidRPr="00C62790">
        <w:rPr>
          <w:lang w:val="fr-FR"/>
        </w:rPr>
        <w:t xml:space="preserve">équipements de protection individuelle et du contexte environnemental de la région.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</w:t>
      </w:r>
      <w:r w:rsidRPr="00C62790">
        <w:rPr>
          <w:lang w:val="fr-FR"/>
        </w:rPr>
        <w:t>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 xml:space="preserve">iii) </w:t>
      </w:r>
      <w:r>
        <w:rPr>
          <w:lang w:val="fr-FR"/>
        </w:rPr>
        <w:t>est 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confirme</w:t>
      </w:r>
      <w:r>
        <w:rPr>
          <w:lang w:val="fr-FR"/>
        </w:rPr>
        <w:t xml:space="preserve"> que les critères du paragraphe </w:t>
      </w:r>
      <w:r w:rsidRPr="00C62790">
        <w:rPr>
          <w:lang w:val="fr-FR"/>
        </w:rPr>
        <w:t>b)</w:t>
      </w:r>
      <w:r>
        <w:rPr>
          <w:lang w:val="fr-FR"/>
        </w:rPr>
        <w:t xml:space="preserve"> sont satisfaits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keepNext/>
        <w:snapToGrid w:val="0"/>
        <w:spacing w:before="120" w:after="120"/>
        <w:ind w:left="619" w:hanging="619"/>
        <w:rPr>
          <w:b/>
        </w:rPr>
      </w:pPr>
      <w:r w:rsidRPr="00C62790">
        <w:rPr>
          <w:b/>
        </w:rPr>
        <w:tab/>
      </w:r>
      <w:r>
        <w:rPr>
          <w:b/>
        </w:rPr>
        <w:t>d)</w:t>
      </w:r>
      <w:r>
        <w:rPr>
          <w:b/>
        </w:rPr>
        <w:tab/>
        <w:t>Critères du paragraphe </w:t>
      </w:r>
      <w:r w:rsidRPr="00C62790">
        <w:rPr>
          <w:b/>
        </w:rPr>
        <w:t>c)</w:t>
      </w:r>
      <w:r>
        <w:rPr>
          <w:b/>
        </w:rPr>
        <w:t xml:space="preserve"> de l’Annexe </w:t>
      </w:r>
      <w:r w:rsidRPr="00C62790">
        <w:rPr>
          <w:b/>
        </w:rPr>
        <w:t>II</w:t>
      </w:r>
    </w:p>
    <w:p w:rsidR="00172019" w:rsidRPr="00C62790" w:rsidRDefault="00172019" w:rsidP="00172019">
      <w:pPr>
        <w:pStyle w:val="Normalnumber"/>
        <w:keepNext/>
        <w:keepLines/>
        <w:numPr>
          <w:ilvl w:val="0"/>
          <w:numId w:val="0"/>
        </w:numPr>
        <w:ind w:left="1247"/>
        <w:rPr>
          <w:i/>
          <w:lang w:val="fr-FR"/>
        </w:rPr>
      </w:pPr>
      <w:r w:rsidRPr="00C62790">
        <w:rPr>
          <w:i/>
          <w:lang w:val="fr-FR"/>
        </w:rPr>
        <w:tab/>
        <w:t>c)</w:t>
      </w:r>
      <w:r w:rsidRPr="00C62790">
        <w:rPr>
          <w:i/>
          <w:lang w:val="fr-FR"/>
        </w:rPr>
        <w:tab/>
        <w:t>Détermine si la mesure de réglementation finale suffit à justifier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inscription du produi</w:t>
      </w:r>
      <w:r>
        <w:rPr>
          <w:i/>
          <w:lang w:val="fr-FR"/>
        </w:rPr>
        <w:t>t chimique considéré à l’Annexe </w:t>
      </w:r>
      <w:r w:rsidRPr="00C62790">
        <w:rPr>
          <w:i/>
          <w:lang w:val="fr-FR"/>
        </w:rPr>
        <w:t>III après avoir déterminé</w:t>
      </w:r>
      <w:r>
        <w:rPr>
          <w:i/>
          <w:lang w:val="fr-FR"/>
        </w:rPr>
        <w:t> </w:t>
      </w:r>
      <w:r w:rsidRPr="00C62790">
        <w:rPr>
          <w:i/>
          <w:lang w:val="fr-FR"/>
        </w:rPr>
        <w:t>: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2495" w:hanging="624"/>
        <w:rPr>
          <w:i/>
          <w:lang w:val="fr-FR"/>
        </w:rPr>
      </w:pPr>
      <w:r w:rsidRPr="00C62790">
        <w:rPr>
          <w:i/>
          <w:lang w:val="fr-FR"/>
        </w:rPr>
        <w:t>i)</w:t>
      </w:r>
      <w:r w:rsidRPr="00C62790">
        <w:rPr>
          <w:i/>
          <w:lang w:val="fr-FR"/>
        </w:rPr>
        <w:tab/>
        <w:t>Si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application de la mesure de réglementation finale a entraîné, ou devrait entraîner, une diminution sensible de la consommation du produit chimique ou du nombre de ses emplois</w:t>
      </w:r>
      <w:r>
        <w:rPr>
          <w:i/>
          <w:lang w:val="fr-FR"/>
        </w:rPr>
        <w:t> </w:t>
      </w:r>
      <w:r w:rsidRPr="00C62790">
        <w:rPr>
          <w:i/>
          <w:lang w:val="fr-FR"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est interdite par la mesure de réglementation finale, qui interdit toutes les préparations pesticides en contenant.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mesure de réglementation finale, qui interdit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tant que pesticide, devrait conduire à une réduction </w:t>
      </w:r>
      <w:r>
        <w:rPr>
          <w:lang w:val="fr-FR"/>
        </w:rPr>
        <w:t xml:space="preserve">quantitative </w:t>
      </w:r>
      <w:r w:rsidRPr="00C62790">
        <w:rPr>
          <w:lang w:val="fr-FR"/>
        </w:rPr>
        <w:t>sensible de</w:t>
      </w:r>
      <w:r>
        <w:rPr>
          <w:lang w:val="fr-FR"/>
        </w:rPr>
        <w:t xml:space="preserve"> l’utilisation de ce </w:t>
      </w:r>
      <w:r w:rsidRPr="00C62790">
        <w:rPr>
          <w:lang w:val="fr-FR"/>
        </w:rPr>
        <w:t>produit.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conséquent, l</w:t>
      </w:r>
      <w:r w:rsidRPr="00C62790">
        <w:rPr>
          <w:lang w:val="fr-FR"/>
        </w:rPr>
        <w:t>e Comité conclut que le critère du paragraphe</w:t>
      </w:r>
      <w:r>
        <w:rPr>
          <w:lang w:val="fr-FR"/>
        </w:rPr>
        <w:t>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 xml:space="preserve">i) est </w:t>
      </w:r>
      <w:r>
        <w:rPr>
          <w:lang w:val="fr-FR"/>
        </w:rPr>
        <w:t>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effectivement entraîné, ou devrait entraîner, une diminution importante des risques pesant sur la santé des personnes ou sur l</w:t>
      </w:r>
      <w:r>
        <w:rPr>
          <w:i/>
        </w:rPr>
        <w:t>’</w:t>
      </w:r>
      <w:r w:rsidRPr="00C62790">
        <w:rPr>
          <w:i/>
        </w:rPr>
        <w:t>environnement dans la Partie qui a soumis la notification</w:t>
      </w:r>
      <w:r>
        <w:rPr>
          <w:i/>
        </w:rPr>
        <w:t> </w:t>
      </w:r>
      <w:r w:rsidRPr="00C62790">
        <w:rPr>
          <w:i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mesure de réglementation finale interdisant l</w:t>
      </w:r>
      <w:r>
        <w:rPr>
          <w:lang w:val="fr-FR"/>
        </w:rPr>
        <w:t>’</w:t>
      </w:r>
      <w:r w:rsidRPr="00C62790">
        <w:rPr>
          <w:lang w:val="fr-FR"/>
        </w:rPr>
        <w:t>utilisation de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devrait réduire sensiblement la </w:t>
      </w:r>
      <w:r>
        <w:rPr>
          <w:lang w:val="fr-FR"/>
        </w:rPr>
        <w:t>consommation de ce</w:t>
      </w:r>
      <w:r w:rsidRPr="00C62790">
        <w:rPr>
          <w:lang w:val="fr-FR"/>
        </w:rPr>
        <w:t xml:space="preserve"> produit chimique</w:t>
      </w:r>
      <w:r>
        <w:rPr>
          <w:lang w:val="fr-FR"/>
        </w:rPr>
        <w:t xml:space="preserve"> et</w:t>
      </w:r>
      <w:r w:rsidRPr="00C62790">
        <w:rPr>
          <w:lang w:val="fr-FR"/>
        </w:rPr>
        <w:t xml:space="preserve">, </w:t>
      </w:r>
      <w:r>
        <w:rPr>
          <w:lang w:val="fr-FR"/>
        </w:rPr>
        <w:t>donc, l</w:t>
      </w:r>
      <w:r w:rsidRPr="00C62790">
        <w:rPr>
          <w:lang w:val="fr-FR"/>
        </w:rPr>
        <w:t>es</w:t>
      </w:r>
      <w:r>
        <w:rPr>
          <w:lang w:val="fr-FR"/>
        </w:rPr>
        <w:t> </w:t>
      </w:r>
      <w:r w:rsidRPr="00C62790">
        <w:rPr>
          <w:lang w:val="fr-FR"/>
        </w:rPr>
        <w:t xml:space="preserve">risques </w:t>
      </w:r>
      <w:r>
        <w:rPr>
          <w:lang w:val="fr-FR"/>
        </w:rPr>
        <w:t xml:space="preserve">qu’il présente </w:t>
      </w:r>
      <w:r w:rsidRPr="00C62790">
        <w:rPr>
          <w:lang w:val="fr-FR"/>
        </w:rPr>
        <w:t>pour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Par conséquent, le Comité conclut que le critère du paragraphe</w:t>
      </w:r>
      <w:r>
        <w:rPr>
          <w:lang w:val="fr-FR"/>
        </w:rPr>
        <w:t>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 xml:space="preserve">ii) </w:t>
      </w:r>
      <w:r>
        <w:rPr>
          <w:lang w:val="fr-FR"/>
        </w:rPr>
        <w:t>est 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2495" w:hanging="624"/>
        <w:rPr>
          <w:i/>
          <w:lang w:val="fr-FR"/>
        </w:rPr>
      </w:pPr>
      <w:r w:rsidRPr="00C62790">
        <w:rPr>
          <w:i/>
          <w:lang w:val="fr-FR"/>
        </w:rPr>
        <w:t>iii)</w:t>
      </w:r>
      <w:r w:rsidRPr="00C62790">
        <w:rPr>
          <w:i/>
          <w:lang w:val="fr-FR"/>
        </w:rPr>
        <w:tab/>
        <w:t>Si les considérations à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origine de la mesure de réglementation finale valent uniquement pour une zone géographique particulière ou pour d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autres cas précis</w:t>
      </w:r>
      <w:r>
        <w:rPr>
          <w:i/>
          <w:lang w:val="fr-FR"/>
        </w:rPr>
        <w:t> </w:t>
      </w:r>
      <w:r w:rsidRPr="00C62790">
        <w:rPr>
          <w:i/>
          <w:lang w:val="fr-FR"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indique que l</w:t>
      </w:r>
      <w:r>
        <w:rPr>
          <w:lang w:val="fr-FR"/>
        </w:rPr>
        <w:t>’</w:t>
      </w:r>
      <w:r w:rsidRPr="00C62790">
        <w:rPr>
          <w:lang w:val="fr-FR"/>
        </w:rPr>
        <w:t>utilisation de pesticides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peut causer des problèmes analogues pour la santé et l</w:t>
      </w:r>
      <w:r>
        <w:rPr>
          <w:lang w:val="fr-FR"/>
        </w:rPr>
        <w:t>’</w:t>
      </w:r>
      <w:r w:rsidRPr="00C62790">
        <w:rPr>
          <w:lang w:val="fr-FR"/>
        </w:rPr>
        <w:t>environnement dans d</w:t>
      </w:r>
      <w:r>
        <w:rPr>
          <w:lang w:val="fr-FR"/>
        </w:rPr>
        <w:t>’</w:t>
      </w:r>
      <w:r w:rsidRPr="00C62790">
        <w:rPr>
          <w:lang w:val="fr-FR"/>
        </w:rPr>
        <w:t>autres pays. Le Comité conclut que d</w:t>
      </w:r>
      <w:r>
        <w:rPr>
          <w:lang w:val="fr-FR"/>
        </w:rPr>
        <w:t>’</w:t>
      </w:r>
      <w:r w:rsidRPr="00C62790">
        <w:rPr>
          <w:lang w:val="fr-FR"/>
        </w:rPr>
        <w:t>autres pays pourraient</w:t>
      </w:r>
      <w:r>
        <w:rPr>
          <w:lang w:val="fr-FR"/>
        </w:rPr>
        <w:t xml:space="preserve"> probablement</w:t>
      </w:r>
      <w:r w:rsidRPr="00C62790">
        <w:rPr>
          <w:lang w:val="fr-FR"/>
        </w:rPr>
        <w:t xml:space="preserve"> rencontrer des problèmes similaires.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Par conséquent, le Comité concl</w:t>
      </w:r>
      <w:r>
        <w:rPr>
          <w:lang w:val="fr-FR"/>
        </w:rPr>
        <w:t>ut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iii)</w:t>
      </w:r>
      <w:r>
        <w:rPr>
          <w:lang w:val="fr-FR"/>
        </w:rPr>
        <w:t xml:space="preserve"> est satisfait</w:t>
      </w:r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2495" w:hanging="624"/>
        <w:rPr>
          <w:i/>
          <w:lang w:val="fr-FR"/>
        </w:rPr>
      </w:pPr>
      <w:r w:rsidRPr="00C62790">
        <w:rPr>
          <w:i/>
          <w:lang w:val="fr-FR"/>
        </w:rPr>
        <w:t>iv)</w:t>
      </w:r>
      <w:r w:rsidRPr="00C62790">
        <w:rPr>
          <w:i/>
          <w:lang w:val="fr-FR"/>
        </w:rPr>
        <w:tab/>
        <w:t>S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il est prouvé que le produit chimique considéré fait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objet d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échanges commerciaux internationaux</w:t>
      </w:r>
      <w:r>
        <w:rPr>
          <w:i/>
          <w:lang w:val="fr-FR"/>
        </w:rPr>
        <w:t> </w:t>
      </w:r>
      <w:r w:rsidRPr="00C62790">
        <w:rPr>
          <w:i/>
          <w:lang w:val="fr-FR"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lastRenderedPageBreak/>
        <w:t xml:space="preserve">La notification des pays du CILSS ne donne aucune information </w:t>
      </w:r>
      <w:r>
        <w:rPr>
          <w:lang w:val="fr-FR"/>
        </w:rPr>
        <w:t>sur les</w:t>
      </w:r>
      <w:r w:rsidRPr="00C62790">
        <w:rPr>
          <w:lang w:val="fr-FR"/>
        </w:rPr>
        <w:t xml:space="preserve"> quantité</w:t>
      </w:r>
      <w:r>
        <w:rPr>
          <w:lang w:val="fr-FR"/>
        </w:rPr>
        <w:t>s</w:t>
      </w:r>
      <w:r w:rsidRPr="00C62790">
        <w:rPr>
          <w:lang w:val="fr-FR"/>
        </w:rPr>
        <w:t xml:space="preserve"> estimative</w:t>
      </w:r>
      <w:r>
        <w:rPr>
          <w:lang w:val="fr-FR"/>
        </w:rPr>
        <w:t>s</w:t>
      </w:r>
      <w:r w:rsidRPr="00C62790">
        <w:rPr>
          <w:lang w:val="fr-FR"/>
        </w:rPr>
        <w:t xml:space="preserve">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produite</w:t>
      </w:r>
      <w:r>
        <w:rPr>
          <w:lang w:val="fr-FR"/>
        </w:rPr>
        <w:t>s</w:t>
      </w:r>
      <w:r w:rsidRPr="00C62790">
        <w:rPr>
          <w:lang w:val="fr-FR"/>
        </w:rPr>
        <w:t>, importée</w:t>
      </w:r>
      <w:r>
        <w:rPr>
          <w:lang w:val="fr-FR"/>
        </w:rPr>
        <w:t>s</w:t>
      </w:r>
      <w:r w:rsidRPr="00C62790">
        <w:rPr>
          <w:lang w:val="fr-FR"/>
        </w:rPr>
        <w:t>, exportée</w:t>
      </w:r>
      <w:r>
        <w:rPr>
          <w:lang w:val="fr-FR"/>
        </w:rPr>
        <w:t>s</w:t>
      </w:r>
      <w:r w:rsidRPr="00C62790">
        <w:rPr>
          <w:lang w:val="fr-FR"/>
        </w:rPr>
        <w:t xml:space="preserve"> et utilisée</w:t>
      </w:r>
      <w:r>
        <w:rPr>
          <w:lang w:val="fr-FR"/>
        </w:rPr>
        <w:t>s</w:t>
      </w:r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Toutefois, les informations rassemblées par le Secrétariat montrent que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continue de faire l</w:t>
      </w:r>
      <w:r>
        <w:rPr>
          <w:lang w:val="fr-FR"/>
        </w:rPr>
        <w:t>’</w:t>
      </w:r>
      <w:r w:rsidRPr="00C62790">
        <w:rPr>
          <w:lang w:val="fr-FR"/>
        </w:rPr>
        <w:t>objet d</w:t>
      </w:r>
      <w:r>
        <w:rPr>
          <w:lang w:val="fr-FR"/>
        </w:rPr>
        <w:t>’</w:t>
      </w:r>
      <w:r w:rsidRPr="00C62790">
        <w:rPr>
          <w:lang w:val="fr-FR"/>
        </w:rPr>
        <w:t>un commerce international (voir le document UNEP/FAO/RC/CRC.13/INF/5).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Par conséquent, le Comité concl</w:t>
      </w:r>
      <w:r>
        <w:rPr>
          <w:lang w:val="fr-FR"/>
        </w:rPr>
        <w:t>ut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iv)</w:t>
      </w:r>
      <w:r>
        <w:rPr>
          <w:lang w:val="fr-FR"/>
        </w:rPr>
        <w:t xml:space="preserve"> est 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CH3"/>
        <w:rPr>
          <w:b w:val="0"/>
          <w:lang w:val="fr-FR"/>
        </w:rPr>
      </w:pPr>
      <w:r w:rsidRPr="00C62790">
        <w:rPr>
          <w:lang w:val="fr-FR"/>
        </w:rPr>
        <w:tab/>
      </w:r>
      <w:r>
        <w:rPr>
          <w:lang w:val="fr-FR"/>
        </w:rPr>
        <w:t>e)</w:t>
      </w:r>
      <w:r>
        <w:rPr>
          <w:lang w:val="fr-FR"/>
        </w:rPr>
        <w:tab/>
        <w:t>Critère du paragraphe </w:t>
      </w:r>
      <w:r w:rsidRPr="00C62790">
        <w:rPr>
          <w:lang w:val="fr-FR"/>
        </w:rPr>
        <w:t>d)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1247" w:firstLine="624"/>
        <w:rPr>
          <w:i/>
          <w:lang w:val="fr-FR"/>
        </w:rPr>
      </w:pPr>
      <w:r w:rsidRPr="00C62790">
        <w:rPr>
          <w:i/>
          <w:lang w:val="fr-FR"/>
        </w:rPr>
        <w:t>d)</w:t>
      </w:r>
      <w:r w:rsidRPr="00C62790">
        <w:rPr>
          <w:i/>
          <w:lang w:val="fr-FR"/>
        </w:rPr>
        <w:tab/>
        <w:t>Tient compte du fait qu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un abus intentionnel ne constitue pas en soi une raison suffisante pour inscrire</w:t>
      </w:r>
      <w:r>
        <w:rPr>
          <w:i/>
          <w:lang w:val="fr-FR"/>
        </w:rPr>
        <w:t xml:space="preserve"> un produit chimique à l’Annexe </w:t>
      </w:r>
      <w:r w:rsidRPr="00C62790">
        <w:rPr>
          <w:i/>
          <w:lang w:val="fr-FR"/>
        </w:rPr>
        <w:t>III.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Aucun élément de la notification</w:t>
      </w:r>
      <w:r>
        <w:rPr>
          <w:lang w:val="fr-FR"/>
        </w:rPr>
        <w:t xml:space="preserve"> </w:t>
      </w:r>
      <w:r w:rsidRPr="00C62790">
        <w:rPr>
          <w:lang w:val="fr-FR"/>
        </w:rPr>
        <w:t>n</w:t>
      </w:r>
      <w:r>
        <w:rPr>
          <w:lang w:val="fr-FR"/>
        </w:rPr>
        <w:t>’</w:t>
      </w:r>
      <w:r w:rsidRPr="00C62790">
        <w:rPr>
          <w:lang w:val="fr-FR"/>
        </w:rPr>
        <w:t>indique</w:t>
      </w:r>
      <w:r>
        <w:rPr>
          <w:lang w:val="fr-FR"/>
        </w:rPr>
        <w:t xml:space="preserve"> que</w:t>
      </w:r>
      <w:r w:rsidRPr="00C62790">
        <w:rPr>
          <w:lang w:val="fr-FR"/>
        </w:rPr>
        <w:t xml:space="preserve"> la mesure de réglementation finale a été motivée par des préoccupations concernant un abus intentionnel.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conséquent, le</w:t>
      </w:r>
      <w:r w:rsidRPr="00C62790">
        <w:rPr>
          <w:lang w:val="fr-FR"/>
        </w:rPr>
        <w:t xml:space="preserve"> Comité confirme</w:t>
      </w:r>
      <w:r>
        <w:rPr>
          <w:lang w:val="fr-FR"/>
        </w:rPr>
        <w:t xml:space="preserve"> que le critère du paragraphe </w:t>
      </w:r>
      <w:r w:rsidRPr="00C62790">
        <w:rPr>
          <w:lang w:val="fr-FR"/>
        </w:rPr>
        <w:t xml:space="preserve">d) </w:t>
      </w:r>
      <w:r>
        <w:rPr>
          <w:lang w:val="fr-FR"/>
        </w:rPr>
        <w:t>est satisfait.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f)</w:t>
      </w:r>
      <w:r w:rsidRPr="00C62790">
        <w:rPr>
          <w:lang w:val="fr-FR"/>
        </w:rPr>
        <w:tab/>
        <w:t>Conclusion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 xml:space="preserve">Le Comité conclut que les notifications de mesure de réglementation finale du Burkina Faso, du </w:t>
      </w:r>
      <w:proofErr w:type="spellStart"/>
      <w:r w:rsidRPr="00C62790">
        <w:rPr>
          <w:lang w:val="fr-FR"/>
        </w:rPr>
        <w:t>Cabo</w:t>
      </w:r>
      <w:proofErr w:type="spellEnd"/>
      <w:r w:rsidRPr="00C62790">
        <w:rPr>
          <w:lang w:val="fr-FR"/>
        </w:rPr>
        <w:t xml:space="preserve"> </w:t>
      </w:r>
      <w:proofErr w:type="spellStart"/>
      <w:r w:rsidRPr="00C62790">
        <w:rPr>
          <w:lang w:val="fr-FR"/>
        </w:rPr>
        <w:t>Verde</w:t>
      </w:r>
      <w:proofErr w:type="spellEnd"/>
      <w:r w:rsidRPr="00C62790">
        <w:rPr>
          <w:lang w:val="fr-FR"/>
        </w:rPr>
        <w:t>, de la Gambie, de la Guinée-Bissau, du Mali, de la Mauritanie, du Niger, du Sénégal, du Tchad et du Togo répondent aux critères énoncés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Convention.</w:t>
      </w:r>
    </w:p>
    <w:p w:rsidR="00172019" w:rsidRPr="00C62790" w:rsidRDefault="00172019" w:rsidP="00172019">
      <w:pPr>
        <w:pStyle w:val="CH1"/>
        <w:rPr>
          <w:lang w:val="fr-FR"/>
        </w:rPr>
      </w:pPr>
      <w:r w:rsidRPr="00C62790">
        <w:rPr>
          <w:lang w:val="fr-FR"/>
        </w:rPr>
        <w:tab/>
        <w:t>II.</w:t>
      </w:r>
      <w:r w:rsidRPr="00C62790">
        <w:rPr>
          <w:lang w:val="fr-FR"/>
        </w:rPr>
        <w:tab/>
        <w:t xml:space="preserve">Union européenne 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a)</w:t>
      </w:r>
      <w:r w:rsidRPr="00C62790">
        <w:rPr>
          <w:lang w:val="fr-FR"/>
        </w:rPr>
        <w:tab/>
        <w:t>Portée de la mesure</w:t>
      </w:r>
      <w:r>
        <w:rPr>
          <w:lang w:val="fr-FR"/>
        </w:rPr>
        <w:t xml:space="preserve"> de réglementation</w:t>
      </w:r>
      <w:r w:rsidRPr="00C62790">
        <w:rPr>
          <w:lang w:val="fr-FR"/>
        </w:rPr>
        <w:t xml:space="preserve"> notifiée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 xml:space="preserve">La </w:t>
      </w:r>
      <w:r>
        <w:rPr>
          <w:lang w:val="fr-FR"/>
        </w:rPr>
        <w:t xml:space="preserve">mesure de réglementation finale </w:t>
      </w:r>
      <w:r w:rsidRPr="00C62790">
        <w:rPr>
          <w:lang w:val="fr-FR"/>
        </w:rPr>
        <w:t>notifiée par l</w:t>
      </w:r>
      <w:r>
        <w:rPr>
          <w:lang w:val="fr-FR"/>
        </w:rPr>
        <w:t>’</w:t>
      </w:r>
      <w:r w:rsidRPr="00C62790">
        <w:rPr>
          <w:lang w:val="fr-FR"/>
        </w:rPr>
        <w:t>Union européenne a trait à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tant que pesticide. Elle interdit la commercialisation et l</w:t>
      </w:r>
      <w:r>
        <w:rPr>
          <w:lang w:val="fr-FR"/>
        </w:rPr>
        <w:t>’</w:t>
      </w:r>
      <w:r w:rsidRPr="00C62790">
        <w:rPr>
          <w:lang w:val="fr-FR"/>
        </w:rPr>
        <w:t>utilisation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en stipulant qu</w:t>
      </w:r>
      <w:r>
        <w:rPr>
          <w:lang w:val="fr-FR"/>
        </w:rPr>
        <w:t>’</w:t>
      </w:r>
      <w:r w:rsidRPr="00C62790">
        <w:rPr>
          <w:lang w:val="fr-FR"/>
        </w:rPr>
        <w:t xml:space="preserve">il est </w:t>
      </w:r>
      <w:r>
        <w:rPr>
          <w:lang w:val="fr-FR"/>
        </w:rPr>
        <w:t>exclu de</w:t>
      </w:r>
      <w:r w:rsidRPr="00C62790">
        <w:rPr>
          <w:lang w:val="fr-FR"/>
        </w:rPr>
        <w:t xml:space="preserve"> mettre sur le marché ou d</w:t>
      </w:r>
      <w:r>
        <w:rPr>
          <w:lang w:val="fr-FR"/>
        </w:rPr>
        <w:t>’</w:t>
      </w:r>
      <w:r w:rsidRPr="00C62790">
        <w:rPr>
          <w:lang w:val="fr-FR"/>
        </w:rPr>
        <w:t>emplo</w:t>
      </w:r>
      <w:r>
        <w:rPr>
          <w:lang w:val="fr-FR"/>
        </w:rPr>
        <w:t>yer des produits phytopharmaceutiques</w:t>
      </w:r>
      <w:r w:rsidRPr="00C62790">
        <w:rPr>
          <w:lang w:val="fr-FR"/>
        </w:rPr>
        <w:t xml:space="preserve">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dans l</w:t>
      </w:r>
      <w:r>
        <w:rPr>
          <w:lang w:val="fr-FR"/>
        </w:rPr>
        <w:t>’</w:t>
      </w:r>
      <w:r w:rsidRPr="00C62790">
        <w:rPr>
          <w:lang w:val="fr-FR"/>
        </w:rPr>
        <w:t>Union européenne. L</w:t>
      </w:r>
      <w:r>
        <w:rPr>
          <w:lang w:val="fr-FR"/>
        </w:rPr>
        <w:t>’</w:t>
      </w:r>
      <w:r w:rsidRPr="00C62790">
        <w:rPr>
          <w:lang w:val="fr-FR"/>
        </w:rPr>
        <w:t>interdiction de mise sur le marché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est con</w:t>
      </w:r>
      <w:r>
        <w:rPr>
          <w:lang w:val="fr-FR"/>
        </w:rPr>
        <w:t>firmée par le Règlement (CE) n° </w:t>
      </w:r>
      <w:r w:rsidRPr="00C62790">
        <w:rPr>
          <w:lang w:val="fr-FR"/>
        </w:rPr>
        <w:t>1107/2009 concernant la mise sur le marché de</w:t>
      </w:r>
      <w:r>
        <w:rPr>
          <w:lang w:val="fr-FR"/>
        </w:rPr>
        <w:t>s produits phytopharmaceutiques</w:t>
      </w:r>
      <w:r w:rsidRPr="00C62790">
        <w:rPr>
          <w:lang w:val="fr-FR"/>
        </w:rPr>
        <w:t xml:space="preserve"> (</w:t>
      </w:r>
      <w:r>
        <w:rPr>
          <w:lang w:val="fr-FR"/>
        </w:rPr>
        <w:t>abrogeant la Directive </w:t>
      </w:r>
      <w:r w:rsidRPr="00C62790">
        <w:rPr>
          <w:lang w:val="fr-FR"/>
        </w:rPr>
        <w:t>91/414/CEE).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Toutes les autorisations concern</w:t>
      </w:r>
      <w:r>
        <w:rPr>
          <w:lang w:val="fr-FR"/>
        </w:rPr>
        <w:t>ant les produits phytopharmaceutiques</w:t>
      </w:r>
      <w:r w:rsidRPr="00C62790">
        <w:rPr>
          <w:lang w:val="fr-FR"/>
        </w:rPr>
        <w:t xml:space="preserve"> contenant de</w:t>
      </w:r>
      <w:r>
        <w:rPr>
          <w:lang w:val="fr-FR"/>
        </w:rPr>
        <w:t> </w:t>
      </w:r>
      <w:r w:rsidRPr="00C62790">
        <w:rPr>
          <w:lang w:val="fr-FR"/>
        </w:rPr>
        <w:t>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devaient être retirées par les États membres avant le </w:t>
      </w:r>
      <w:r>
        <w:rPr>
          <w:lang w:val="fr-FR"/>
        </w:rPr>
        <w:t>23 </w:t>
      </w:r>
      <w:r w:rsidRPr="00C62790">
        <w:rPr>
          <w:lang w:val="fr-FR"/>
        </w:rPr>
        <w:t>juin 2012 et toutes les</w:t>
      </w:r>
      <w:r>
        <w:rPr>
          <w:lang w:val="fr-FR"/>
        </w:rPr>
        <w:t> </w:t>
      </w:r>
      <w:r w:rsidRPr="00C62790">
        <w:rPr>
          <w:lang w:val="fr-FR"/>
        </w:rPr>
        <w:t>utilisation</w:t>
      </w:r>
      <w:r>
        <w:rPr>
          <w:lang w:val="fr-FR"/>
        </w:rPr>
        <w:t>s de produits phytopharmaceutiques</w:t>
      </w:r>
      <w:r w:rsidRPr="00C62790">
        <w:rPr>
          <w:lang w:val="fr-FR"/>
        </w:rPr>
        <w:t xml:space="preserve">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ont été interdites à</w:t>
      </w:r>
      <w:r>
        <w:rPr>
          <w:lang w:val="fr-FR"/>
        </w:rPr>
        <w:t> </w:t>
      </w:r>
      <w:r w:rsidRPr="00C62790">
        <w:rPr>
          <w:lang w:val="fr-FR"/>
        </w:rPr>
        <w:t>compter du 23</w:t>
      </w:r>
      <w:r>
        <w:rPr>
          <w:lang w:val="fr-FR"/>
        </w:rPr>
        <w:t> juin </w:t>
      </w:r>
      <w:r w:rsidRPr="00C62790">
        <w:rPr>
          <w:lang w:val="fr-FR"/>
        </w:rPr>
        <w:t xml:space="preserve">2013.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contient les informations demandées dans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 xml:space="preserve">I. 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b)</w:t>
      </w:r>
      <w:r w:rsidRPr="00C62790">
        <w:rPr>
          <w:lang w:val="fr-FR"/>
        </w:rPr>
        <w:tab/>
      </w:r>
      <w:r>
        <w:rPr>
          <w:lang w:val="fr-FR"/>
        </w:rPr>
        <w:t>Critère du paragraphe </w:t>
      </w:r>
      <w:r w:rsidRPr="00C62790">
        <w:rPr>
          <w:lang w:val="fr-FR"/>
        </w:rPr>
        <w:t>a)</w:t>
      </w:r>
      <w:r>
        <w:rPr>
          <w:lang w:val="fr-FR"/>
        </w:rPr>
        <w:t xml:space="preserve"> de l’Annexe </w:t>
      </w:r>
      <w:r w:rsidRPr="00C62790">
        <w:rPr>
          <w:lang w:val="fr-FR"/>
        </w:rPr>
        <w:t>II</w:t>
      </w:r>
    </w:p>
    <w:p w:rsidR="00172019" w:rsidRPr="00C62790" w:rsidRDefault="00172019" w:rsidP="00172019">
      <w:pPr>
        <w:pStyle w:val="Normalnumber"/>
        <w:numPr>
          <w:ilvl w:val="0"/>
          <w:numId w:val="0"/>
        </w:numPr>
        <w:ind w:left="1247" w:firstLine="624"/>
        <w:rPr>
          <w:i/>
          <w:lang w:val="fr-FR" w:eastAsia="ja-JP"/>
        </w:rPr>
      </w:pPr>
      <w:r w:rsidRPr="00C62790">
        <w:rPr>
          <w:i/>
          <w:lang w:val="fr-FR"/>
        </w:rPr>
        <w:t>a)</w:t>
      </w:r>
      <w:r w:rsidRPr="00C62790">
        <w:rPr>
          <w:i/>
          <w:lang w:val="fr-FR"/>
        </w:rPr>
        <w:tab/>
        <w:t>Confirme que la mesure de règlementation finale a été prise pour protéger la santé des personnes ou l</w:t>
      </w:r>
      <w:r>
        <w:rPr>
          <w:i/>
          <w:lang w:val="fr-FR"/>
        </w:rPr>
        <w:t>’</w:t>
      </w:r>
      <w:r w:rsidRPr="00C62790">
        <w:rPr>
          <w:i/>
          <w:lang w:val="fr-FR"/>
        </w:rPr>
        <w:t>environnement;</w:t>
      </w:r>
      <w:r w:rsidRPr="00C62790">
        <w:rPr>
          <w:i/>
          <w:lang w:val="fr-FR" w:eastAsia="ja-JP"/>
        </w:rPr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confirme que la mesure de réglementation finale a été prise pour protéger la santé humaine et l</w:t>
      </w:r>
      <w:r>
        <w:rPr>
          <w:lang w:val="fr-FR"/>
        </w:rPr>
        <w:t>’</w:t>
      </w:r>
      <w:r w:rsidRPr="00C62790">
        <w:rPr>
          <w:lang w:val="fr-FR"/>
        </w:rPr>
        <w:t>environnement (voir le document UNEP/FAO/RC/CRC.11/6, section</w:t>
      </w:r>
      <w:r>
        <w:rPr>
          <w:lang w:val="fr-FR"/>
        </w:rPr>
        <w:t> </w:t>
      </w:r>
      <w:r w:rsidRPr="00C62790">
        <w:rPr>
          <w:lang w:val="fr-FR"/>
        </w:rPr>
        <w:t>2.4.2 de la notification de l</w:t>
      </w:r>
      <w:r>
        <w:rPr>
          <w:lang w:val="fr-FR"/>
        </w:rPr>
        <w:t>’</w:t>
      </w:r>
      <w:r w:rsidRPr="00C62790">
        <w:rPr>
          <w:lang w:val="fr-FR"/>
        </w:rPr>
        <w:t>Union européenne).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était utilisé comme herbicide sur les cultures de maïs pour contrôler et</w:t>
      </w:r>
      <w:r>
        <w:rPr>
          <w:lang w:val="fr-FR"/>
        </w:rPr>
        <w:t> </w:t>
      </w:r>
      <w:r w:rsidRPr="00C62790">
        <w:rPr>
          <w:lang w:val="fr-FR"/>
        </w:rPr>
        <w:t>maîtriser</w:t>
      </w:r>
      <w:r>
        <w:rPr>
          <w:lang w:val="fr-FR"/>
        </w:rPr>
        <w:t> </w:t>
      </w:r>
      <w:r w:rsidRPr="00C62790">
        <w:rPr>
          <w:lang w:val="fr-FR"/>
        </w:rPr>
        <w:t>les mauvaises herbes annuelles par pulvérisation d</w:t>
      </w:r>
      <w:r>
        <w:rPr>
          <w:lang w:val="fr-FR"/>
        </w:rPr>
        <w:t>’</w:t>
      </w:r>
      <w:r w:rsidRPr="00C62790">
        <w:rPr>
          <w:lang w:val="fr-FR"/>
        </w:rPr>
        <w:t>ensemble (voir 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 xml:space="preserve">UNEP/FAO/RC/CRC.13/3, section 2.3.1).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Une évaluation des risques a été effect</w:t>
      </w:r>
      <w:r>
        <w:rPr>
          <w:lang w:val="fr-FR"/>
        </w:rPr>
        <w:t>uée conformément à la Directive </w:t>
      </w:r>
      <w:r w:rsidRPr="00C62790">
        <w:rPr>
          <w:lang w:val="fr-FR"/>
        </w:rPr>
        <w:t>91/414/CEE (</w:t>
      </w:r>
      <w:r>
        <w:rPr>
          <w:lang w:val="fr-FR"/>
        </w:rPr>
        <w:t>abrogée </w:t>
      </w:r>
      <w:r w:rsidRPr="00C62790">
        <w:rPr>
          <w:lang w:val="fr-FR"/>
        </w:rPr>
        <w:t>par le Règlement (CE) n°</w:t>
      </w:r>
      <w:r>
        <w:rPr>
          <w:lang w:val="fr-FR"/>
        </w:rPr>
        <w:t> </w:t>
      </w:r>
      <w:r w:rsidRPr="00C62790">
        <w:rPr>
          <w:lang w:val="fr-FR"/>
        </w:rPr>
        <w:t>1107/2009). Cette évaluation n</w:t>
      </w:r>
      <w:r>
        <w:rPr>
          <w:lang w:val="fr-FR"/>
        </w:rPr>
        <w:t>’</w:t>
      </w:r>
      <w:r w:rsidRPr="00C62790">
        <w:rPr>
          <w:lang w:val="fr-FR"/>
        </w:rPr>
        <w:t xml:space="preserve">a pas permis de démontrer </w:t>
      </w:r>
      <w:r>
        <w:rPr>
          <w:lang w:val="fr-FR"/>
        </w:rPr>
        <w:t>que les produits phytopharmaceutiques</w:t>
      </w:r>
      <w:r w:rsidRPr="00C62790">
        <w:rPr>
          <w:lang w:val="fr-FR"/>
        </w:rPr>
        <w:t xml:space="preserve">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satisfaisaient généralement aux</w:t>
      </w:r>
      <w:r>
        <w:rPr>
          <w:lang w:val="fr-FR"/>
        </w:rPr>
        <w:t> </w:t>
      </w:r>
      <w:r w:rsidRPr="00C62790">
        <w:rPr>
          <w:lang w:val="fr-FR"/>
        </w:rPr>
        <w:t>exigences de l</w:t>
      </w:r>
      <w:r>
        <w:rPr>
          <w:lang w:val="fr-FR"/>
        </w:rPr>
        <w:t>’</w:t>
      </w:r>
      <w:r w:rsidRPr="00C62790">
        <w:rPr>
          <w:lang w:val="fr-FR"/>
        </w:rPr>
        <w:t>Ar</w:t>
      </w:r>
      <w:r>
        <w:rPr>
          <w:lang w:val="fr-FR"/>
        </w:rPr>
        <w:t>ticle </w:t>
      </w:r>
      <w:r w:rsidRPr="00C62790">
        <w:rPr>
          <w:lang w:val="fr-FR"/>
        </w:rPr>
        <w:t xml:space="preserve">5 1) a) et b) </w:t>
      </w:r>
      <w:r>
        <w:rPr>
          <w:lang w:val="fr-FR"/>
        </w:rPr>
        <w:t>de la Directive </w:t>
      </w:r>
      <w:r w:rsidRPr="00C62790">
        <w:rPr>
          <w:lang w:val="fr-FR"/>
        </w:rPr>
        <w:t>91/414/CEE (voir 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>UNEP/FAO/RC/CRC.13/3, section</w:t>
      </w:r>
      <w:r>
        <w:rPr>
          <w:lang w:val="fr-FR"/>
        </w:rPr>
        <w:t> </w:t>
      </w:r>
      <w:r w:rsidRPr="00C62790">
        <w:rPr>
          <w:lang w:val="fr-FR"/>
        </w:rPr>
        <w:t>2.4.1).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évaluation des risques pour la santé humaine (voir le document UNEP/FAO/RC/CRC.13/3, annexe, part</w:t>
      </w:r>
      <w:r>
        <w:rPr>
          <w:lang w:val="fr-FR"/>
        </w:rPr>
        <w:t>ie </w:t>
      </w:r>
      <w:r w:rsidRPr="00C62790">
        <w:rPr>
          <w:lang w:val="fr-FR"/>
        </w:rPr>
        <w:t>A, section</w:t>
      </w:r>
      <w:r>
        <w:rPr>
          <w:lang w:val="fr-FR"/>
        </w:rPr>
        <w:t> </w:t>
      </w:r>
      <w:r w:rsidRPr="00C62790">
        <w:rPr>
          <w:lang w:val="fr-FR"/>
        </w:rPr>
        <w:t>2.4.2.1) a mis en évidence les sujets de préoccupation ci-après</w:t>
      </w:r>
      <w:r>
        <w:rPr>
          <w:lang w:val="fr-FR"/>
        </w:rPr>
        <w:t> </w:t>
      </w:r>
      <w:r w:rsidRPr="00C62790">
        <w:rPr>
          <w:lang w:val="fr-FR"/>
        </w:rPr>
        <w:t>: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lastRenderedPageBreak/>
        <w:t>L</w:t>
      </w:r>
      <w:r>
        <w:rPr>
          <w:snapToGrid w:val="0"/>
        </w:rPr>
        <w:t>’</w:t>
      </w:r>
      <w:r w:rsidRPr="00C62790">
        <w:rPr>
          <w:snapToGrid w:val="0"/>
        </w:rPr>
        <w:t xml:space="preserve">exposition humaine </w:t>
      </w:r>
      <w:r>
        <w:rPr>
          <w:snapToGrid w:val="0"/>
        </w:rPr>
        <w:t xml:space="preserve">potentielle </w:t>
      </w:r>
      <w:r w:rsidRPr="00C62790">
        <w:rPr>
          <w:snapToGrid w:val="0"/>
        </w:rPr>
        <w:t xml:space="preserve">est supérieure à </w:t>
      </w:r>
      <w:r>
        <w:rPr>
          <w:snapToGrid w:val="0"/>
        </w:rPr>
        <w:t>100 </w:t>
      </w:r>
      <w:r w:rsidRPr="00C62790">
        <w:rPr>
          <w:snapToGrid w:val="0"/>
        </w:rPr>
        <w:t>% de la dose journalière admissible (DJA) si l</w:t>
      </w:r>
      <w:r>
        <w:rPr>
          <w:snapToGrid w:val="0"/>
        </w:rPr>
        <w:t>’</w:t>
      </w:r>
      <w:r w:rsidRPr="00C62790">
        <w:rPr>
          <w:snapToGrid w:val="0"/>
        </w:rPr>
        <w:t>on tient compte des concentrations prévisibles</w:t>
      </w:r>
      <w:r>
        <w:rPr>
          <w:snapToGrid w:val="0"/>
        </w:rPr>
        <w:t xml:space="preserve"> des métabolites</w:t>
      </w:r>
      <w:r w:rsidRPr="00C62790">
        <w:rPr>
          <w:snapToGrid w:val="0"/>
        </w:rPr>
        <w:t xml:space="preserve"> jugés pertinents </w:t>
      </w:r>
      <w:r w:rsidRPr="00C62790">
        <w:rPr>
          <w:snapToGrid w:val="0"/>
        </w:rPr>
        <w:br/>
        <w:t>(acide t-</w:t>
      </w:r>
      <w:proofErr w:type="spellStart"/>
      <w:r w:rsidRPr="00C62790">
        <w:rPr>
          <w:snapToGrid w:val="0"/>
        </w:rPr>
        <w:t>oxanilique</w:t>
      </w:r>
      <w:proofErr w:type="spellEnd"/>
      <w:r w:rsidRPr="00C62790">
        <w:rPr>
          <w:snapToGrid w:val="0"/>
        </w:rPr>
        <w:t>, acide t-</w:t>
      </w:r>
      <w:proofErr w:type="spellStart"/>
      <w:r w:rsidRPr="00C62790">
        <w:rPr>
          <w:snapToGrid w:val="0"/>
        </w:rPr>
        <w:t>sulfinylacétique</w:t>
      </w:r>
      <w:proofErr w:type="spellEnd"/>
      <w:r w:rsidRPr="00C62790">
        <w:rPr>
          <w:snapToGrid w:val="0"/>
        </w:rPr>
        <w:t>, acide t-sulfonique et acide s-sulfonique).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Une exposition humaine</w:t>
      </w:r>
      <w:r>
        <w:rPr>
          <w:snapToGrid w:val="0"/>
        </w:rPr>
        <w:t xml:space="preserve"> potentielle</w:t>
      </w:r>
      <w:r w:rsidRPr="00C62790">
        <w:rPr>
          <w:snapToGrid w:val="0"/>
        </w:rPr>
        <w:t xml:space="preserve"> au métabolite t-</w:t>
      </w:r>
      <w:proofErr w:type="spellStart"/>
      <w:r w:rsidRPr="00C62790">
        <w:rPr>
          <w:snapToGrid w:val="0"/>
        </w:rPr>
        <w:t>norchloro</w:t>
      </w:r>
      <w:proofErr w:type="spellEnd"/>
      <w:r w:rsidRPr="00C62790">
        <w:rPr>
          <w:snapToGrid w:val="0"/>
        </w:rPr>
        <w:t xml:space="preserve"> </w:t>
      </w:r>
      <w:proofErr w:type="spellStart"/>
      <w:r w:rsidRPr="00C62790">
        <w:rPr>
          <w:snapToGrid w:val="0"/>
        </w:rPr>
        <w:t>acétochlore</w:t>
      </w:r>
      <w:proofErr w:type="spellEnd"/>
      <w:r w:rsidRPr="00C62790">
        <w:rPr>
          <w:snapToGrid w:val="0"/>
        </w:rPr>
        <w:t xml:space="preserve"> peut résulter de l</w:t>
      </w:r>
      <w:r>
        <w:rPr>
          <w:snapToGrid w:val="0"/>
        </w:rPr>
        <w:t>’</w:t>
      </w:r>
      <w:r w:rsidRPr="00C62790">
        <w:rPr>
          <w:snapToGrid w:val="0"/>
        </w:rPr>
        <w:t>utilisation d</w:t>
      </w:r>
      <w:r>
        <w:rPr>
          <w:snapToGrid w:val="0"/>
        </w:rPr>
        <w:t>’</w:t>
      </w:r>
      <w:r w:rsidRPr="00C62790">
        <w:rPr>
          <w:snapToGrid w:val="0"/>
        </w:rPr>
        <w:t xml:space="preserve">eaux superficielles comme eau de boisson, </w:t>
      </w:r>
      <w:r>
        <w:rPr>
          <w:snapToGrid w:val="0"/>
        </w:rPr>
        <w:t xml:space="preserve">cette exposition étant </w:t>
      </w:r>
      <w:r w:rsidRPr="00C62790">
        <w:rPr>
          <w:snapToGrid w:val="0"/>
        </w:rPr>
        <w:t>jugée pertinente pour l</w:t>
      </w:r>
      <w:r>
        <w:rPr>
          <w:snapToGrid w:val="0"/>
        </w:rPr>
        <w:t>’</w:t>
      </w:r>
      <w:r w:rsidRPr="00C62790">
        <w:rPr>
          <w:snapToGrid w:val="0"/>
        </w:rPr>
        <w:t>évaluation des dangers toxicologiques.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Un potentiel élevé de contamination des eaux souterraines par les métabolites jugés pertinents pour l</w:t>
      </w:r>
      <w:r>
        <w:rPr>
          <w:snapToGrid w:val="0"/>
        </w:rPr>
        <w:t>’</w:t>
      </w:r>
      <w:r w:rsidRPr="00C62790">
        <w:rPr>
          <w:snapToGrid w:val="0"/>
        </w:rPr>
        <w:t>évaluation (acide t-</w:t>
      </w:r>
      <w:proofErr w:type="spellStart"/>
      <w:r w:rsidRPr="00C62790">
        <w:rPr>
          <w:snapToGrid w:val="0"/>
        </w:rPr>
        <w:t>oxanilique</w:t>
      </w:r>
      <w:proofErr w:type="spellEnd"/>
      <w:r w:rsidRPr="00C62790">
        <w:rPr>
          <w:snapToGrid w:val="0"/>
        </w:rPr>
        <w:t>, acide t-</w:t>
      </w:r>
      <w:proofErr w:type="spellStart"/>
      <w:r w:rsidRPr="00C62790">
        <w:rPr>
          <w:snapToGrid w:val="0"/>
        </w:rPr>
        <w:t>sulfinylacétique</w:t>
      </w:r>
      <w:proofErr w:type="spellEnd"/>
      <w:r w:rsidRPr="00C62790">
        <w:rPr>
          <w:snapToGrid w:val="0"/>
        </w:rPr>
        <w:t xml:space="preserve">, acide </w:t>
      </w:r>
      <w:r w:rsidRPr="00C62790">
        <w:rPr>
          <w:snapToGrid w:val="0"/>
        </w:rPr>
        <w:br/>
        <w:t>t-sulfonique et acide s-sulfonique) a ét</w:t>
      </w:r>
      <w:r>
        <w:rPr>
          <w:snapToGrid w:val="0"/>
        </w:rPr>
        <w:t>é identifié dans de vastes régions de</w:t>
      </w:r>
      <w:r w:rsidRPr="00C62790">
        <w:rPr>
          <w:snapToGrid w:val="0"/>
        </w:rPr>
        <w:t xml:space="preserve"> l</w:t>
      </w:r>
      <w:r>
        <w:rPr>
          <w:snapToGrid w:val="0"/>
        </w:rPr>
        <w:t>’</w:t>
      </w:r>
      <w:r w:rsidRPr="00C62790">
        <w:rPr>
          <w:snapToGrid w:val="0"/>
        </w:rPr>
        <w:t>Union</w:t>
      </w:r>
      <w:r>
        <w:rPr>
          <w:snapToGrid w:val="0"/>
        </w:rPr>
        <w:t> </w:t>
      </w:r>
      <w:r w:rsidRPr="00C62790">
        <w:rPr>
          <w:snapToGrid w:val="0"/>
        </w:rPr>
        <w:t>européenne.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Aucune méthode valide n</w:t>
      </w:r>
      <w:r>
        <w:rPr>
          <w:snapToGrid w:val="0"/>
        </w:rPr>
        <w:t>’</w:t>
      </w:r>
      <w:r w:rsidRPr="00C62790">
        <w:rPr>
          <w:snapToGrid w:val="0"/>
        </w:rPr>
        <w:t>est disponible pour quantifier les résidus présents dans les</w:t>
      </w:r>
      <w:r>
        <w:rPr>
          <w:snapToGrid w:val="0"/>
        </w:rPr>
        <w:t> </w:t>
      </w:r>
      <w:r w:rsidRPr="00C62790">
        <w:rPr>
          <w:snapToGrid w:val="0"/>
        </w:rPr>
        <w:t>aliments d</w:t>
      </w:r>
      <w:r>
        <w:rPr>
          <w:snapToGrid w:val="0"/>
        </w:rPr>
        <w:t>’</w:t>
      </w:r>
      <w:r w:rsidRPr="00C62790">
        <w:rPr>
          <w:snapToGrid w:val="0"/>
        </w:rPr>
        <w:t xml:space="preserve">origine végétale.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À l</w:t>
      </w:r>
      <w:r>
        <w:rPr>
          <w:lang w:val="fr-FR"/>
        </w:rPr>
        <w:t>’</w:t>
      </w:r>
      <w:r w:rsidRPr="00C62790">
        <w:rPr>
          <w:lang w:val="fr-FR"/>
        </w:rPr>
        <w:t>issue de l</w:t>
      </w:r>
      <w:r>
        <w:rPr>
          <w:lang w:val="fr-FR"/>
        </w:rPr>
        <w:t>’</w:t>
      </w:r>
      <w:r w:rsidRPr="00C62790">
        <w:rPr>
          <w:lang w:val="fr-FR"/>
        </w:rPr>
        <w:t>évaluation des risques pour l</w:t>
      </w:r>
      <w:r>
        <w:rPr>
          <w:lang w:val="fr-FR"/>
        </w:rPr>
        <w:t>’</w:t>
      </w:r>
      <w:r w:rsidRPr="00C62790">
        <w:rPr>
          <w:lang w:val="fr-FR"/>
        </w:rPr>
        <w:t>environnement (voir 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>UNEP/</w:t>
      </w:r>
      <w:r>
        <w:rPr>
          <w:lang w:val="fr-FR"/>
        </w:rPr>
        <w:t>FAO/RC/CRC.13/3, annexe, partie B, section </w:t>
      </w:r>
      <w:r w:rsidRPr="00C62790">
        <w:rPr>
          <w:lang w:val="fr-FR"/>
        </w:rPr>
        <w:t>2.4.2.2), les sujets de préoccupation ci-après ont été identifiés :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L</w:t>
      </w:r>
      <w:r>
        <w:rPr>
          <w:snapToGrid w:val="0"/>
        </w:rPr>
        <w:t>’</w:t>
      </w:r>
      <w:proofErr w:type="spellStart"/>
      <w:r w:rsidRPr="00C62790">
        <w:rPr>
          <w:snapToGrid w:val="0"/>
        </w:rPr>
        <w:t>acétochlore</w:t>
      </w:r>
      <w:proofErr w:type="spellEnd"/>
      <w:r w:rsidRPr="00C62790">
        <w:rPr>
          <w:snapToGrid w:val="0"/>
        </w:rPr>
        <w:t xml:space="preserve"> est très toxique pour tous les groupes d</w:t>
      </w:r>
      <w:r>
        <w:rPr>
          <w:snapToGrid w:val="0"/>
        </w:rPr>
        <w:t>’</w:t>
      </w:r>
      <w:r w:rsidRPr="00C62790">
        <w:rPr>
          <w:snapToGrid w:val="0"/>
        </w:rPr>
        <w:t>organismes aquatiques et présente un risque élevé pour ces organismes.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 xml:space="preserve">Un risque élevé de toxicité aiguë a été identifié pour les oiseaux </w:t>
      </w:r>
      <w:r>
        <w:rPr>
          <w:snapToGrid w:val="0"/>
        </w:rPr>
        <w:t>qui boiraient</w:t>
      </w:r>
      <w:r w:rsidRPr="00C62790">
        <w:t xml:space="preserve"> de l</w:t>
      </w:r>
      <w:r>
        <w:t>’</w:t>
      </w:r>
      <w:r w:rsidRPr="00C62790">
        <w:t xml:space="preserve">eau contaminée </w:t>
      </w:r>
      <w:r>
        <w:t xml:space="preserve">lors </w:t>
      </w:r>
      <w:r w:rsidRPr="00C62790">
        <w:t>d</w:t>
      </w:r>
      <w:r>
        <w:t>’</w:t>
      </w:r>
      <w:r w:rsidRPr="00C62790">
        <w:t>un traitement post-levée.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Les plantes terrestres non ciblées sont exposées à un risque élevé. L</w:t>
      </w:r>
      <w:r>
        <w:rPr>
          <w:snapToGrid w:val="0"/>
        </w:rPr>
        <w:t>’</w:t>
      </w:r>
      <w:r w:rsidRPr="00C62790">
        <w:rPr>
          <w:snapToGrid w:val="0"/>
        </w:rPr>
        <w:t>évaluation des risques suggère qu</w:t>
      </w:r>
      <w:r>
        <w:rPr>
          <w:snapToGrid w:val="0"/>
        </w:rPr>
        <w:t>’</w:t>
      </w:r>
      <w:r w:rsidRPr="00C62790">
        <w:rPr>
          <w:snapToGrid w:val="0"/>
        </w:rPr>
        <w:t xml:space="preserve">une zone tampon </w:t>
      </w:r>
      <w:r>
        <w:rPr>
          <w:snapToGrid w:val="0"/>
        </w:rPr>
        <w:t>de 5 </w:t>
      </w:r>
      <w:r w:rsidRPr="00C62790">
        <w:rPr>
          <w:snapToGrid w:val="0"/>
        </w:rPr>
        <w:t>mètres, exempte de pulvérisation, devrait être mise en place dans la zone cultivée pour protéger les plantes non ciblées en dehors de la zone de traitement.</w:t>
      </w:r>
    </w:p>
    <w:p w:rsidR="00172019" w:rsidRPr="00C62790" w:rsidRDefault="00172019" w:rsidP="00172019">
      <w:pPr>
        <w:numPr>
          <w:ilvl w:val="0"/>
          <w:numId w:val="5"/>
        </w:numPr>
        <w:tabs>
          <w:tab w:val="clear" w:pos="1247"/>
          <w:tab w:val="clear" w:pos="1814"/>
          <w:tab w:val="left" w:pos="-1440"/>
          <w:tab w:val="left" w:pos="-720"/>
          <w:tab w:val="left" w:pos="624"/>
          <w:tab w:val="left" w:pos="2410"/>
        </w:tabs>
        <w:snapToGrid w:val="0"/>
        <w:spacing w:after="120"/>
        <w:ind w:left="2268" w:hanging="425"/>
        <w:rPr>
          <w:snapToGrid w:val="0"/>
        </w:rPr>
      </w:pPr>
      <w:r w:rsidRPr="00C62790">
        <w:rPr>
          <w:snapToGrid w:val="0"/>
        </w:rPr>
        <w:t>Un risque élevé à long terme pour les oiseaux herbivores a été identifié.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 xml:space="preserve">La mesure de réglementation finale devrait réduire sensiblement la </w:t>
      </w:r>
      <w:r>
        <w:rPr>
          <w:lang w:val="fr-FR"/>
        </w:rPr>
        <w:t>consommation de ce</w:t>
      </w:r>
      <w:r w:rsidRPr="00C62790">
        <w:rPr>
          <w:lang w:val="fr-FR"/>
        </w:rPr>
        <w:t xml:space="preserve"> produit chimique</w:t>
      </w:r>
      <w:r>
        <w:rPr>
          <w:lang w:val="fr-FR"/>
        </w:rPr>
        <w:t xml:space="preserve"> et</w:t>
      </w:r>
      <w:r w:rsidRPr="00C62790">
        <w:rPr>
          <w:lang w:val="fr-FR"/>
        </w:rPr>
        <w:t xml:space="preserve">, </w:t>
      </w:r>
      <w:r>
        <w:rPr>
          <w:lang w:val="fr-FR"/>
        </w:rPr>
        <w:t>partant, l</w:t>
      </w:r>
      <w:r w:rsidRPr="00C62790">
        <w:rPr>
          <w:lang w:val="fr-FR"/>
        </w:rPr>
        <w:t xml:space="preserve">es risques </w:t>
      </w:r>
      <w:r>
        <w:rPr>
          <w:lang w:val="fr-FR"/>
        </w:rPr>
        <w:t xml:space="preserve">qu’il présente </w:t>
      </w:r>
      <w:r w:rsidRPr="00C62790">
        <w:rPr>
          <w:lang w:val="fr-FR"/>
        </w:rPr>
        <w:t xml:space="preserve">pour </w:t>
      </w:r>
      <w:r>
        <w:rPr>
          <w:lang w:val="fr-FR"/>
        </w:rPr>
        <w:t xml:space="preserve">la santé et 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conclut que le critère du paragraph</w:t>
      </w:r>
      <w:r>
        <w:rPr>
          <w:lang w:val="fr-FR"/>
        </w:rPr>
        <w:t>e a) est satisfait.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c)</w:t>
      </w:r>
      <w:r w:rsidRPr="00C62790">
        <w:rPr>
          <w:lang w:val="fr-FR"/>
        </w:rPr>
        <w:tab/>
        <w:t>Critères du paragraphe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 xml:space="preserve"> de l’Annexe </w:t>
      </w:r>
      <w:r w:rsidRPr="00C62790">
        <w:rPr>
          <w:lang w:val="fr-FR"/>
        </w:rPr>
        <w:t xml:space="preserve">II </w:t>
      </w:r>
    </w:p>
    <w:p w:rsidR="00172019" w:rsidRPr="00C62790" w:rsidRDefault="00172019" w:rsidP="00172019">
      <w:pPr>
        <w:keepNext/>
        <w:keepLines/>
        <w:widowControl w:val="0"/>
        <w:tabs>
          <w:tab w:val="left" w:pos="624"/>
        </w:tabs>
        <w:snapToGrid w:val="0"/>
        <w:spacing w:after="120"/>
        <w:ind w:left="1247" w:firstLine="619"/>
        <w:rPr>
          <w:i/>
        </w:rPr>
      </w:pPr>
      <w:r w:rsidRPr="00C62790">
        <w:rPr>
          <w:i/>
        </w:rPr>
        <w:t>b)</w:t>
      </w:r>
      <w:r w:rsidRPr="00C62790">
        <w:rPr>
          <w:i/>
        </w:rPr>
        <w:tab/>
        <w:t>Vérifie que la mesure de réglementation finale a été prise après une évaluation des</w:t>
      </w:r>
      <w:r>
        <w:rPr>
          <w:i/>
        </w:rPr>
        <w:t> </w:t>
      </w:r>
      <w:r w:rsidRPr="00C62790">
        <w:rPr>
          <w:i/>
        </w:rPr>
        <w:t>risques. Cette évaluation doit s</w:t>
      </w:r>
      <w:r>
        <w:rPr>
          <w:i/>
        </w:rPr>
        <w:t>’</w:t>
      </w:r>
      <w:r w:rsidRPr="00C62790">
        <w:rPr>
          <w:i/>
        </w:rPr>
        <w:t>appuyer sur une analyse des données scientifiques effectuée en</w:t>
      </w:r>
      <w:r>
        <w:rPr>
          <w:i/>
        </w:rPr>
        <w:t> </w:t>
      </w:r>
      <w:r w:rsidRPr="00C62790">
        <w:rPr>
          <w:i/>
        </w:rPr>
        <w:t>tenant compte du contexte propre à la Partie considérée. À cette fin, la documentation fournie doit</w:t>
      </w:r>
      <w:r>
        <w:rPr>
          <w:i/>
        </w:rPr>
        <w:t> </w:t>
      </w:r>
      <w:r w:rsidRPr="00C62790">
        <w:rPr>
          <w:i/>
        </w:rPr>
        <w:t>attester que</w:t>
      </w:r>
      <w:r>
        <w:rPr>
          <w:i/>
        </w:rPr>
        <w:t> </w:t>
      </w:r>
      <w:r w:rsidRPr="00C62790">
        <w:rPr>
          <w:i/>
        </w:rPr>
        <w:t>:</w:t>
      </w:r>
    </w:p>
    <w:p w:rsidR="00172019" w:rsidRPr="00C62790" w:rsidRDefault="00172019" w:rsidP="00172019">
      <w:pPr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>i)</w:t>
      </w:r>
      <w:r w:rsidRPr="00C62790">
        <w:rPr>
          <w:i/>
        </w:rPr>
        <w:tab/>
        <w:t>Les données ont été obtenues par des méthodes scientifiquement reconnues</w:t>
      </w:r>
      <w:r>
        <w:rPr>
          <w:i/>
        </w:rPr>
        <w:t> </w:t>
      </w:r>
      <w:r w:rsidRPr="00C62790">
        <w:rPr>
          <w:i/>
        </w:rPr>
        <w:t>;</w:t>
      </w:r>
    </w:p>
    <w:p w:rsidR="00172019" w:rsidRPr="00C62790" w:rsidRDefault="00172019" w:rsidP="0017201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ii)</w:t>
      </w:r>
      <w:r w:rsidRPr="00C62790">
        <w:rPr>
          <w:i/>
        </w:rPr>
        <w:tab/>
        <w:t>Ces données ont été analysées et étayées en respectant des principes et des méthodes scientifiquement reconnus</w:t>
      </w:r>
      <w:r>
        <w:rPr>
          <w:i/>
        </w:rPr>
        <w:t xml:space="preserve"> </w:t>
      </w:r>
      <w:r w:rsidRPr="00C62790">
        <w:rPr>
          <w:i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mesure de réglementation finale a été précédée d</w:t>
      </w:r>
      <w:r>
        <w:rPr>
          <w:lang w:val="fr-FR"/>
        </w:rPr>
        <w:t>’</w:t>
      </w:r>
      <w:r w:rsidRPr="00C62790">
        <w:rPr>
          <w:lang w:val="fr-FR"/>
        </w:rPr>
        <w:t>une évaluation réalisée conformément à la</w:t>
      </w:r>
      <w:r>
        <w:rPr>
          <w:lang w:val="fr-FR"/>
        </w:rPr>
        <w:t> Directive 91/414/</w:t>
      </w:r>
      <w:r w:rsidRPr="00C62790">
        <w:rPr>
          <w:lang w:val="fr-FR"/>
        </w:rPr>
        <w:t>C</w:t>
      </w:r>
      <w:r>
        <w:rPr>
          <w:lang w:val="fr-FR"/>
        </w:rPr>
        <w:t>EE [abrog</w:t>
      </w:r>
      <w:r w:rsidRPr="00C62790">
        <w:rPr>
          <w:lang w:val="fr-FR"/>
        </w:rPr>
        <w:t>ée par le Règlement (CE) n°</w:t>
      </w:r>
      <w:r>
        <w:rPr>
          <w:lang w:val="fr-FR"/>
        </w:rPr>
        <w:t> </w:t>
      </w:r>
      <w:r w:rsidRPr="00C62790">
        <w:rPr>
          <w:lang w:val="fr-FR"/>
        </w:rPr>
        <w:t>1107/2009</w:t>
      </w:r>
      <w:r>
        <w:rPr>
          <w:lang w:val="fr-FR"/>
        </w:rPr>
        <w:t>]</w:t>
      </w:r>
      <w:r w:rsidRPr="00C62790">
        <w:rPr>
          <w:lang w:val="fr-FR"/>
        </w:rPr>
        <w:t>, prévoyant que la</w:t>
      </w:r>
      <w:r>
        <w:rPr>
          <w:lang w:val="fr-FR"/>
        </w:rPr>
        <w:t> </w:t>
      </w:r>
      <w:r w:rsidRPr="00C62790">
        <w:rPr>
          <w:lang w:val="fr-FR"/>
        </w:rPr>
        <w:t>Commission européenne établit un programme de travail pour l</w:t>
      </w:r>
      <w:r>
        <w:rPr>
          <w:lang w:val="fr-FR"/>
        </w:rPr>
        <w:t>’</w:t>
      </w:r>
      <w:r w:rsidRPr="00C62790">
        <w:rPr>
          <w:lang w:val="fr-FR"/>
        </w:rPr>
        <w:t>examen des substances actives utilisées dans les produits phytopharmaceutiques en vue de leur inscription éventuelle à l</w:t>
      </w:r>
      <w:r>
        <w:rPr>
          <w:lang w:val="fr-FR"/>
        </w:rPr>
        <w:t>’</w:t>
      </w:r>
      <w:r w:rsidRPr="00C62790">
        <w:rPr>
          <w:lang w:val="fr-FR"/>
        </w:rPr>
        <w:t>Annexe I de la Directive, et conformément aux dispositions du Règlement (CE) n°</w:t>
      </w:r>
      <w:r>
        <w:rPr>
          <w:lang w:val="fr-FR"/>
        </w:rPr>
        <w:t> </w:t>
      </w:r>
      <w:r w:rsidRPr="00C62790">
        <w:rPr>
          <w:lang w:val="fr-FR"/>
        </w:rPr>
        <w:t xml:space="preserve">1095/2007 et du Règlement (CE) </w:t>
      </w:r>
      <w:r>
        <w:rPr>
          <w:lang w:val="fr-FR"/>
        </w:rPr>
        <w:t>n° </w:t>
      </w:r>
      <w:r w:rsidRPr="00C62790">
        <w:rPr>
          <w:lang w:val="fr-FR"/>
        </w:rPr>
        <w:t>2229/2004.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Un État membre a été désigné pour entreprendre l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 des risques sur la base des informations soumises par la Partie </w:t>
      </w:r>
      <w:proofErr w:type="spellStart"/>
      <w:r w:rsidRPr="00C62790">
        <w:rPr>
          <w:lang w:val="fr-FR"/>
        </w:rPr>
        <w:t>notifiante</w:t>
      </w:r>
      <w:proofErr w:type="spellEnd"/>
      <w:r w:rsidRPr="00C62790">
        <w:rPr>
          <w:lang w:val="fr-FR"/>
        </w:rPr>
        <w:t xml:space="preserve"> et établir un projet de rapport d</w:t>
      </w:r>
      <w:r>
        <w:rPr>
          <w:lang w:val="fr-FR"/>
        </w:rPr>
        <w:t>’</w:t>
      </w:r>
      <w:r w:rsidRPr="00C62790">
        <w:rPr>
          <w:lang w:val="fr-FR"/>
        </w:rPr>
        <w:t>évaluation qui a fait l</w:t>
      </w:r>
      <w:r>
        <w:rPr>
          <w:lang w:val="fr-FR"/>
        </w:rPr>
        <w:t>’</w:t>
      </w:r>
      <w:r w:rsidRPr="00C62790">
        <w:rPr>
          <w:lang w:val="fr-FR"/>
        </w:rPr>
        <w:t>objet d</w:t>
      </w:r>
      <w:r>
        <w:rPr>
          <w:lang w:val="fr-FR"/>
        </w:rPr>
        <w:t>’</w:t>
      </w:r>
      <w:r w:rsidRPr="00C62790">
        <w:rPr>
          <w:lang w:val="fr-FR"/>
        </w:rPr>
        <w:t>un examen par des pairs au cours duquel l</w:t>
      </w:r>
      <w:r>
        <w:rPr>
          <w:lang w:val="fr-FR"/>
        </w:rPr>
        <w:t>’</w:t>
      </w:r>
      <w:r w:rsidRPr="00C62790">
        <w:rPr>
          <w:lang w:val="fr-FR"/>
        </w:rPr>
        <w:t>AESA a mené des consultations avec des experts</w:t>
      </w:r>
      <w:r>
        <w:rPr>
          <w:lang w:val="fr-FR"/>
        </w:rPr>
        <w:t xml:space="preserve"> des États membres et avec</w:t>
      </w:r>
      <w:r w:rsidRPr="00C62790">
        <w:rPr>
          <w:lang w:val="fr-FR"/>
        </w:rPr>
        <w:t xml:space="preserve"> la Partie </w:t>
      </w:r>
      <w:proofErr w:type="spellStart"/>
      <w:r w:rsidRPr="00C62790">
        <w:rPr>
          <w:lang w:val="fr-FR"/>
        </w:rPr>
        <w:t>notifiante</w:t>
      </w:r>
      <w:proofErr w:type="spellEnd"/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lastRenderedPageBreak/>
        <w:t>Sur la base des résultats de l</w:t>
      </w:r>
      <w:r>
        <w:rPr>
          <w:lang w:val="fr-FR"/>
        </w:rPr>
        <w:t>’</w:t>
      </w:r>
      <w:r w:rsidRPr="00C62790">
        <w:rPr>
          <w:lang w:val="fr-FR"/>
        </w:rPr>
        <w:t>évaluation des risques, la Commission européenne a établi un projet de rapport d</w:t>
      </w:r>
      <w:r>
        <w:rPr>
          <w:lang w:val="fr-FR"/>
        </w:rPr>
        <w:t>’</w:t>
      </w:r>
      <w:r w:rsidRPr="00C62790">
        <w:rPr>
          <w:lang w:val="fr-FR"/>
        </w:rPr>
        <w:t>évaluation qui a été soumis au Comité permanent de la chaîne alimentaire et de la santé animale en vue d</w:t>
      </w:r>
      <w:r>
        <w:rPr>
          <w:lang w:val="fr-FR"/>
        </w:rPr>
        <w:t>’</w:t>
      </w:r>
      <w:r w:rsidRPr="00C62790">
        <w:rPr>
          <w:lang w:val="fr-FR"/>
        </w:rPr>
        <w:t>un examen collégial. Ce dernier a conclu qu</w:t>
      </w:r>
      <w:r>
        <w:rPr>
          <w:lang w:val="fr-FR"/>
        </w:rPr>
        <w:t>’</w:t>
      </w:r>
      <w:r w:rsidRPr="00C62790">
        <w:rPr>
          <w:lang w:val="fr-FR"/>
        </w:rPr>
        <w:t>il n</w:t>
      </w:r>
      <w:r>
        <w:rPr>
          <w:lang w:val="fr-FR"/>
        </w:rPr>
        <w:t>’</w:t>
      </w:r>
      <w:r w:rsidRPr="00C62790">
        <w:rPr>
          <w:lang w:val="fr-FR"/>
        </w:rPr>
        <w:t>éta</w:t>
      </w:r>
      <w:r>
        <w:rPr>
          <w:lang w:val="fr-FR"/>
        </w:rPr>
        <w:t>it pas démontré que l’on puisse</w:t>
      </w:r>
      <w:r w:rsidRPr="00C62790">
        <w:rPr>
          <w:lang w:val="fr-FR"/>
        </w:rPr>
        <w:t xml:space="preserve"> s</w:t>
      </w:r>
      <w:r>
        <w:rPr>
          <w:lang w:val="fr-FR"/>
        </w:rPr>
        <w:t>’</w:t>
      </w:r>
      <w:r w:rsidRPr="00C62790">
        <w:rPr>
          <w:lang w:val="fr-FR"/>
        </w:rPr>
        <w:t xml:space="preserve">attendre à ce </w:t>
      </w:r>
      <w:r>
        <w:rPr>
          <w:lang w:val="fr-FR"/>
        </w:rPr>
        <w:t>que les produits phytopharmaceutiques</w:t>
      </w:r>
      <w:r w:rsidRPr="00C62790">
        <w:rPr>
          <w:lang w:val="fr-FR"/>
        </w:rPr>
        <w:t xml:space="preserve">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satisfassent en général aux exigences de l</w:t>
      </w:r>
      <w:r>
        <w:rPr>
          <w:lang w:val="fr-FR"/>
        </w:rPr>
        <w:t>’Article </w:t>
      </w:r>
      <w:r w:rsidRPr="00C62790">
        <w:rPr>
          <w:lang w:val="fr-FR"/>
        </w:rPr>
        <w:t xml:space="preserve">5 1) a) et b) </w:t>
      </w:r>
      <w:r>
        <w:rPr>
          <w:lang w:val="fr-FR"/>
        </w:rPr>
        <w:t>de la Directive </w:t>
      </w:r>
      <w:r w:rsidRPr="00C62790">
        <w:rPr>
          <w:lang w:val="fr-FR"/>
        </w:rPr>
        <w:t>91/414/CE</w:t>
      </w:r>
      <w:r>
        <w:rPr>
          <w:lang w:val="fr-FR"/>
        </w:rPr>
        <w:t>E</w:t>
      </w:r>
      <w:r w:rsidRPr="00C62790">
        <w:rPr>
          <w:lang w:val="fr-FR"/>
        </w:rPr>
        <w:t>, ce qui a conduit à l</w:t>
      </w:r>
      <w:r>
        <w:rPr>
          <w:lang w:val="fr-FR"/>
        </w:rPr>
        <w:t>’</w:t>
      </w:r>
      <w:r w:rsidRPr="00C62790">
        <w:rPr>
          <w:lang w:val="fr-FR"/>
        </w:rPr>
        <w:t>adoption d</w:t>
      </w:r>
      <w:r>
        <w:rPr>
          <w:lang w:val="fr-FR"/>
        </w:rPr>
        <w:t>’</w:t>
      </w:r>
      <w:r w:rsidRPr="00C62790">
        <w:rPr>
          <w:lang w:val="fr-FR"/>
        </w:rPr>
        <w:t xml:space="preserve">une décision de non approbation de la substance active 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</w:t>
      </w:r>
      <w:r>
        <w:rPr>
          <w:lang w:val="fr-FR"/>
        </w:rPr>
        <w:t>[</w:t>
      </w:r>
      <w:r w:rsidRPr="00C62790">
        <w:rPr>
          <w:lang w:val="fr-FR"/>
        </w:rPr>
        <w:t>Règlement d</w:t>
      </w:r>
      <w:r>
        <w:rPr>
          <w:lang w:val="fr-FR"/>
        </w:rPr>
        <w:t>’</w:t>
      </w:r>
      <w:r w:rsidRPr="00C62790">
        <w:rPr>
          <w:lang w:val="fr-FR"/>
        </w:rPr>
        <w:t>exécution de la Commission (UE) n°</w:t>
      </w:r>
      <w:r>
        <w:rPr>
          <w:lang w:val="fr-FR"/>
        </w:rPr>
        <w:t> </w:t>
      </w:r>
      <w:r w:rsidRPr="00C62790">
        <w:rPr>
          <w:lang w:val="fr-FR"/>
        </w:rPr>
        <w:t>1372/2011du 21 décembre 2011</w:t>
      </w:r>
      <w:r>
        <w:rPr>
          <w:lang w:val="fr-FR"/>
        </w:rPr>
        <w:t>]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évaluation reposait sur une analyse des données scientifiques tenant compte des conditions prévalant dans l</w:t>
      </w:r>
      <w:r>
        <w:rPr>
          <w:lang w:val="fr-FR"/>
        </w:rPr>
        <w:t>’</w:t>
      </w:r>
      <w:r w:rsidRPr="00C62790">
        <w:rPr>
          <w:lang w:val="fr-FR"/>
        </w:rPr>
        <w:t>Union européenne (utilisations prévues, taux d</w:t>
      </w:r>
      <w:r>
        <w:rPr>
          <w:lang w:val="fr-FR"/>
        </w:rPr>
        <w:t>’</w:t>
      </w:r>
      <w:r w:rsidRPr="00C62790">
        <w:rPr>
          <w:lang w:val="fr-FR"/>
        </w:rPr>
        <w:t>application recommandés, bonnes pratiques agricoles). Seules les données obtenues par des méthodes scientifiques reconnues ont</w:t>
      </w:r>
      <w:r>
        <w:rPr>
          <w:lang w:val="fr-FR"/>
        </w:rPr>
        <w:t> </w:t>
      </w:r>
      <w:r w:rsidRPr="00C62790">
        <w:rPr>
          <w:lang w:val="fr-FR"/>
        </w:rPr>
        <w:t>été</w:t>
      </w:r>
      <w:r>
        <w:rPr>
          <w:lang w:val="fr-FR"/>
        </w:rPr>
        <w:t> </w:t>
      </w:r>
      <w:r w:rsidRPr="00C62790">
        <w:rPr>
          <w:lang w:val="fr-FR"/>
        </w:rPr>
        <w:t>validées et utilisées pour l</w:t>
      </w:r>
      <w:r>
        <w:rPr>
          <w:lang w:val="fr-FR"/>
        </w:rPr>
        <w:t>’</w:t>
      </w:r>
      <w:r w:rsidRPr="00C62790">
        <w:rPr>
          <w:lang w:val="fr-FR"/>
        </w:rPr>
        <w:t xml:space="preserve">évaluation. </w:t>
      </w:r>
      <w:r>
        <w:rPr>
          <w:lang w:val="fr-FR"/>
        </w:rPr>
        <w:t>De plus, c</w:t>
      </w:r>
      <w:r w:rsidRPr="00C62790">
        <w:rPr>
          <w:lang w:val="fr-FR"/>
        </w:rPr>
        <w:t>es données ont été analysées et étayées en</w:t>
      </w:r>
      <w:r>
        <w:rPr>
          <w:lang w:val="fr-FR"/>
        </w:rPr>
        <w:t> </w:t>
      </w:r>
      <w:r w:rsidRPr="00C62790">
        <w:rPr>
          <w:lang w:val="fr-FR"/>
        </w:rPr>
        <w:t>respectant des principes et des méthodes scientifiquement reconnus (voir le</w:t>
      </w:r>
      <w:r>
        <w:rPr>
          <w:lang w:val="fr-FR"/>
        </w:rPr>
        <w:t> </w:t>
      </w:r>
      <w:r w:rsidRPr="00C62790">
        <w:rPr>
          <w:lang w:val="fr-FR"/>
        </w:rPr>
        <w:t>document</w:t>
      </w:r>
      <w:r>
        <w:rPr>
          <w:lang w:val="fr-FR"/>
        </w:rPr>
        <w:t> </w:t>
      </w:r>
      <w:r w:rsidRPr="00C62790">
        <w:rPr>
          <w:lang w:val="fr-FR"/>
        </w:rPr>
        <w:t>UNEP/FAO/RC/CRC.13/3, annexe, partie B, section</w:t>
      </w:r>
      <w:r>
        <w:rPr>
          <w:lang w:val="fr-FR"/>
        </w:rPr>
        <w:t> </w:t>
      </w:r>
      <w:r w:rsidRPr="00C62790">
        <w:rPr>
          <w:lang w:val="fr-FR"/>
        </w:rPr>
        <w:t>2.4.1).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a donc établi que les données analysées aux fins de l</w:t>
      </w:r>
      <w:r>
        <w:rPr>
          <w:lang w:val="fr-FR"/>
        </w:rPr>
        <w:t>’</w:t>
      </w:r>
      <w:r w:rsidRPr="00C62790">
        <w:rPr>
          <w:lang w:val="fr-FR"/>
        </w:rPr>
        <w:t>évaluation des risques avaient été obtenues par des méthodes scientifiqu</w:t>
      </w:r>
      <w:r>
        <w:rPr>
          <w:lang w:val="fr-FR"/>
        </w:rPr>
        <w:t xml:space="preserve">es reconnues et qu’elles </w:t>
      </w:r>
      <w:r w:rsidRPr="00C62790">
        <w:rPr>
          <w:lang w:val="fr-FR"/>
        </w:rPr>
        <w:t>avaient été analysées et étayées en respectant des principes et des méthodes scientifiques reconnus.</w:t>
      </w:r>
    </w:p>
    <w:p w:rsidR="00172019" w:rsidRPr="00C62790" w:rsidRDefault="00172019" w:rsidP="00172019">
      <w:pPr>
        <w:widowControl w:val="0"/>
        <w:tabs>
          <w:tab w:val="left" w:pos="624"/>
        </w:tabs>
        <w:snapToGrid w:val="0"/>
        <w:spacing w:after="120"/>
        <w:ind w:left="1871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La mesure de réglementation finale se fonde sur une évaluation des risques tenant compte du contexte propre à la Partie qui en est l</w:t>
      </w:r>
      <w:r>
        <w:rPr>
          <w:i/>
        </w:rPr>
        <w:t>’</w:t>
      </w:r>
      <w:r w:rsidRPr="00C62790">
        <w:rPr>
          <w:i/>
        </w:rPr>
        <w:t>auteur</w:t>
      </w:r>
      <w:r>
        <w:rPr>
          <w:i/>
        </w:rPr>
        <w:t> </w:t>
      </w:r>
      <w:r w:rsidRPr="00C62790">
        <w:rPr>
          <w:i/>
        </w:rPr>
        <w:t>;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mesure de réglement</w:t>
      </w:r>
      <w:r>
        <w:rPr>
          <w:lang w:val="fr-FR"/>
        </w:rPr>
        <w:t>ation finale interdisant</w:t>
      </w:r>
      <w:r w:rsidRPr="00C62790">
        <w:rPr>
          <w:lang w:val="fr-FR"/>
        </w:rPr>
        <w:t xml:space="preserve">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reposait sur une évaluation des risques. L</w:t>
      </w:r>
      <w:r>
        <w:rPr>
          <w:lang w:val="fr-FR"/>
        </w:rPr>
        <w:t>’</w:t>
      </w:r>
      <w:r w:rsidRPr="00C62790">
        <w:rPr>
          <w:lang w:val="fr-FR"/>
        </w:rPr>
        <w:t>analyse des risques ava</w:t>
      </w:r>
      <w:r>
        <w:rPr>
          <w:lang w:val="fr-FR"/>
        </w:rPr>
        <w:t xml:space="preserve">it porté sur l’application de cet </w:t>
      </w:r>
      <w:r w:rsidRPr="00C62790">
        <w:rPr>
          <w:lang w:val="fr-FR"/>
        </w:rPr>
        <w:t xml:space="preserve">herbicide sur des cultures de maïs.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décision d</w:t>
      </w:r>
      <w:r>
        <w:rPr>
          <w:lang w:val="fr-FR"/>
        </w:rPr>
        <w:t>’</w:t>
      </w:r>
      <w:r w:rsidRPr="00C62790">
        <w:rPr>
          <w:lang w:val="fr-FR"/>
        </w:rPr>
        <w:t>interdire l</w:t>
      </w:r>
      <w:r>
        <w:rPr>
          <w:lang w:val="fr-FR"/>
        </w:rPr>
        <w:t>’</w:t>
      </w:r>
      <w:r w:rsidRPr="00C62790">
        <w:rPr>
          <w:lang w:val="fr-FR"/>
        </w:rPr>
        <w:t>utilisation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comme pesticide reposait sur un ensemble de données comprenant un large éventail d</w:t>
      </w:r>
      <w:r>
        <w:rPr>
          <w:lang w:val="fr-FR"/>
        </w:rPr>
        <w:t>’</w:t>
      </w:r>
      <w:r w:rsidRPr="00C62790">
        <w:rPr>
          <w:lang w:val="fr-FR"/>
        </w:rPr>
        <w:t>informations sur l</w:t>
      </w:r>
      <w:r>
        <w:rPr>
          <w:lang w:val="fr-FR"/>
        </w:rPr>
        <w:t>’</w:t>
      </w:r>
      <w:r w:rsidRPr="00C62790">
        <w:rPr>
          <w:lang w:val="fr-FR"/>
        </w:rPr>
        <w:t>identité de la substance et ses propriétés physiques, chimiques et techniques ; les méthodes d</w:t>
      </w:r>
      <w:r>
        <w:rPr>
          <w:lang w:val="fr-FR"/>
        </w:rPr>
        <w:t>’</w:t>
      </w:r>
      <w:r w:rsidRPr="00C62790">
        <w:rPr>
          <w:lang w:val="fr-FR"/>
        </w:rPr>
        <w:t>analyse</w:t>
      </w:r>
      <w:r>
        <w:rPr>
          <w:lang w:val="fr-FR"/>
        </w:rPr>
        <w:t xml:space="preserve"> ; </w:t>
      </w:r>
      <w:r w:rsidRPr="00C62790">
        <w:rPr>
          <w:lang w:val="fr-FR"/>
        </w:rPr>
        <w:t>la toxicologie chez les mammifères</w:t>
      </w:r>
      <w:r>
        <w:rPr>
          <w:lang w:val="fr-FR"/>
        </w:rPr>
        <w:t> ; les résidus ; le devenir et le</w:t>
      </w:r>
      <w:r w:rsidRPr="00C62790">
        <w:rPr>
          <w:lang w:val="fr-FR"/>
        </w:rPr>
        <w:t xml:space="preserve"> comportement</w:t>
      </w:r>
      <w:r>
        <w:rPr>
          <w:lang w:val="fr-FR"/>
        </w:rPr>
        <w:t xml:space="preserve"> de la substance</w:t>
      </w:r>
      <w:r w:rsidRPr="00C62790">
        <w:rPr>
          <w:lang w:val="fr-FR"/>
        </w:rPr>
        <w:t xml:space="preserve"> dans l</w:t>
      </w:r>
      <w:r>
        <w:rPr>
          <w:lang w:val="fr-FR"/>
        </w:rPr>
        <w:t>’</w:t>
      </w:r>
      <w:r w:rsidRPr="00C62790">
        <w:rPr>
          <w:lang w:val="fr-FR"/>
        </w:rPr>
        <w:t>environnement</w:t>
      </w:r>
      <w:r>
        <w:rPr>
          <w:lang w:val="fr-FR"/>
        </w:rPr>
        <w:t> </w:t>
      </w:r>
      <w:r w:rsidRPr="00C62790">
        <w:rPr>
          <w:lang w:val="fr-FR"/>
        </w:rPr>
        <w:t xml:space="preserve">; </w:t>
      </w:r>
      <w:r>
        <w:rPr>
          <w:lang w:val="fr-FR"/>
        </w:rPr>
        <w:t>l’</w:t>
      </w:r>
      <w:proofErr w:type="spellStart"/>
      <w:r>
        <w:rPr>
          <w:lang w:val="fr-FR"/>
        </w:rPr>
        <w:t>écotoxicologie</w:t>
      </w:r>
      <w:proofErr w:type="spellEnd"/>
      <w:r>
        <w:rPr>
          <w:lang w:val="fr-FR"/>
        </w:rPr>
        <w:t> ; et l</w:t>
      </w:r>
      <w:r w:rsidRPr="00C62790">
        <w:rPr>
          <w:lang w:val="fr-FR"/>
        </w:rPr>
        <w:t>es conditions d</w:t>
      </w:r>
      <w:r>
        <w:rPr>
          <w:lang w:val="fr-FR"/>
        </w:rPr>
        <w:t>’</w:t>
      </w:r>
      <w:r w:rsidRPr="00C62790">
        <w:rPr>
          <w:lang w:val="fr-FR"/>
        </w:rPr>
        <w:t>utilisation proposées dans l</w:t>
      </w:r>
      <w:r>
        <w:rPr>
          <w:lang w:val="fr-FR"/>
        </w:rPr>
        <w:t>’</w:t>
      </w:r>
      <w:r w:rsidRPr="00C62790">
        <w:rPr>
          <w:lang w:val="fr-FR"/>
        </w:rPr>
        <w:t xml:space="preserve">Union européenne, </w:t>
      </w:r>
      <w:r>
        <w:rPr>
          <w:lang w:val="fr-FR"/>
        </w:rPr>
        <w:t>y compris l</w:t>
      </w:r>
      <w:r w:rsidRPr="00C62790">
        <w:rPr>
          <w:lang w:val="fr-FR"/>
        </w:rPr>
        <w:t>es utilisations prévues, les taux d</w:t>
      </w:r>
      <w:r>
        <w:rPr>
          <w:lang w:val="fr-FR"/>
        </w:rPr>
        <w:t>’</w:t>
      </w:r>
      <w:r w:rsidRPr="00C62790">
        <w:rPr>
          <w:lang w:val="fr-FR"/>
        </w:rPr>
        <w:t>application recommandés et les bonnes pratiques agricoles. Toutes les informations disponibles dans cet ensemble de données avaient été prises en compte dans l</w:t>
      </w:r>
      <w:r>
        <w:rPr>
          <w:lang w:val="fr-FR"/>
        </w:rPr>
        <w:t>’</w:t>
      </w:r>
      <w:r w:rsidRPr="00C62790">
        <w:rPr>
          <w:lang w:val="fr-FR"/>
        </w:rPr>
        <w:t>évaluation des risques, et donc dans la décision de l</w:t>
      </w:r>
      <w:r>
        <w:rPr>
          <w:lang w:val="fr-FR"/>
        </w:rPr>
        <w:t>’</w:t>
      </w:r>
      <w:r w:rsidRPr="00C62790">
        <w:rPr>
          <w:lang w:val="fr-FR"/>
        </w:rPr>
        <w:t>Union européenne. La conclusion de l</w:t>
      </w:r>
      <w:r>
        <w:rPr>
          <w:lang w:val="fr-FR"/>
        </w:rPr>
        <w:t>’</w:t>
      </w:r>
      <w:r w:rsidRPr="00C62790">
        <w:rPr>
          <w:lang w:val="fr-FR"/>
        </w:rPr>
        <w:t>AESA résultait de l</w:t>
      </w:r>
      <w:r>
        <w:rPr>
          <w:lang w:val="fr-FR"/>
        </w:rPr>
        <w:t>’</w:t>
      </w:r>
      <w:r w:rsidRPr="00C62790">
        <w:rPr>
          <w:lang w:val="fr-FR"/>
        </w:rPr>
        <w:t>évaluation de son utilisation représentative dans l</w:t>
      </w:r>
      <w:r>
        <w:rPr>
          <w:lang w:val="fr-FR"/>
        </w:rPr>
        <w:t>’</w:t>
      </w:r>
      <w:r w:rsidRPr="00C62790">
        <w:rPr>
          <w:lang w:val="fr-FR"/>
        </w:rPr>
        <w:t>Union européenne.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</w:t>
      </w:r>
      <w:r w:rsidRPr="00C62790">
        <w:rPr>
          <w:lang w:val="fr-FR"/>
        </w:rPr>
        <w:t>, le Comité confirme que le critère du paragraphe</w:t>
      </w:r>
      <w:r>
        <w:rPr>
          <w:lang w:val="fr-FR"/>
        </w:rPr>
        <w:t> </w:t>
      </w:r>
      <w:r w:rsidRPr="00C62790">
        <w:rPr>
          <w:lang w:val="fr-FR"/>
        </w:rPr>
        <w:t>b)</w:t>
      </w:r>
      <w:r>
        <w:rPr>
          <w:lang w:val="fr-FR"/>
        </w:rPr>
        <w:t> </w:t>
      </w:r>
      <w:r w:rsidRPr="00C62790">
        <w:rPr>
          <w:lang w:val="fr-FR"/>
        </w:rPr>
        <w:t>iii) est</w:t>
      </w:r>
      <w:r>
        <w:rPr>
          <w:lang w:val="fr-FR"/>
        </w:rPr>
        <w:t xml:space="preserve"> 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confirme que les critères du paragraphe</w:t>
      </w:r>
      <w:r>
        <w:rPr>
          <w:lang w:val="fr-FR"/>
        </w:rPr>
        <w:t> </w:t>
      </w:r>
      <w:r w:rsidRPr="00C62790">
        <w:rPr>
          <w:lang w:val="fr-FR"/>
        </w:rPr>
        <w:t xml:space="preserve">b) sont </w:t>
      </w:r>
      <w:r>
        <w:rPr>
          <w:lang w:val="fr-FR"/>
        </w:rPr>
        <w:t>satisfaits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d)</w:t>
      </w:r>
      <w:r w:rsidRPr="00C62790">
        <w:rPr>
          <w:lang w:val="fr-FR"/>
        </w:rPr>
        <w:tab/>
        <w:t>Critères du paragraphe</w:t>
      </w:r>
      <w:r>
        <w:rPr>
          <w:lang w:val="fr-FR"/>
        </w:rPr>
        <w:t> </w:t>
      </w:r>
      <w:r w:rsidRPr="00C62790">
        <w:rPr>
          <w:lang w:val="fr-FR"/>
        </w:rPr>
        <w:t>c) de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</w:t>
      </w:r>
    </w:p>
    <w:p w:rsidR="00172019" w:rsidRPr="00C62790" w:rsidRDefault="00172019" w:rsidP="00172019">
      <w:pPr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c)</w:t>
      </w:r>
      <w:r w:rsidRPr="00C62790">
        <w:rPr>
          <w:i/>
        </w:rPr>
        <w:tab/>
        <w:t>Détermine si la mesure de réglementation finale suffit à justifier l</w:t>
      </w:r>
      <w:r>
        <w:rPr>
          <w:i/>
        </w:rPr>
        <w:t>’</w:t>
      </w:r>
      <w:r w:rsidRPr="00C62790">
        <w:rPr>
          <w:i/>
        </w:rPr>
        <w:t>inscription du produi</w:t>
      </w:r>
      <w:r>
        <w:rPr>
          <w:i/>
        </w:rPr>
        <w:t>t chimique considéré à l’Annexe </w:t>
      </w:r>
      <w:r w:rsidRPr="00C62790">
        <w:rPr>
          <w:i/>
        </w:rPr>
        <w:t xml:space="preserve">III après avoir déterminé : </w:t>
      </w:r>
    </w:p>
    <w:p w:rsidR="00172019" w:rsidRPr="00C62790" w:rsidRDefault="00172019" w:rsidP="00172019">
      <w:pPr>
        <w:keepNext/>
        <w:keepLines/>
        <w:widowControl w:val="0"/>
        <w:tabs>
          <w:tab w:val="left" w:pos="624"/>
        </w:tabs>
        <w:snapToGrid w:val="0"/>
        <w:spacing w:after="120"/>
        <w:ind w:left="2381" w:hanging="510"/>
        <w:rPr>
          <w:i/>
        </w:rPr>
      </w:pPr>
      <w:r w:rsidRPr="00C62790">
        <w:rPr>
          <w:i/>
        </w:rPr>
        <w:t>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entraîné, ou devrait entraîner, une diminution sensible de la consommation du produit chimique ou du nombre de ses emplois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utilisation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est interdite par la mesure de réglementation finale entrée en vigueur le 23</w:t>
      </w:r>
      <w:r>
        <w:rPr>
          <w:lang w:val="fr-FR"/>
        </w:rPr>
        <w:t> </w:t>
      </w:r>
      <w:r w:rsidRPr="00C62790">
        <w:rPr>
          <w:lang w:val="fr-FR"/>
        </w:rPr>
        <w:t xml:space="preserve">juin 2013. </w:t>
      </w:r>
      <w:r>
        <w:rPr>
          <w:lang w:val="fr-FR"/>
        </w:rPr>
        <w:t>Celle-ci</w:t>
      </w:r>
      <w:r w:rsidRPr="00C62790">
        <w:rPr>
          <w:lang w:val="fr-FR"/>
        </w:rPr>
        <w:t xml:space="preserve"> interdit l</w:t>
      </w:r>
      <w:r>
        <w:rPr>
          <w:lang w:val="fr-FR"/>
        </w:rPr>
        <w:t>’</w:t>
      </w:r>
      <w:r w:rsidRPr="00C62790">
        <w:rPr>
          <w:lang w:val="fr-FR"/>
        </w:rPr>
        <w:t>utilisation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comme pesticide </w:t>
      </w:r>
      <w:r>
        <w:rPr>
          <w:lang w:val="fr-FR"/>
        </w:rPr>
        <w:t>par le biais de l’interdiction de sa</w:t>
      </w:r>
      <w:r w:rsidRPr="00C62790">
        <w:rPr>
          <w:lang w:val="fr-FR"/>
        </w:rPr>
        <w:t xml:space="preserve"> mise sur le marché et </w:t>
      </w:r>
      <w:r>
        <w:rPr>
          <w:lang w:val="fr-FR"/>
        </w:rPr>
        <w:t xml:space="preserve">de </w:t>
      </w:r>
      <w:r w:rsidRPr="00C62790">
        <w:rPr>
          <w:lang w:val="fr-FR"/>
        </w:rPr>
        <w:t>l</w:t>
      </w:r>
      <w:r>
        <w:rPr>
          <w:lang w:val="fr-FR"/>
        </w:rPr>
        <w:t>’</w:t>
      </w:r>
      <w:r w:rsidRPr="00C62790">
        <w:rPr>
          <w:lang w:val="fr-FR"/>
        </w:rPr>
        <w:t>utilisa</w:t>
      </w:r>
      <w:r>
        <w:rPr>
          <w:lang w:val="fr-FR"/>
        </w:rPr>
        <w:t>tion de produits phytopharmaceutiques</w:t>
      </w:r>
      <w:r w:rsidRPr="00C62790">
        <w:rPr>
          <w:lang w:val="fr-FR"/>
        </w:rPr>
        <w:t xml:space="preserve"> contenant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dans l</w:t>
      </w:r>
      <w:r>
        <w:rPr>
          <w:lang w:val="fr-FR"/>
        </w:rPr>
        <w:t>’</w:t>
      </w:r>
      <w:r w:rsidRPr="00C62790">
        <w:rPr>
          <w:lang w:val="fr-FR"/>
        </w:rPr>
        <w:t>Union européenne.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n</w:t>
      </w:r>
      <w:r>
        <w:rPr>
          <w:lang w:val="fr-FR"/>
        </w:rPr>
        <w:t>’</w:t>
      </w:r>
      <w:r w:rsidRPr="00C62790">
        <w:rPr>
          <w:lang w:val="fr-FR"/>
        </w:rPr>
        <w:t xml:space="preserve">est pas approuvé </w:t>
      </w:r>
      <w:r>
        <w:rPr>
          <w:lang w:val="fr-FR"/>
        </w:rPr>
        <w:t xml:space="preserve">aux fins de </w:t>
      </w:r>
      <w:r w:rsidRPr="00C62790">
        <w:rPr>
          <w:lang w:val="fr-FR"/>
        </w:rPr>
        <w:t>mise sur le marché en vertu du Règlement (CE) n°</w:t>
      </w:r>
      <w:r>
        <w:rPr>
          <w:lang w:val="fr-FR"/>
        </w:rPr>
        <w:t> </w:t>
      </w:r>
      <w:r w:rsidRPr="00C62790">
        <w:rPr>
          <w:lang w:val="fr-FR"/>
        </w:rPr>
        <w:t>1107/2009 concernant la mise sur le marché de</w:t>
      </w:r>
      <w:r>
        <w:rPr>
          <w:lang w:val="fr-FR"/>
        </w:rPr>
        <w:t>s</w:t>
      </w:r>
      <w:r w:rsidRPr="00C62790">
        <w:rPr>
          <w:lang w:val="fr-FR"/>
        </w:rPr>
        <w:t xml:space="preserve"> produits phytopharmaceutiques (</w:t>
      </w:r>
      <w:r>
        <w:rPr>
          <w:lang w:val="fr-FR"/>
        </w:rPr>
        <w:t>abrogeant la Directive </w:t>
      </w:r>
      <w:r w:rsidRPr="00C62790">
        <w:rPr>
          <w:lang w:val="fr-FR"/>
        </w:rPr>
        <w:t xml:space="preserve">91/414/CEE). </w:t>
      </w:r>
    </w:p>
    <w:p w:rsidR="00172019" w:rsidRPr="00C62790" w:rsidRDefault="00172019" w:rsidP="00172019">
      <w:pPr>
        <w:pStyle w:val="ListParagraph"/>
        <w:numPr>
          <w:ilvl w:val="0"/>
          <w:numId w:val="4"/>
        </w:numPr>
        <w:ind w:left="1260" w:firstLine="0"/>
      </w:pPr>
      <w:r w:rsidRPr="00C62790">
        <w:t xml:space="preserve">La mesure de réglementation finale devrait réduire sensiblement la </w:t>
      </w:r>
      <w:r>
        <w:t xml:space="preserve">consommation de ce </w:t>
      </w:r>
      <w:r w:rsidRPr="00C62790">
        <w:t xml:space="preserve">produit chimique </w:t>
      </w:r>
      <w:r>
        <w:t>et, donc, l</w:t>
      </w:r>
      <w:r w:rsidRPr="00C62790">
        <w:t xml:space="preserve">es risques </w:t>
      </w:r>
      <w:r>
        <w:t xml:space="preserve">qu’il présente </w:t>
      </w:r>
      <w:r w:rsidRPr="00C62790">
        <w:t>pour l</w:t>
      </w:r>
      <w:r>
        <w:t>’</w:t>
      </w:r>
      <w:r w:rsidRPr="00C62790">
        <w:t>environnement.</w:t>
      </w:r>
    </w:p>
    <w:p w:rsidR="00172019" w:rsidRPr="00C62790" w:rsidRDefault="00172019" w:rsidP="00172019">
      <w:pPr>
        <w:pStyle w:val="ListParagraph"/>
        <w:ind w:left="1260"/>
      </w:pPr>
      <w:r w:rsidRPr="00C62790"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</w:t>
      </w:r>
      <w:r w:rsidRPr="00C62790">
        <w:rPr>
          <w:lang w:val="fr-FR"/>
        </w:rPr>
        <w:t>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i) est</w:t>
      </w:r>
      <w:r>
        <w:rPr>
          <w:lang w:val="fr-FR"/>
        </w:rPr>
        <w:t xml:space="preserve"> satisfait</w:t>
      </w:r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lastRenderedPageBreak/>
        <w:t>ii)</w:t>
      </w:r>
      <w:r w:rsidRPr="00C62790">
        <w:rPr>
          <w:i/>
        </w:rPr>
        <w:tab/>
        <w:t>Si l</w:t>
      </w:r>
      <w:r>
        <w:rPr>
          <w:i/>
        </w:rPr>
        <w:t>’</w:t>
      </w:r>
      <w:r w:rsidRPr="00C62790">
        <w:rPr>
          <w:i/>
        </w:rPr>
        <w:t>application de la mesure de réglementation finale a effectivement entraîné, ou devrait entraîner, une diminution importante des risques pesant sur la santé des personnes ou sur l</w:t>
      </w:r>
      <w:r>
        <w:rPr>
          <w:i/>
        </w:rPr>
        <w:t>’</w:t>
      </w:r>
      <w:r w:rsidRPr="00C62790">
        <w:rPr>
          <w:i/>
        </w:rPr>
        <w:t>environnement dans la Partie qui a soumis la notification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 xml:space="preserve">La mesure de réglementation finale </w:t>
      </w:r>
      <w:r>
        <w:rPr>
          <w:lang w:val="fr-FR"/>
        </w:rPr>
        <w:t>interdisant l’</w:t>
      </w:r>
      <w:proofErr w:type="spellStart"/>
      <w:r>
        <w:rPr>
          <w:lang w:val="fr-FR"/>
        </w:rPr>
        <w:t>acétochlore</w:t>
      </w:r>
      <w:proofErr w:type="spellEnd"/>
      <w:r>
        <w:rPr>
          <w:lang w:val="fr-FR"/>
        </w:rPr>
        <w:t xml:space="preserve"> </w:t>
      </w:r>
      <w:r w:rsidRPr="00C62790">
        <w:rPr>
          <w:lang w:val="fr-FR"/>
        </w:rPr>
        <w:t>devrait réduire sensiblement la</w:t>
      </w:r>
      <w:r>
        <w:rPr>
          <w:lang w:val="fr-FR"/>
        </w:rPr>
        <w:t> consommation de ce</w:t>
      </w:r>
      <w:r w:rsidRPr="00C62790">
        <w:rPr>
          <w:lang w:val="fr-FR"/>
        </w:rPr>
        <w:t xml:space="preserve"> </w:t>
      </w:r>
      <w:r>
        <w:rPr>
          <w:lang w:val="fr-FR"/>
        </w:rPr>
        <w:t xml:space="preserve">produit </w:t>
      </w:r>
      <w:r w:rsidRPr="00C62790">
        <w:rPr>
          <w:lang w:val="fr-FR"/>
        </w:rPr>
        <w:t xml:space="preserve">chimique </w:t>
      </w:r>
      <w:r>
        <w:rPr>
          <w:lang w:val="fr-FR"/>
        </w:rPr>
        <w:t>et, donc, l</w:t>
      </w:r>
      <w:r w:rsidRPr="00C62790">
        <w:rPr>
          <w:lang w:val="fr-FR"/>
        </w:rPr>
        <w:t xml:space="preserve">es risques </w:t>
      </w:r>
      <w:r>
        <w:rPr>
          <w:lang w:val="fr-FR"/>
        </w:rPr>
        <w:t xml:space="preserve">qu’il présente </w:t>
      </w:r>
      <w:r w:rsidRPr="00C62790">
        <w:rPr>
          <w:lang w:val="fr-FR"/>
        </w:rPr>
        <w:t>pour la santé et l</w:t>
      </w:r>
      <w:r>
        <w:rPr>
          <w:lang w:val="fr-FR"/>
        </w:rPr>
        <w:t>’</w:t>
      </w:r>
      <w:r w:rsidRPr="00C62790">
        <w:rPr>
          <w:lang w:val="fr-FR"/>
        </w:rPr>
        <w:t xml:space="preserve">environnement.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>
        <w:rPr>
          <w:lang w:val="fr-FR"/>
        </w:rPr>
        <w:t>Par conséquent</w:t>
      </w:r>
      <w:r w:rsidRPr="00C62790">
        <w:rPr>
          <w:lang w:val="fr-FR"/>
        </w:rPr>
        <w:t>, le Comité confir</w:t>
      </w:r>
      <w:r>
        <w:rPr>
          <w:lang w:val="fr-FR"/>
        </w:rPr>
        <w:t>me que le critère du paragraphe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ii) est</w:t>
      </w:r>
      <w:r>
        <w:rPr>
          <w:lang w:val="fr-FR"/>
        </w:rPr>
        <w:t xml:space="preserve"> satisfait</w:t>
      </w:r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iii)</w:t>
      </w:r>
      <w:r w:rsidRPr="00C62790">
        <w:rPr>
          <w:i/>
        </w:rPr>
        <w:tab/>
        <w:t>Si les considérations à l</w:t>
      </w:r>
      <w:r>
        <w:rPr>
          <w:i/>
        </w:rPr>
        <w:t>’</w:t>
      </w:r>
      <w:r w:rsidRPr="00C62790">
        <w:rPr>
          <w:i/>
        </w:rPr>
        <w:t>origine de la mesure de réglementation finale valent uniquement pour une zone géographique particulière ou pour d</w:t>
      </w:r>
      <w:r>
        <w:rPr>
          <w:i/>
        </w:rPr>
        <w:t>’</w:t>
      </w:r>
      <w:r w:rsidRPr="00C62790">
        <w:rPr>
          <w:i/>
        </w:rPr>
        <w:t>autres cas précis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indique que d</w:t>
      </w:r>
      <w:r>
        <w:rPr>
          <w:lang w:val="fr-FR"/>
        </w:rPr>
        <w:t>’</w:t>
      </w:r>
      <w:r w:rsidRPr="00C62790">
        <w:rPr>
          <w:lang w:val="fr-FR"/>
        </w:rPr>
        <w:t>autres pays utilisant cette substance pourraient connaître des problèmes de santé et d</w:t>
      </w:r>
      <w:r>
        <w:rPr>
          <w:lang w:val="fr-FR"/>
        </w:rPr>
        <w:t>’</w:t>
      </w:r>
      <w:r w:rsidRPr="00C62790">
        <w:rPr>
          <w:lang w:val="fr-FR"/>
        </w:rPr>
        <w:t>environnement analogues, en particulier les pays en développement (voir le</w:t>
      </w:r>
      <w:r>
        <w:rPr>
          <w:lang w:val="fr-FR"/>
        </w:rPr>
        <w:t> </w:t>
      </w:r>
      <w:r w:rsidRPr="00C62790">
        <w:rPr>
          <w:lang w:val="fr-FR"/>
        </w:rPr>
        <w:t>document UNEP/FAO/RC/CRC.13/3, annexe, partie</w:t>
      </w:r>
      <w:r>
        <w:rPr>
          <w:lang w:val="fr-FR"/>
        </w:rPr>
        <w:t> </w:t>
      </w:r>
      <w:r w:rsidRPr="00C62790">
        <w:rPr>
          <w:lang w:val="fr-FR"/>
        </w:rPr>
        <w:t>B, section</w:t>
      </w:r>
      <w:r>
        <w:rPr>
          <w:lang w:val="fr-FR"/>
        </w:rPr>
        <w:t> </w:t>
      </w:r>
      <w:r w:rsidRPr="00C62790">
        <w:rPr>
          <w:lang w:val="fr-FR"/>
        </w:rPr>
        <w:t>2.5.2).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Par conséquent, le Comité confirme que le critère du paragraphe</w:t>
      </w:r>
      <w:r>
        <w:rPr>
          <w:lang w:val="fr-FR"/>
        </w:rPr>
        <w:t> </w:t>
      </w:r>
      <w:r w:rsidRPr="00C62790">
        <w:rPr>
          <w:lang w:val="fr-FR"/>
        </w:rPr>
        <w:t>c)</w:t>
      </w:r>
      <w:r>
        <w:rPr>
          <w:lang w:val="fr-FR"/>
        </w:rPr>
        <w:t> </w:t>
      </w:r>
      <w:r w:rsidRPr="00C62790">
        <w:rPr>
          <w:lang w:val="fr-FR"/>
        </w:rPr>
        <w:t>iii)</w:t>
      </w:r>
      <w:r>
        <w:rPr>
          <w:lang w:val="fr-FR"/>
        </w:rPr>
        <w:t xml:space="preserve"> est satisfait</w:t>
      </w:r>
      <w:r w:rsidRPr="00C62790">
        <w:rPr>
          <w:lang w:val="fr-FR"/>
        </w:rPr>
        <w:t xml:space="preserve">. </w:t>
      </w:r>
    </w:p>
    <w:p w:rsidR="00172019" w:rsidRPr="00C62790" w:rsidRDefault="00172019" w:rsidP="00172019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spacing w:after="120"/>
        <w:ind w:left="2495" w:hanging="624"/>
        <w:rPr>
          <w:i/>
        </w:rPr>
      </w:pPr>
      <w:r w:rsidRPr="00C62790">
        <w:rPr>
          <w:i/>
        </w:rPr>
        <w:t>iv)</w:t>
      </w:r>
      <w:r w:rsidRPr="00C62790">
        <w:rPr>
          <w:i/>
        </w:rPr>
        <w:tab/>
        <w:t>S</w:t>
      </w:r>
      <w:r>
        <w:rPr>
          <w:i/>
        </w:rPr>
        <w:t>’</w:t>
      </w:r>
      <w:r w:rsidRPr="00C62790">
        <w:rPr>
          <w:i/>
        </w:rPr>
        <w:t>il est prouvé que le produit chimique considéré fait l</w:t>
      </w:r>
      <w:r>
        <w:rPr>
          <w:i/>
        </w:rPr>
        <w:t>’</w:t>
      </w:r>
      <w:r w:rsidRPr="00C62790">
        <w:rPr>
          <w:i/>
        </w:rPr>
        <w:t>objet d</w:t>
      </w:r>
      <w:r>
        <w:rPr>
          <w:i/>
        </w:rPr>
        <w:t>’</w:t>
      </w:r>
      <w:r w:rsidRPr="00C62790">
        <w:rPr>
          <w:i/>
        </w:rPr>
        <w:t>échanges commerciaux internationaux</w:t>
      </w:r>
      <w:r>
        <w:rPr>
          <w:i/>
        </w:rPr>
        <w:t> </w:t>
      </w:r>
      <w:r w:rsidRPr="00C62790">
        <w:rPr>
          <w:i/>
        </w:rPr>
        <w:t xml:space="preserve">;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La notification de l</w:t>
      </w:r>
      <w:r>
        <w:rPr>
          <w:lang w:val="fr-FR"/>
        </w:rPr>
        <w:t>’</w:t>
      </w:r>
      <w:r w:rsidRPr="00C62790">
        <w:rPr>
          <w:lang w:val="fr-FR"/>
        </w:rPr>
        <w:t>Union européenne ne donne aucune information sur les quantités estimatives d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produites, importées, exportées et utilisées.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Toutefois, les informations rassemblées par le Secrétariat montrent que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continue de faire l</w:t>
      </w:r>
      <w:r>
        <w:rPr>
          <w:lang w:val="fr-FR"/>
        </w:rPr>
        <w:t>’</w:t>
      </w:r>
      <w:r w:rsidRPr="00C62790">
        <w:rPr>
          <w:lang w:val="fr-FR"/>
        </w:rPr>
        <w:t>objet d</w:t>
      </w:r>
      <w:r>
        <w:rPr>
          <w:lang w:val="fr-FR"/>
        </w:rPr>
        <w:t>’</w:t>
      </w:r>
      <w:r w:rsidRPr="00C62790">
        <w:rPr>
          <w:lang w:val="fr-FR"/>
        </w:rPr>
        <w:t>un commerce international (voir le document UNEP/FAO/RC/CRC.13/INF/5).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Par conséquent, le Comité confirme que le critère</w:t>
      </w:r>
      <w:r>
        <w:rPr>
          <w:lang w:val="fr-FR"/>
        </w:rPr>
        <w:t xml:space="preserve"> du paragraphe c) iv) est satisfait</w:t>
      </w:r>
      <w:r w:rsidRPr="00C62790">
        <w:rPr>
          <w:lang w:val="fr-FR"/>
        </w:rPr>
        <w:t>.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</w:r>
      <w:r>
        <w:rPr>
          <w:lang w:val="fr-FR"/>
        </w:rPr>
        <w:t>e)</w:t>
      </w:r>
      <w:r>
        <w:rPr>
          <w:lang w:val="fr-FR"/>
        </w:rPr>
        <w:tab/>
        <w:t>Critère du paragraphe </w:t>
      </w:r>
      <w:r w:rsidRPr="00C62790">
        <w:rPr>
          <w:lang w:val="fr-FR"/>
        </w:rPr>
        <w:t>d)</w:t>
      </w:r>
      <w:r>
        <w:rPr>
          <w:lang w:val="fr-FR"/>
        </w:rPr>
        <w:t xml:space="preserve"> de l’Annexe </w:t>
      </w:r>
      <w:r w:rsidRPr="00C62790">
        <w:rPr>
          <w:lang w:val="fr-FR"/>
        </w:rPr>
        <w:t>II</w:t>
      </w:r>
    </w:p>
    <w:p w:rsidR="00172019" w:rsidRPr="00C62790" w:rsidRDefault="00172019" w:rsidP="00172019">
      <w:pPr>
        <w:keepNext/>
        <w:keepLines/>
        <w:widowControl w:val="0"/>
        <w:tabs>
          <w:tab w:val="left" w:pos="624"/>
          <w:tab w:val="left" w:pos="2520"/>
        </w:tabs>
        <w:snapToGrid w:val="0"/>
        <w:spacing w:after="120"/>
        <w:ind w:left="1247" w:firstLine="624"/>
        <w:rPr>
          <w:i/>
        </w:rPr>
      </w:pPr>
      <w:r w:rsidRPr="00C62790">
        <w:rPr>
          <w:i/>
        </w:rPr>
        <w:t>d)</w:t>
      </w:r>
      <w:r w:rsidRPr="00C62790">
        <w:rPr>
          <w:i/>
        </w:rPr>
        <w:tab/>
        <w:t>Tient compte du fait qu</w:t>
      </w:r>
      <w:r>
        <w:rPr>
          <w:i/>
        </w:rPr>
        <w:t>’</w:t>
      </w:r>
      <w:r w:rsidRPr="00C62790">
        <w:rPr>
          <w:i/>
        </w:rPr>
        <w:t>un abus intentionnel ne constitue pas en soi une raison suffisante pour inscrire</w:t>
      </w:r>
      <w:r>
        <w:rPr>
          <w:i/>
        </w:rPr>
        <w:t xml:space="preserve"> un produit chimique à l’Annexe </w:t>
      </w:r>
      <w:r w:rsidRPr="00C62790">
        <w:rPr>
          <w:i/>
        </w:rPr>
        <w:t xml:space="preserve">III.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Aucun élément de la notification n</w:t>
      </w:r>
      <w:r>
        <w:rPr>
          <w:lang w:val="fr-FR"/>
        </w:rPr>
        <w:t>’</w:t>
      </w:r>
      <w:r w:rsidRPr="00C62790">
        <w:rPr>
          <w:lang w:val="fr-FR"/>
        </w:rPr>
        <w:t>indique que la mesure de réglementation a été motivée par</w:t>
      </w:r>
      <w:r>
        <w:rPr>
          <w:lang w:val="fr-FR"/>
        </w:rPr>
        <w:t xml:space="preserve"> des préoccupations concernant un abus intentionnel.</w:t>
      </w:r>
      <w:r w:rsidRPr="00C62790">
        <w:rPr>
          <w:snapToGrid w:val="0"/>
          <w:lang w:val="fr-FR"/>
        </w:rPr>
        <w:t xml:space="preserve"> 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snapToGrid w:val="0"/>
          <w:lang w:val="fr-FR"/>
        </w:rPr>
      </w:pPr>
      <w:r>
        <w:rPr>
          <w:lang w:val="fr-FR"/>
        </w:rPr>
        <w:t>Par conséquent,</w:t>
      </w:r>
      <w:r w:rsidRPr="00C62790">
        <w:rPr>
          <w:lang w:val="fr-FR"/>
        </w:rPr>
        <w:t xml:space="preserve"> le Comité confirme que le critère du </w:t>
      </w:r>
      <w:r>
        <w:rPr>
          <w:snapToGrid w:val="0"/>
          <w:lang w:val="fr-FR"/>
        </w:rPr>
        <w:t>paragraphe </w:t>
      </w:r>
      <w:r w:rsidRPr="00C62790">
        <w:rPr>
          <w:snapToGrid w:val="0"/>
          <w:lang w:val="fr-FR"/>
        </w:rPr>
        <w:t xml:space="preserve">d) est </w:t>
      </w:r>
      <w:r>
        <w:rPr>
          <w:snapToGrid w:val="0"/>
          <w:lang w:val="fr-FR"/>
        </w:rPr>
        <w:t>satisfait</w:t>
      </w:r>
      <w:r w:rsidRPr="00C62790">
        <w:rPr>
          <w:snapToGrid w:val="0"/>
          <w:lang w:val="fr-FR"/>
        </w:rPr>
        <w:t xml:space="preserve">. </w:t>
      </w:r>
    </w:p>
    <w:p w:rsidR="00172019" w:rsidRPr="00C62790" w:rsidRDefault="00172019" w:rsidP="00172019">
      <w:pPr>
        <w:pStyle w:val="CH3"/>
        <w:rPr>
          <w:lang w:val="fr-FR"/>
        </w:rPr>
      </w:pPr>
      <w:r w:rsidRPr="00C62790">
        <w:rPr>
          <w:lang w:val="fr-FR"/>
        </w:rPr>
        <w:tab/>
        <w:t>f)</w:t>
      </w:r>
      <w:r w:rsidRPr="00C62790">
        <w:rPr>
          <w:lang w:val="fr-FR"/>
        </w:rPr>
        <w:tab/>
        <w:t>Conclusion</w:t>
      </w:r>
    </w:p>
    <w:p w:rsidR="00172019" w:rsidRPr="00C62790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conclut que la notification de mesure de réglementation finale de l</w:t>
      </w:r>
      <w:r>
        <w:rPr>
          <w:lang w:val="fr-FR"/>
        </w:rPr>
        <w:t>’</w:t>
      </w:r>
      <w:r w:rsidRPr="00C62790">
        <w:rPr>
          <w:lang w:val="fr-FR"/>
        </w:rPr>
        <w:t>Union</w:t>
      </w:r>
      <w:r>
        <w:rPr>
          <w:lang w:val="fr-FR"/>
        </w:rPr>
        <w:t> </w:t>
      </w:r>
      <w:r w:rsidRPr="00C62790">
        <w:rPr>
          <w:lang w:val="fr-FR"/>
        </w:rPr>
        <w:t>européenne répond aux critères énoncés dans l</w:t>
      </w:r>
      <w:r>
        <w:rPr>
          <w:lang w:val="fr-FR"/>
        </w:rPr>
        <w:t>’Annexe </w:t>
      </w:r>
      <w:r w:rsidRPr="00C62790">
        <w:rPr>
          <w:lang w:val="fr-FR"/>
        </w:rPr>
        <w:t xml:space="preserve">II </w:t>
      </w:r>
      <w:r>
        <w:rPr>
          <w:lang w:val="fr-FR"/>
        </w:rPr>
        <w:t>de</w:t>
      </w:r>
      <w:r w:rsidRPr="00C62790">
        <w:rPr>
          <w:lang w:val="fr-FR"/>
        </w:rPr>
        <w:t xml:space="preserve"> la Convention.</w:t>
      </w:r>
    </w:p>
    <w:p w:rsidR="00172019" w:rsidRPr="00C62790" w:rsidRDefault="00172019" w:rsidP="00172019">
      <w:pPr>
        <w:pStyle w:val="CH2"/>
        <w:rPr>
          <w:lang w:val="fr-FR"/>
        </w:rPr>
      </w:pPr>
      <w:r w:rsidRPr="00C62790">
        <w:rPr>
          <w:lang w:val="fr-FR"/>
        </w:rPr>
        <w:tab/>
      </w:r>
      <w:r w:rsidRPr="00C62790">
        <w:rPr>
          <w:lang w:val="fr-FR"/>
        </w:rPr>
        <w:tab/>
        <w:t>Conclusion</w:t>
      </w:r>
    </w:p>
    <w:p w:rsidR="004B0315" w:rsidRPr="00172019" w:rsidRDefault="00172019" w:rsidP="00172019">
      <w:pPr>
        <w:pStyle w:val="Normalnumber"/>
        <w:numPr>
          <w:ilvl w:val="0"/>
          <w:numId w:val="4"/>
        </w:numPr>
        <w:tabs>
          <w:tab w:val="num" w:pos="624"/>
        </w:tabs>
        <w:ind w:left="1247" w:firstLine="0"/>
        <w:rPr>
          <w:lang w:val="fr-FR"/>
        </w:rPr>
      </w:pPr>
      <w:r w:rsidRPr="00C62790">
        <w:rPr>
          <w:lang w:val="fr-FR"/>
        </w:rPr>
        <w:t>Le Comité conclut que les notifications de m</w:t>
      </w:r>
      <w:r>
        <w:rPr>
          <w:lang w:val="fr-FR"/>
        </w:rPr>
        <w:t xml:space="preserve">esure de réglementation finale soumises par le Burkina Faso, le </w:t>
      </w:r>
      <w:proofErr w:type="spellStart"/>
      <w:r>
        <w:rPr>
          <w:lang w:val="fr-FR"/>
        </w:rPr>
        <w:t>Cabo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Verde</w:t>
      </w:r>
      <w:proofErr w:type="spellEnd"/>
      <w:r>
        <w:rPr>
          <w:lang w:val="fr-FR"/>
        </w:rPr>
        <w:t>, la Gambie, la Guinée-Bissau, le Mali, la Mauritanie, le Niger, le Sénégal, le Tchad et le</w:t>
      </w:r>
      <w:r w:rsidRPr="00C62790">
        <w:rPr>
          <w:lang w:val="fr-FR"/>
        </w:rPr>
        <w:t xml:space="preserve"> Togo répondent aux</w:t>
      </w:r>
      <w:r>
        <w:rPr>
          <w:lang w:val="fr-FR"/>
        </w:rPr>
        <w:t xml:space="preserve"> critères énoncés dans l’Annexe </w:t>
      </w:r>
      <w:r w:rsidRPr="00C62790">
        <w:rPr>
          <w:lang w:val="fr-FR"/>
        </w:rPr>
        <w:t>II. Le Comité conclut également que la mesure de réglementation finale prise par ces Parties fournit des preuves suffisantes pour justifier l</w:t>
      </w:r>
      <w:r>
        <w:rPr>
          <w:lang w:val="fr-FR"/>
        </w:rPr>
        <w:t>’</w:t>
      </w:r>
      <w:r w:rsidRPr="00C62790">
        <w:rPr>
          <w:lang w:val="fr-FR"/>
        </w:rPr>
        <w:t>inscription de l</w:t>
      </w:r>
      <w:r>
        <w:rPr>
          <w:lang w:val="fr-FR"/>
        </w:rPr>
        <w:t>’</w:t>
      </w:r>
      <w:proofErr w:type="spellStart"/>
      <w:r w:rsidRPr="00C62790">
        <w:rPr>
          <w:lang w:val="fr-FR"/>
        </w:rPr>
        <w:t>acétochlore</w:t>
      </w:r>
      <w:proofErr w:type="spellEnd"/>
      <w:r w:rsidRPr="00C62790">
        <w:rPr>
          <w:lang w:val="fr-FR"/>
        </w:rPr>
        <w:t xml:space="preserve"> à l</w:t>
      </w:r>
      <w:r>
        <w:rPr>
          <w:lang w:val="fr-FR"/>
        </w:rPr>
        <w:t>’</w:t>
      </w:r>
      <w:r w:rsidRPr="00C62790">
        <w:rPr>
          <w:lang w:val="fr-FR"/>
        </w:rPr>
        <w:t>Annexe</w:t>
      </w:r>
      <w:r>
        <w:rPr>
          <w:lang w:val="fr-FR"/>
        </w:rPr>
        <w:t> </w:t>
      </w:r>
      <w:r w:rsidRPr="00C62790">
        <w:rPr>
          <w:lang w:val="fr-FR"/>
        </w:rPr>
        <w:t>III de la Convention de Rotterdam dans la catégorie des pesticides et l</w:t>
      </w:r>
      <w:r>
        <w:rPr>
          <w:lang w:val="fr-FR"/>
        </w:rPr>
        <w:t>’</w:t>
      </w:r>
      <w:r w:rsidRPr="00C62790">
        <w:rPr>
          <w:lang w:val="fr-FR"/>
        </w:rPr>
        <w:t>adoption d</w:t>
      </w:r>
      <w:r>
        <w:rPr>
          <w:lang w:val="fr-FR"/>
        </w:rPr>
        <w:t>’</w:t>
      </w:r>
      <w:r w:rsidRPr="00C62790">
        <w:rPr>
          <w:lang w:val="fr-FR"/>
        </w:rPr>
        <w:t>une décision demandant l</w:t>
      </w:r>
      <w:r>
        <w:rPr>
          <w:lang w:val="fr-FR"/>
        </w:rPr>
        <w:t>’</w:t>
      </w:r>
      <w:r w:rsidRPr="00C62790">
        <w:rPr>
          <w:lang w:val="fr-FR"/>
        </w:rPr>
        <w:t>élaboration d</w:t>
      </w:r>
      <w:r>
        <w:rPr>
          <w:lang w:val="fr-FR"/>
        </w:rPr>
        <w:t>’</w:t>
      </w:r>
      <w:r w:rsidRPr="00C62790">
        <w:rPr>
          <w:lang w:val="fr-FR"/>
        </w:rPr>
        <w:t>un document d</w:t>
      </w:r>
      <w:r>
        <w:rPr>
          <w:lang w:val="fr-FR"/>
        </w:rPr>
        <w:t>’</w:t>
      </w:r>
      <w:r w:rsidRPr="00C62790">
        <w:rPr>
          <w:lang w:val="fr-FR"/>
        </w:rPr>
        <w:t xml:space="preserve">orientation des décisions </w:t>
      </w:r>
      <w:r>
        <w:rPr>
          <w:lang w:val="fr-FR"/>
        </w:rPr>
        <w:t xml:space="preserve">s’appuyant sur </w:t>
      </w:r>
      <w:r w:rsidRPr="00C62790">
        <w:rPr>
          <w:lang w:val="fr-FR"/>
        </w:rPr>
        <w:t>ces notifications.</w:t>
      </w:r>
    </w:p>
    <w:sectPr w:rsidR="004B0315" w:rsidRPr="00172019" w:rsidSect="004B03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67F" w:rsidRDefault="00CC567F" w:rsidP="00172019">
      <w:r>
        <w:separator/>
      </w:r>
    </w:p>
  </w:endnote>
  <w:endnote w:type="continuationSeparator" w:id="0">
    <w:p w:rsidR="00CC567F" w:rsidRDefault="00CC567F" w:rsidP="001720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67F" w:rsidRDefault="00CC567F" w:rsidP="00172019">
      <w:r>
        <w:separator/>
      </w:r>
    </w:p>
  </w:footnote>
  <w:footnote w:type="continuationSeparator" w:id="0">
    <w:p w:rsidR="00CC567F" w:rsidRDefault="00CC567F" w:rsidP="00172019">
      <w:r>
        <w:continuationSeparator/>
      </w:r>
    </w:p>
  </w:footnote>
  <w:footnote w:id="1">
    <w:p w:rsidR="00172019" w:rsidRPr="00515266" w:rsidRDefault="00172019" w:rsidP="00172019">
      <w:pPr>
        <w:pStyle w:val="FootnoteText"/>
      </w:pPr>
      <w:r>
        <w:rPr>
          <w:rStyle w:val="FootnoteReference"/>
        </w:rPr>
        <w:footnoteRef/>
      </w:r>
      <w:r w:rsidRPr="00515266">
        <w:t xml:space="preserve"> </w:t>
      </w:r>
      <w:r w:rsidRPr="0038009F">
        <w:t>Voir le document</w:t>
      </w:r>
      <w:r w:rsidRPr="00515266">
        <w:t xml:space="preserve"> UNEP/FAO/RC/CRC.13/3.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C47BB"/>
    <w:multiLevelType w:val="hybridMultilevel"/>
    <w:tmpl w:val="DDB8842E"/>
    <w:lvl w:ilvl="0" w:tplc="36D60914">
      <w:start w:val="1"/>
      <w:numFmt w:val="lowerLetter"/>
      <w:lvlText w:val="%1)"/>
      <w:lvlJc w:val="left"/>
      <w:pPr>
        <w:ind w:left="2579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3299" w:hanging="360"/>
      </w:pPr>
    </w:lvl>
    <w:lvl w:ilvl="2" w:tplc="0409001B" w:tentative="1">
      <w:start w:val="1"/>
      <w:numFmt w:val="lowerRoman"/>
      <w:lvlText w:val="%3."/>
      <w:lvlJc w:val="right"/>
      <w:pPr>
        <w:ind w:left="4019" w:hanging="180"/>
      </w:pPr>
    </w:lvl>
    <w:lvl w:ilvl="3" w:tplc="0409000F" w:tentative="1">
      <w:start w:val="1"/>
      <w:numFmt w:val="decimal"/>
      <w:lvlText w:val="%4."/>
      <w:lvlJc w:val="left"/>
      <w:pPr>
        <w:ind w:left="4739" w:hanging="360"/>
      </w:pPr>
    </w:lvl>
    <w:lvl w:ilvl="4" w:tplc="04090019" w:tentative="1">
      <w:start w:val="1"/>
      <w:numFmt w:val="lowerLetter"/>
      <w:lvlText w:val="%5."/>
      <w:lvlJc w:val="left"/>
      <w:pPr>
        <w:ind w:left="5459" w:hanging="360"/>
      </w:pPr>
    </w:lvl>
    <w:lvl w:ilvl="5" w:tplc="0409001B" w:tentative="1">
      <w:start w:val="1"/>
      <w:numFmt w:val="lowerRoman"/>
      <w:lvlText w:val="%6."/>
      <w:lvlJc w:val="right"/>
      <w:pPr>
        <w:ind w:left="6179" w:hanging="180"/>
      </w:pPr>
    </w:lvl>
    <w:lvl w:ilvl="6" w:tplc="0409000F" w:tentative="1">
      <w:start w:val="1"/>
      <w:numFmt w:val="decimal"/>
      <w:lvlText w:val="%7."/>
      <w:lvlJc w:val="left"/>
      <w:pPr>
        <w:ind w:left="6899" w:hanging="360"/>
      </w:pPr>
    </w:lvl>
    <w:lvl w:ilvl="7" w:tplc="04090019" w:tentative="1">
      <w:start w:val="1"/>
      <w:numFmt w:val="lowerLetter"/>
      <w:lvlText w:val="%8."/>
      <w:lvlJc w:val="left"/>
      <w:pPr>
        <w:ind w:left="7619" w:hanging="360"/>
      </w:pPr>
    </w:lvl>
    <w:lvl w:ilvl="8" w:tplc="0409001B" w:tentative="1">
      <w:start w:val="1"/>
      <w:numFmt w:val="lowerRoman"/>
      <w:lvlText w:val="%9."/>
      <w:lvlJc w:val="right"/>
      <w:pPr>
        <w:ind w:left="8339" w:hanging="180"/>
      </w:pPr>
    </w:lvl>
  </w:abstractNum>
  <w:abstractNum w:abstractNumId="1">
    <w:nsid w:val="10FA7BEB"/>
    <w:multiLevelType w:val="hybridMultilevel"/>
    <w:tmpl w:val="3F7A7DFC"/>
    <w:lvl w:ilvl="0" w:tplc="7F78959C">
      <w:start w:val="3"/>
      <w:numFmt w:val="decimal"/>
      <w:lvlText w:val="%1."/>
      <w:lvlJc w:val="left"/>
      <w:pPr>
        <w:ind w:left="1710" w:hanging="360"/>
      </w:pPr>
      <w:rPr>
        <w:rFonts w:hint="default"/>
        <w:b w:val="0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706"/>
        </w:tabs>
        <w:ind w:left="3087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685449A"/>
    <w:multiLevelType w:val="hybridMultilevel"/>
    <w:tmpl w:val="2554937A"/>
    <w:lvl w:ilvl="0" w:tplc="0413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704" w:hanging="360"/>
      </w:pPr>
    </w:lvl>
    <w:lvl w:ilvl="2" w:tplc="0413001B" w:tentative="1">
      <w:start w:val="1"/>
      <w:numFmt w:val="lowerRoman"/>
      <w:lvlText w:val="%3."/>
      <w:lvlJc w:val="right"/>
      <w:pPr>
        <w:ind w:left="2424" w:hanging="180"/>
      </w:pPr>
    </w:lvl>
    <w:lvl w:ilvl="3" w:tplc="0413000F" w:tentative="1">
      <w:start w:val="1"/>
      <w:numFmt w:val="decimal"/>
      <w:lvlText w:val="%4."/>
      <w:lvlJc w:val="left"/>
      <w:pPr>
        <w:ind w:left="3144" w:hanging="360"/>
      </w:pPr>
    </w:lvl>
    <w:lvl w:ilvl="4" w:tplc="04130019" w:tentative="1">
      <w:start w:val="1"/>
      <w:numFmt w:val="lowerLetter"/>
      <w:lvlText w:val="%5."/>
      <w:lvlJc w:val="left"/>
      <w:pPr>
        <w:ind w:left="3864" w:hanging="360"/>
      </w:pPr>
    </w:lvl>
    <w:lvl w:ilvl="5" w:tplc="0413001B" w:tentative="1">
      <w:start w:val="1"/>
      <w:numFmt w:val="lowerRoman"/>
      <w:lvlText w:val="%6."/>
      <w:lvlJc w:val="right"/>
      <w:pPr>
        <w:ind w:left="4584" w:hanging="180"/>
      </w:pPr>
    </w:lvl>
    <w:lvl w:ilvl="6" w:tplc="0413000F" w:tentative="1">
      <w:start w:val="1"/>
      <w:numFmt w:val="decimal"/>
      <w:lvlText w:val="%7."/>
      <w:lvlJc w:val="left"/>
      <w:pPr>
        <w:ind w:left="5304" w:hanging="360"/>
      </w:pPr>
    </w:lvl>
    <w:lvl w:ilvl="7" w:tplc="04130019" w:tentative="1">
      <w:start w:val="1"/>
      <w:numFmt w:val="lowerLetter"/>
      <w:lvlText w:val="%8."/>
      <w:lvlJc w:val="left"/>
      <w:pPr>
        <w:ind w:left="6024" w:hanging="360"/>
      </w:pPr>
    </w:lvl>
    <w:lvl w:ilvl="8" w:tplc="0413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6">
    <w:nsid w:val="4E611374"/>
    <w:multiLevelType w:val="hybridMultilevel"/>
    <w:tmpl w:val="DA80FD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8">
    <w:nsid w:val="620C4041"/>
    <w:multiLevelType w:val="hybridMultilevel"/>
    <w:tmpl w:val="5ACE28C8"/>
    <w:lvl w:ilvl="0" w:tplc="CEE476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8090019">
      <w:start w:val="1"/>
      <w:numFmt w:val="lowerLetter"/>
      <w:lvlText w:val="%2."/>
      <w:lvlJc w:val="left"/>
      <w:pPr>
        <w:ind w:left="167" w:hanging="360"/>
      </w:pPr>
    </w:lvl>
    <w:lvl w:ilvl="2" w:tplc="0809001B" w:tentative="1">
      <w:start w:val="1"/>
      <w:numFmt w:val="lowerRoman"/>
      <w:lvlText w:val="%3."/>
      <w:lvlJc w:val="right"/>
      <w:pPr>
        <w:ind w:left="887" w:hanging="180"/>
      </w:pPr>
    </w:lvl>
    <w:lvl w:ilvl="3" w:tplc="0809000F" w:tentative="1">
      <w:start w:val="1"/>
      <w:numFmt w:val="decimal"/>
      <w:lvlText w:val="%4."/>
      <w:lvlJc w:val="left"/>
      <w:pPr>
        <w:ind w:left="1607" w:hanging="360"/>
      </w:pPr>
    </w:lvl>
    <w:lvl w:ilvl="4" w:tplc="08090019" w:tentative="1">
      <w:start w:val="1"/>
      <w:numFmt w:val="lowerLetter"/>
      <w:lvlText w:val="%5."/>
      <w:lvlJc w:val="left"/>
      <w:pPr>
        <w:ind w:left="2327" w:hanging="360"/>
      </w:pPr>
    </w:lvl>
    <w:lvl w:ilvl="5" w:tplc="0809001B" w:tentative="1">
      <w:start w:val="1"/>
      <w:numFmt w:val="lowerRoman"/>
      <w:lvlText w:val="%6."/>
      <w:lvlJc w:val="right"/>
      <w:pPr>
        <w:ind w:left="3047" w:hanging="180"/>
      </w:pPr>
    </w:lvl>
    <w:lvl w:ilvl="6" w:tplc="0809000F" w:tentative="1">
      <w:start w:val="1"/>
      <w:numFmt w:val="decimal"/>
      <w:lvlText w:val="%7."/>
      <w:lvlJc w:val="left"/>
      <w:pPr>
        <w:ind w:left="3767" w:hanging="360"/>
      </w:pPr>
    </w:lvl>
    <w:lvl w:ilvl="7" w:tplc="08090019" w:tentative="1">
      <w:start w:val="1"/>
      <w:numFmt w:val="lowerLetter"/>
      <w:lvlText w:val="%8."/>
      <w:lvlJc w:val="left"/>
      <w:pPr>
        <w:ind w:left="4487" w:hanging="360"/>
      </w:pPr>
    </w:lvl>
    <w:lvl w:ilvl="8" w:tplc="0809001B" w:tentative="1">
      <w:start w:val="1"/>
      <w:numFmt w:val="lowerRoman"/>
      <w:lvlText w:val="%9."/>
      <w:lvlJc w:val="right"/>
      <w:pPr>
        <w:ind w:left="5207" w:hanging="180"/>
      </w:pPr>
    </w:lvl>
  </w:abstractNum>
  <w:abstractNum w:abstractNumId="9">
    <w:nsid w:val="62291BF8"/>
    <w:multiLevelType w:val="multilevel"/>
    <w:tmpl w:val="F4ACF36E"/>
    <w:numStyleLink w:val="Normallist"/>
  </w:abstractNum>
  <w:abstractNum w:abstractNumId="10">
    <w:nsid w:val="644572AE"/>
    <w:multiLevelType w:val="hybridMultilevel"/>
    <w:tmpl w:val="9894F196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090019" w:tentative="1">
      <w:start w:val="1"/>
      <w:numFmt w:val="lowerLetter"/>
      <w:lvlText w:val="%2."/>
      <w:lvlJc w:val="left"/>
      <w:pPr>
        <w:ind w:left="2687" w:hanging="360"/>
      </w:p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1">
    <w:nsid w:val="73875614"/>
    <w:multiLevelType w:val="hybridMultilevel"/>
    <w:tmpl w:val="04C0A01C"/>
    <w:lvl w:ilvl="0" w:tplc="E8E2A658">
      <w:start w:val="1"/>
      <w:numFmt w:val="decimal"/>
      <w:lvlText w:val="%1."/>
      <w:lvlJc w:val="left"/>
      <w:pPr>
        <w:ind w:left="3150" w:hanging="360"/>
      </w:pPr>
      <w:rPr>
        <w:b w:val="0"/>
        <w:lang w:val="fr-FR"/>
      </w:rPr>
    </w:lvl>
    <w:lvl w:ilvl="1" w:tplc="08090019">
      <w:start w:val="1"/>
      <w:numFmt w:val="lowerLetter"/>
      <w:lvlText w:val="%2."/>
      <w:lvlJc w:val="left"/>
      <w:pPr>
        <w:ind w:left="1054" w:hanging="360"/>
      </w:pPr>
    </w:lvl>
    <w:lvl w:ilvl="2" w:tplc="0809001B" w:tentative="1">
      <w:start w:val="1"/>
      <w:numFmt w:val="lowerRoman"/>
      <w:lvlText w:val="%3."/>
      <w:lvlJc w:val="right"/>
      <w:pPr>
        <w:ind w:left="1774" w:hanging="180"/>
      </w:pPr>
    </w:lvl>
    <w:lvl w:ilvl="3" w:tplc="0809000F" w:tentative="1">
      <w:start w:val="1"/>
      <w:numFmt w:val="decimal"/>
      <w:lvlText w:val="%4."/>
      <w:lvlJc w:val="left"/>
      <w:pPr>
        <w:ind w:left="2494" w:hanging="360"/>
      </w:pPr>
    </w:lvl>
    <w:lvl w:ilvl="4" w:tplc="08090019" w:tentative="1">
      <w:start w:val="1"/>
      <w:numFmt w:val="lowerLetter"/>
      <w:lvlText w:val="%5."/>
      <w:lvlJc w:val="left"/>
      <w:pPr>
        <w:ind w:left="3214" w:hanging="360"/>
      </w:pPr>
    </w:lvl>
    <w:lvl w:ilvl="5" w:tplc="0809001B" w:tentative="1">
      <w:start w:val="1"/>
      <w:numFmt w:val="lowerRoman"/>
      <w:lvlText w:val="%6."/>
      <w:lvlJc w:val="right"/>
      <w:pPr>
        <w:ind w:left="3934" w:hanging="180"/>
      </w:pPr>
    </w:lvl>
    <w:lvl w:ilvl="6" w:tplc="0809000F" w:tentative="1">
      <w:start w:val="1"/>
      <w:numFmt w:val="decimal"/>
      <w:lvlText w:val="%7."/>
      <w:lvlJc w:val="left"/>
      <w:pPr>
        <w:ind w:left="4654" w:hanging="360"/>
      </w:pPr>
    </w:lvl>
    <w:lvl w:ilvl="7" w:tplc="08090019" w:tentative="1">
      <w:start w:val="1"/>
      <w:numFmt w:val="lowerLetter"/>
      <w:lvlText w:val="%8."/>
      <w:lvlJc w:val="left"/>
      <w:pPr>
        <w:ind w:left="5374" w:hanging="360"/>
      </w:pPr>
    </w:lvl>
    <w:lvl w:ilvl="8" w:tplc="0809001B" w:tentative="1">
      <w:start w:val="1"/>
      <w:numFmt w:val="lowerRoman"/>
      <w:lvlText w:val="%9."/>
      <w:lvlJc w:val="right"/>
      <w:pPr>
        <w:ind w:left="6094" w:hanging="18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0"/>
  </w:num>
  <w:num w:numId="8">
    <w:abstractNumId w:val="10"/>
  </w:num>
  <w:num w:numId="9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0">
    <w:abstractNumId w:val="7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11">
    <w:abstractNumId w:val="3"/>
  </w:num>
  <w:num w:numId="12">
    <w:abstractNumId w:val="4"/>
  </w:num>
  <w:num w:numId="13">
    <w:abstractNumId w:val="7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019"/>
    <w:rsid w:val="00172019"/>
    <w:rsid w:val="004552A7"/>
    <w:rsid w:val="004B0315"/>
    <w:rsid w:val="00CC5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01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172019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172019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172019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172019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172019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172019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172019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172019"/>
    <w:pPr>
      <w:keepNext/>
      <w:widowControl w:val="0"/>
      <w:numPr>
        <w:numId w:val="1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172019"/>
    <w:pPr>
      <w:keepNext/>
      <w:widowControl w:val="0"/>
      <w:numPr>
        <w:numId w:val="1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2019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172019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172019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172019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172019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172019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172019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172019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172019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styleId="PageNumber">
    <w:name w:val="page number"/>
    <w:semiHidden/>
    <w:rsid w:val="00172019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172019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172019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pool"/>
    <w:next w:val="CH2"/>
    <w:rsid w:val="00172019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172019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pool"/>
    <w:next w:val="Normalnumber"/>
    <w:rsid w:val="0017201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pool"/>
    <w:next w:val="Normalnumber"/>
    <w:rsid w:val="0017201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72019"/>
    <w:pPr>
      <w:spacing w:after="0" w:line="240" w:lineRule="auto"/>
    </w:pPr>
    <w:rPr>
      <w:rFonts w:ascii="Arial" w:eastAsia="Times New Roman" w:hAnsi="Arial" w:cs="Times New Roman"/>
      <w:sz w:val="16"/>
      <w:szCs w:val="20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pool"/>
    <w:next w:val="Normalnumber"/>
    <w:rsid w:val="00172019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17201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17201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pool">
    <w:name w:val="Normal_pool"/>
    <w:autoRedefine/>
    <w:semiHidden/>
    <w:rsid w:val="0017201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Footer-pool">
    <w:name w:val="Footer-pool"/>
    <w:basedOn w:val="Normal-pool"/>
    <w:next w:val="Normal-pool"/>
    <w:rsid w:val="0017201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17201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rsid w:val="0017201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character" w:styleId="FootnoteReference">
    <w:name w:val="footnote reference"/>
    <w:rsid w:val="0017201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pool"/>
    <w:link w:val="FootnoteTextChar"/>
    <w:rsid w:val="00172019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172019"/>
    <w:rPr>
      <w:rFonts w:ascii="Times New Roman" w:eastAsia="Times New Roman" w:hAnsi="Times New Roman" w:cs="Times New Roman"/>
      <w:sz w:val="18"/>
      <w:szCs w:val="20"/>
      <w:lang w:val="fr-CA"/>
    </w:rPr>
  </w:style>
  <w:style w:type="table" w:customStyle="1" w:styleId="AATable">
    <w:name w:val="AA_Table"/>
    <w:basedOn w:val="TableNormal"/>
    <w:semiHidden/>
    <w:rsid w:val="0017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Autospacing="0" w:afterLines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Autospacing="0" w:afterLines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Autospacing="0" w:afterLines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Autospacing="0" w:afterLines="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pool"/>
    <w:rsid w:val="00172019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172019"/>
    <w:pPr>
      <w:tabs>
        <w:tab w:val="clear" w:pos="4082"/>
      </w:tabs>
      <w:spacing w:before="120" w:after="120"/>
      <w:ind w:right="4536"/>
    </w:pPr>
  </w:style>
  <w:style w:type="paragraph" w:customStyle="1" w:styleId="BBTitle">
    <w:name w:val="BB_Title"/>
    <w:basedOn w:val="Normalpool"/>
    <w:rsid w:val="00172019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basedOn w:val="Normal"/>
    <w:link w:val="FooterChar"/>
    <w:rsid w:val="00172019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172019"/>
    <w:rPr>
      <w:rFonts w:ascii="Times New Roman" w:eastAsia="Times New Roman" w:hAnsi="Times New Roman" w:cs="Times New Roman"/>
      <w:sz w:val="18"/>
      <w:szCs w:val="20"/>
      <w:lang w:val="fr-FR"/>
    </w:rPr>
  </w:style>
  <w:style w:type="paragraph" w:styleId="Header">
    <w:name w:val="header"/>
    <w:basedOn w:val="Normal"/>
    <w:link w:val="HeaderChar"/>
    <w:rsid w:val="0017201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">
    <w:name w:val="Header Char"/>
    <w:basedOn w:val="DefaultParagraphFont"/>
    <w:link w:val="Header"/>
    <w:rsid w:val="00172019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styleId="Hyperlink">
    <w:name w:val="Hyperlink"/>
    <w:semiHidden/>
    <w:rsid w:val="00172019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172019"/>
    <w:pPr>
      <w:numPr>
        <w:numId w:val="9"/>
      </w:numPr>
    </w:pPr>
  </w:style>
  <w:style w:type="paragraph" w:customStyle="1" w:styleId="NormalNonumber">
    <w:name w:val="Normal_No_number"/>
    <w:basedOn w:val="Normalpool"/>
    <w:rsid w:val="00172019"/>
    <w:pPr>
      <w:spacing w:after="120"/>
      <w:ind w:left="1247"/>
    </w:pPr>
  </w:style>
  <w:style w:type="paragraph" w:customStyle="1" w:styleId="Normalnumber">
    <w:name w:val="Normal_number"/>
    <w:basedOn w:val="Normalpool"/>
    <w:link w:val="NormalnumberChar"/>
    <w:rsid w:val="00172019"/>
    <w:pPr>
      <w:numPr>
        <w:numId w:val="14"/>
      </w:numPr>
      <w:spacing w:after="120"/>
    </w:pPr>
  </w:style>
  <w:style w:type="paragraph" w:customStyle="1" w:styleId="Titletable">
    <w:name w:val="Title_table"/>
    <w:basedOn w:val="Normalpool"/>
    <w:rsid w:val="00172019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pool"/>
    <w:next w:val="Normalpool"/>
    <w:rsid w:val="00172019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172019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172019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172019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172019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pool"/>
    <w:rsid w:val="00172019"/>
    <w:rPr>
      <w:b/>
      <w:bCs/>
      <w:sz w:val="28"/>
      <w:szCs w:val="22"/>
    </w:rPr>
  </w:style>
  <w:style w:type="paragraph" w:customStyle="1" w:styleId="ZZAnxtitle">
    <w:name w:val="ZZ_Anx_title"/>
    <w:basedOn w:val="Normalpool"/>
    <w:link w:val="ZZAnxtitleChar"/>
    <w:rsid w:val="00172019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rsid w:val="001720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72019"/>
  </w:style>
  <w:style w:type="character" w:customStyle="1" w:styleId="CommentTextChar">
    <w:name w:val="Comment Text Char"/>
    <w:basedOn w:val="DefaultParagraphFont"/>
    <w:link w:val="CommentText"/>
    <w:rsid w:val="00172019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1720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72019"/>
    <w:rPr>
      <w:b/>
      <w:bCs/>
    </w:rPr>
  </w:style>
  <w:style w:type="paragraph" w:styleId="Revision">
    <w:name w:val="Revision"/>
    <w:hidden/>
    <w:uiPriority w:val="99"/>
    <w:semiHidden/>
    <w:rsid w:val="0017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1720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72019"/>
    <w:rPr>
      <w:rFonts w:ascii="Tahoma" w:eastAsia="Times New Roman" w:hAnsi="Tahoma" w:cs="Tahoma"/>
      <w:sz w:val="16"/>
      <w:szCs w:val="16"/>
      <w:lang w:val="fr-FR"/>
    </w:rPr>
  </w:style>
  <w:style w:type="table" w:styleId="TableGrid">
    <w:name w:val="Table Grid"/>
    <w:basedOn w:val="TableNormal"/>
    <w:uiPriority w:val="39"/>
    <w:rsid w:val="0017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numberChar">
    <w:name w:val="Normal_number Char"/>
    <w:link w:val="Normalnumber"/>
    <w:locked/>
    <w:rsid w:val="00172019"/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Spacer">
    <w:name w:val="Spacer"/>
    <w:basedOn w:val="Normal"/>
    <w:rsid w:val="0017201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-720"/>
        <w:tab w:val="left" w:pos="0"/>
        <w:tab w:val="left" w:pos="720"/>
      </w:tabs>
      <w:suppressAutoHyphens/>
    </w:pPr>
    <w:rPr>
      <w:sz w:val="10"/>
      <w:szCs w:val="10"/>
    </w:rPr>
  </w:style>
  <w:style w:type="character" w:customStyle="1" w:styleId="CH2Char">
    <w:name w:val="CH2 Char"/>
    <w:link w:val="CH2"/>
    <w:rsid w:val="00172019"/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customStyle="1" w:styleId="StyleParalevel110ptAfter6pt">
    <w:name w:val="Style Para level1 + 10 pt After:  6 pt"/>
    <w:basedOn w:val="Normal"/>
    <w:rsid w:val="00172019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120"/>
      <w:ind w:left="1247"/>
    </w:pPr>
  </w:style>
  <w:style w:type="paragraph" w:styleId="ListParagraph">
    <w:name w:val="List Paragraph"/>
    <w:basedOn w:val="Normal"/>
    <w:uiPriority w:val="34"/>
    <w:qFormat/>
    <w:rsid w:val="00172019"/>
    <w:pPr>
      <w:ind w:left="720"/>
      <w:contextualSpacing/>
    </w:pPr>
  </w:style>
  <w:style w:type="paragraph" w:customStyle="1" w:styleId="Default">
    <w:name w:val="Default"/>
    <w:rsid w:val="00172019"/>
    <w:pPr>
      <w:widowControl w:val="0"/>
      <w:autoSpaceDE w:val="0"/>
      <w:autoSpaceDN w:val="0"/>
      <w:adjustRightInd w:val="0"/>
      <w:spacing w:after="0" w:line="240" w:lineRule="auto"/>
    </w:pPr>
    <w:rPr>
      <w:rFonts w:ascii="Candara" w:eastAsiaTheme="minorEastAsia" w:hAnsi="Candara" w:cs="Candara"/>
      <w:color w:val="000000"/>
      <w:sz w:val="24"/>
      <w:szCs w:val="24"/>
    </w:rPr>
  </w:style>
  <w:style w:type="paragraph" w:customStyle="1" w:styleId="Subtitle">
    <w:name w:val="Sub title"/>
    <w:basedOn w:val="Heading2"/>
    <w:rsid w:val="0017201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before="0" w:after="0"/>
      <w:ind w:firstLine="0"/>
    </w:pPr>
  </w:style>
  <w:style w:type="character" w:customStyle="1" w:styleId="Normal-poolChar">
    <w:name w:val="Normal-pool Char"/>
    <w:link w:val="Normal-pool"/>
    <w:locked/>
    <w:rsid w:val="00172019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ZZAnxtitleChar">
    <w:name w:val="ZZ_Anx_title Char"/>
    <w:link w:val="ZZAnxtitle"/>
    <w:rsid w:val="00172019"/>
    <w:rPr>
      <w:rFonts w:ascii="Times New Roman" w:eastAsia="Times New Roman" w:hAnsi="Times New Roman" w:cs="Times New Roman"/>
      <w:b/>
      <w:bCs/>
      <w:sz w:val="28"/>
      <w:szCs w:val="26"/>
      <w:lang w:val="fr-CA"/>
    </w:rPr>
  </w:style>
  <w:style w:type="paragraph" w:customStyle="1" w:styleId="Paralevel1">
    <w:name w:val="Para level1"/>
    <w:basedOn w:val="Normal"/>
    <w:autoRedefine/>
    <w:rsid w:val="00172019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1800"/>
      </w:tabs>
      <w:spacing w:after="120"/>
      <w:ind w:left="1247"/>
    </w:pPr>
    <w:rPr>
      <w:snapToGrid w:val="0"/>
      <w:lang w:val="en-US"/>
    </w:rPr>
  </w:style>
  <w:style w:type="paragraph" w:customStyle="1" w:styleId="rednialista2akcent21">
    <w:name w:val="Średnia lista 2 — akcent 21"/>
    <w:hidden/>
    <w:uiPriority w:val="99"/>
    <w:semiHidden/>
    <w:rsid w:val="001720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C5FC1-FAF9-4598-9459-C5E15A79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4844</Words>
  <Characters>27612</Characters>
  <Application>Microsoft Office Word</Application>
  <DocSecurity>0</DocSecurity>
  <Lines>230</Lines>
  <Paragraphs>64</Paragraphs>
  <ScaleCrop>false</ScaleCrop>
  <Company>BRS</Company>
  <LinksUpToDate>false</LinksUpToDate>
  <CharactersWithSpaces>32392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2018-02-28T16:36:00Z</dcterms:created>
  <dcterms:modified xsi:type="dcterms:W3CDTF">2018-02-28T16:38:00Z</dcterms:modified>
</cp:coreProperties>
</file>