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96" w:rsidRPr="00D62CF8" w:rsidRDefault="00DC1B96" w:rsidP="00DC1B96">
      <w:pPr>
        <w:tabs>
          <w:tab w:val="left" w:pos="9180"/>
        </w:tabs>
        <w:spacing w:after="120" w:line="400" w:lineRule="exact"/>
        <w:ind w:left="1134"/>
        <w:jc w:val="both"/>
        <w:rPr>
          <w:rFonts w:cs="Traditional Arabic"/>
          <w:bCs/>
          <w:sz w:val="32"/>
          <w:szCs w:val="32"/>
          <w:rtl/>
          <w:lang w:eastAsia="zh-TW"/>
        </w:rPr>
      </w:pPr>
      <w:bookmarkStart w:id="0" w:name="bookmark_416"/>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w:t>
      </w:r>
      <w:r w:rsidRPr="00D62CF8">
        <w:rPr>
          <w:rFonts w:cs="Traditional Arabic"/>
          <w:bCs/>
          <w:sz w:val="32"/>
          <w:szCs w:val="32"/>
          <w:rtl/>
          <w:lang w:eastAsia="zh-TW"/>
        </w:rPr>
        <w:t xml:space="preserve"> -13/3: الميركس</w:t>
      </w:r>
      <w:bookmarkEnd w:id="0"/>
    </w:p>
    <w:p w:rsidR="00DC1B96" w:rsidRPr="00D62CF8" w:rsidRDefault="00DC1B96" w:rsidP="00DC1B96">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iCs/>
          <w:szCs w:val="30"/>
          <w:rtl/>
          <w:lang w:eastAsia="zh-TW"/>
        </w:rPr>
      </w:pPr>
      <w:bookmarkStart w:id="1" w:name="bookmark_417"/>
      <w:r w:rsidRPr="00D62CF8">
        <w:rPr>
          <w:rFonts w:cs="Traditional Arabic"/>
          <w:i/>
          <w:iCs/>
          <w:szCs w:val="30"/>
          <w:rtl/>
          <w:lang w:eastAsia="zh-TW"/>
        </w:rPr>
        <w:t>إن لجنة استعراض المواد الكيميائية،</w:t>
      </w:r>
      <w:bookmarkEnd w:id="1"/>
    </w:p>
    <w:p w:rsidR="00DC1B96" w:rsidRPr="00EF0115" w:rsidRDefault="00DC1B96" w:rsidP="00DC1B96">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bookmarkStart w:id="2" w:name="bookmark_418"/>
      <w:r w:rsidRPr="00D62CF8">
        <w:rPr>
          <w:rFonts w:cs="Traditional Arabic"/>
          <w:i/>
          <w:iCs/>
          <w:szCs w:val="30"/>
          <w:rtl/>
          <w:lang w:eastAsia="zh-TW"/>
        </w:rPr>
        <w:t>إذ تشير</w:t>
      </w:r>
      <w:r w:rsidRPr="00EF0115">
        <w:rPr>
          <w:rFonts w:cs="Traditional Arabic"/>
          <w:szCs w:val="30"/>
          <w:rtl/>
          <w:lang w:eastAsia="zh-TW"/>
        </w:rPr>
        <w:t xml:space="preserve"> إلى المادة 5 من اتفاقية روتردام المتعلقة بتطبيق إجراء الموافقة المسبقة عن علم على مواد كيميائية ومبيدات آفات معينة خطرة متداولة في التجارة الدولية،</w:t>
      </w:r>
      <w:bookmarkEnd w:id="2"/>
    </w:p>
    <w:p w:rsidR="00DC1B96" w:rsidRPr="00EF0115" w:rsidRDefault="00DC1B96" w:rsidP="00DC1B96">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bookmarkStart w:id="3" w:name="bookmark_419"/>
      <w:r w:rsidRPr="00D62CF8">
        <w:rPr>
          <w:rFonts w:cs="Traditional Arabic"/>
          <w:i/>
          <w:iCs/>
          <w:szCs w:val="30"/>
          <w:rtl/>
          <w:lang w:eastAsia="zh-TW"/>
        </w:rPr>
        <w:t>وقد استعرضت</w:t>
      </w:r>
      <w:r w:rsidRPr="00EF0115">
        <w:rPr>
          <w:rFonts w:cs="Traditional Arabic"/>
          <w:szCs w:val="30"/>
          <w:rtl/>
          <w:lang w:eastAsia="zh-TW"/>
        </w:rPr>
        <w:t xml:space="preserve"> الإخطار </w:t>
      </w:r>
      <w:r w:rsidRPr="00EF0115">
        <w:rPr>
          <w:rFonts w:cs="Traditional Arabic" w:hint="cs"/>
          <w:szCs w:val="30"/>
          <w:rtl/>
          <w:lang w:eastAsia="zh-TW"/>
        </w:rPr>
        <w:t>ب</w:t>
      </w:r>
      <w:r w:rsidRPr="00EF0115">
        <w:rPr>
          <w:rFonts w:cs="Traditional Arabic"/>
          <w:szCs w:val="30"/>
          <w:rtl/>
          <w:lang w:eastAsia="zh-TW"/>
        </w:rPr>
        <w:t xml:space="preserve">إجراء تنظيمي نهائي الذي قدمته كولومبيا بشأن الميركس، والإخطار الجديد </w:t>
      </w:r>
      <w:r w:rsidRPr="00EF0115">
        <w:rPr>
          <w:rFonts w:cs="Traditional Arabic" w:hint="cs"/>
          <w:szCs w:val="30"/>
          <w:rtl/>
          <w:lang w:eastAsia="zh-TW"/>
        </w:rPr>
        <w:t>ب</w:t>
      </w:r>
      <w:r w:rsidRPr="00EF0115">
        <w:rPr>
          <w:rFonts w:cs="Traditional Arabic"/>
          <w:szCs w:val="30"/>
          <w:rtl/>
          <w:lang w:eastAsia="zh-TW"/>
        </w:rPr>
        <w:t xml:space="preserve">إجراء تنظيمي نهائي الذي قدمته كندا </w:t>
      </w:r>
      <w:r w:rsidRPr="00EF0115">
        <w:rPr>
          <w:rFonts w:cs="Traditional Arabic" w:hint="cs"/>
          <w:szCs w:val="30"/>
          <w:rtl/>
          <w:lang w:eastAsia="zh-TW"/>
        </w:rPr>
        <w:t>ب</w:t>
      </w:r>
      <w:r w:rsidRPr="00EF0115">
        <w:rPr>
          <w:rFonts w:cs="Traditional Arabic"/>
          <w:szCs w:val="30"/>
          <w:rtl/>
          <w:lang w:eastAsia="zh-TW"/>
        </w:rPr>
        <w:t xml:space="preserve">شأن الميركس، للحلول </w:t>
      </w:r>
      <w:r w:rsidRPr="00EF0115">
        <w:rPr>
          <w:rFonts w:cs="Traditional Arabic" w:hint="cs"/>
          <w:szCs w:val="30"/>
          <w:rtl/>
          <w:lang w:eastAsia="zh-TW"/>
        </w:rPr>
        <w:t>م</w:t>
      </w:r>
      <w:r w:rsidRPr="00EF0115">
        <w:rPr>
          <w:rFonts w:cs="Traditional Arabic"/>
          <w:szCs w:val="30"/>
          <w:rtl/>
          <w:lang w:eastAsia="zh-TW"/>
        </w:rPr>
        <w:t>حل الإخطار السابق الوارد من ذلك الطرف</w:t>
      </w:r>
      <w:r w:rsidRPr="00EF0115">
        <w:rPr>
          <w:rFonts w:cs="Traditional Arabic"/>
          <w:szCs w:val="30"/>
          <w:vertAlign w:val="superscript"/>
          <w:rtl/>
          <w:lang w:eastAsia="zh-TW"/>
        </w:rPr>
        <w:t>(</w:t>
      </w:r>
      <w:r w:rsidRPr="00EF0115">
        <w:rPr>
          <w:rFonts w:cs="Traditional Arabic"/>
          <w:szCs w:val="30"/>
          <w:vertAlign w:val="superscript"/>
          <w:rtl/>
          <w:lang w:eastAsia="zh-TW"/>
        </w:rPr>
        <w:footnoteReference w:id="1"/>
      </w:r>
      <w:r w:rsidRPr="00EF0115">
        <w:rPr>
          <w:rFonts w:cs="Traditional Arabic"/>
          <w:szCs w:val="30"/>
          <w:vertAlign w:val="superscript"/>
          <w:rtl/>
          <w:lang w:eastAsia="zh-TW"/>
        </w:rPr>
        <w:t>)</w:t>
      </w:r>
      <w:r w:rsidRPr="00EF0115">
        <w:rPr>
          <w:rFonts w:cs="Traditional Arabic"/>
          <w:szCs w:val="30"/>
          <w:rtl/>
          <w:lang w:eastAsia="zh-TW"/>
        </w:rPr>
        <w:t>،</w:t>
      </w:r>
      <w:bookmarkEnd w:id="3"/>
    </w:p>
    <w:p w:rsidR="00DC1B96" w:rsidRPr="00EF0115" w:rsidRDefault="00DC1B96" w:rsidP="00DC1B96">
      <w:pPr>
        <w:pStyle w:val="Normalnumber"/>
        <w:numPr>
          <w:ilvl w:val="0"/>
          <w:numId w:val="2"/>
        </w:numPr>
        <w:tabs>
          <w:tab w:val="clear" w:pos="624"/>
          <w:tab w:val="left" w:pos="2408"/>
        </w:tabs>
        <w:bidi/>
        <w:spacing w:line="400" w:lineRule="exact"/>
        <w:ind w:left="1134" w:firstLine="707"/>
        <w:jc w:val="both"/>
        <w:textDirection w:val="tbRlV"/>
        <w:rPr>
          <w:rFonts w:cs="Traditional Arabic"/>
          <w:szCs w:val="30"/>
          <w:rtl/>
          <w:lang w:eastAsia="zh-TW"/>
        </w:rPr>
      </w:pPr>
      <w:bookmarkStart w:id="5" w:name="bookmark_421"/>
      <w:r w:rsidRPr="00D62CF8">
        <w:rPr>
          <w:rFonts w:cs="Traditional Arabic"/>
          <w:i/>
          <w:iCs/>
          <w:szCs w:val="30"/>
          <w:rtl/>
          <w:lang w:eastAsia="zh-TW"/>
        </w:rPr>
        <w:t>تخلص</w:t>
      </w:r>
      <w:r w:rsidRPr="00EF0115">
        <w:rPr>
          <w:rFonts w:cs="Traditional Arabic"/>
          <w:szCs w:val="30"/>
          <w:rtl/>
          <w:lang w:eastAsia="zh-TW"/>
        </w:rPr>
        <w:t xml:space="preserve"> إلى أن الإخطار </w:t>
      </w:r>
      <w:r w:rsidRPr="00EF0115">
        <w:rPr>
          <w:rFonts w:cs="Traditional Arabic" w:hint="cs"/>
          <w:szCs w:val="30"/>
          <w:rtl/>
          <w:lang w:eastAsia="zh-TW"/>
        </w:rPr>
        <w:t>ب</w:t>
      </w:r>
      <w:r w:rsidRPr="00EF0115">
        <w:rPr>
          <w:rFonts w:cs="Traditional Arabic"/>
          <w:szCs w:val="30"/>
          <w:rtl/>
          <w:lang w:eastAsia="zh-TW"/>
        </w:rPr>
        <w:t>إجراء تنظيمي نهائي الذي قدمته كندا بشأن الميركس يستوفي المعايير الواردة في المرفق الثاني للاتفاقية؛</w:t>
      </w:r>
      <w:bookmarkEnd w:id="5"/>
    </w:p>
    <w:p w:rsidR="00DC1B96" w:rsidRPr="00EF0115" w:rsidRDefault="00DC1B96" w:rsidP="00DC1B96">
      <w:pPr>
        <w:pStyle w:val="Normalnumber"/>
        <w:numPr>
          <w:ilvl w:val="0"/>
          <w:numId w:val="2"/>
        </w:numPr>
        <w:tabs>
          <w:tab w:val="clear" w:pos="624"/>
          <w:tab w:val="left" w:pos="2408"/>
        </w:tabs>
        <w:bidi/>
        <w:spacing w:line="400" w:lineRule="exact"/>
        <w:ind w:left="1134" w:firstLine="707"/>
        <w:jc w:val="both"/>
        <w:textDirection w:val="tbRlV"/>
        <w:rPr>
          <w:rFonts w:cs="Traditional Arabic"/>
          <w:szCs w:val="30"/>
          <w:rtl/>
          <w:lang w:eastAsia="zh-TW"/>
        </w:rPr>
      </w:pPr>
      <w:bookmarkStart w:id="6" w:name="bookmark_422"/>
      <w:r w:rsidRPr="00D62CF8">
        <w:rPr>
          <w:rFonts w:cs="Traditional Arabic"/>
          <w:i/>
          <w:iCs/>
          <w:szCs w:val="30"/>
          <w:rtl/>
          <w:lang w:eastAsia="zh-TW"/>
        </w:rPr>
        <w:t>تعتمد</w:t>
      </w:r>
      <w:r w:rsidRPr="00EF0115">
        <w:rPr>
          <w:rFonts w:cs="Traditional Arabic"/>
          <w:szCs w:val="30"/>
          <w:rtl/>
          <w:lang w:eastAsia="zh-TW"/>
        </w:rPr>
        <w:t xml:space="preserve"> الأساس النظري لاستنتاجها ب</w:t>
      </w:r>
      <w:r w:rsidRPr="00EF0115">
        <w:rPr>
          <w:rFonts w:cs="Traditional Arabic" w:hint="cs"/>
          <w:szCs w:val="30"/>
          <w:rtl/>
          <w:lang w:eastAsia="zh-TW"/>
        </w:rPr>
        <w:t>خصوص</w:t>
      </w:r>
      <w:r w:rsidRPr="00EF0115">
        <w:rPr>
          <w:rFonts w:cs="Traditional Arabic"/>
          <w:szCs w:val="30"/>
          <w:rtl/>
          <w:lang w:eastAsia="zh-TW"/>
        </w:rPr>
        <w:t xml:space="preserve"> الإخطار الذي قدمته كندا بشأن الميركس، والوارد في مرفق هذا المقرر</w:t>
      </w:r>
      <w:r w:rsidRPr="00EF0115">
        <w:rPr>
          <w:rFonts w:cs="Traditional Arabic"/>
          <w:szCs w:val="30"/>
          <w:vertAlign w:val="superscript"/>
          <w:rtl/>
          <w:lang w:eastAsia="zh-TW"/>
        </w:rPr>
        <w:t>(</w:t>
      </w:r>
      <w:r w:rsidRPr="00EF0115">
        <w:rPr>
          <w:rFonts w:cs="Traditional Arabic"/>
          <w:szCs w:val="30"/>
          <w:vertAlign w:val="superscript"/>
          <w:rtl/>
          <w:lang w:eastAsia="zh-TW"/>
        </w:rPr>
        <w:footnoteReference w:id="2"/>
      </w:r>
      <w:r w:rsidRPr="00EF0115">
        <w:rPr>
          <w:rFonts w:cs="Traditional Arabic"/>
          <w:szCs w:val="30"/>
          <w:vertAlign w:val="superscript"/>
          <w:rtl/>
          <w:lang w:eastAsia="zh-TW"/>
        </w:rPr>
        <w:t>)</w:t>
      </w:r>
      <w:r w:rsidRPr="00EF0115">
        <w:rPr>
          <w:rFonts w:cs="Traditional Arabic"/>
          <w:szCs w:val="30"/>
          <w:rtl/>
          <w:lang w:eastAsia="zh-TW"/>
        </w:rPr>
        <w:t>؛</w:t>
      </w:r>
      <w:bookmarkEnd w:id="6"/>
    </w:p>
    <w:p w:rsidR="00DC1B96" w:rsidRPr="00EF0115" w:rsidRDefault="00DC1B96" w:rsidP="00DC1B96">
      <w:pPr>
        <w:pStyle w:val="Normalnumber"/>
        <w:numPr>
          <w:ilvl w:val="0"/>
          <w:numId w:val="2"/>
        </w:numPr>
        <w:tabs>
          <w:tab w:val="clear" w:pos="624"/>
          <w:tab w:val="left" w:pos="2408"/>
        </w:tabs>
        <w:bidi/>
        <w:spacing w:line="400" w:lineRule="exact"/>
        <w:ind w:left="1134" w:firstLine="709"/>
        <w:jc w:val="both"/>
        <w:textDirection w:val="tbRlV"/>
        <w:rPr>
          <w:rFonts w:cs="Traditional Arabic"/>
          <w:szCs w:val="30"/>
          <w:rtl/>
          <w:lang w:eastAsia="zh-TW"/>
        </w:rPr>
      </w:pPr>
      <w:bookmarkStart w:id="8" w:name="bookmark_424"/>
      <w:r w:rsidRPr="00D62CF8">
        <w:rPr>
          <w:rFonts w:cs="Traditional Arabic"/>
          <w:i/>
          <w:iCs/>
          <w:szCs w:val="30"/>
          <w:rtl/>
          <w:lang w:eastAsia="zh-TW"/>
        </w:rPr>
        <w:t>تشير</w:t>
      </w:r>
      <w:r w:rsidRPr="00EF0115">
        <w:rPr>
          <w:rFonts w:cs="Traditional Arabic"/>
          <w:szCs w:val="30"/>
          <w:rtl/>
          <w:lang w:eastAsia="zh-TW"/>
        </w:rPr>
        <w:t xml:space="preserve"> إلى أنه </w:t>
      </w:r>
      <w:r>
        <w:rPr>
          <w:rFonts w:cs="Traditional Arabic"/>
          <w:szCs w:val="30"/>
          <w:rtl/>
          <w:lang w:eastAsia="zh-TW"/>
        </w:rPr>
        <w:t>نظراً</w:t>
      </w:r>
      <w:r w:rsidRPr="00EF0115">
        <w:rPr>
          <w:rFonts w:cs="Traditional Arabic"/>
          <w:szCs w:val="30"/>
          <w:rtl/>
          <w:lang w:eastAsia="zh-TW"/>
        </w:rPr>
        <w:t xml:space="preserve"> لكون إخطار واحد فقط بإجراء تنظيمي نهائي بشأن الميركس يستوفي المعاير الواردة في المرفق الثاني للاتفاقية، فإنها لن تتخذ أية إجراءات أخرى بهذا الصدد في الوقت الراهن.</w:t>
      </w:r>
      <w:bookmarkEnd w:id="8"/>
    </w:p>
    <w:p w:rsidR="00DC1B96" w:rsidRPr="00D62CF8" w:rsidRDefault="00DC1B96" w:rsidP="00DC1B96">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2"/>
        <w:jc w:val="both"/>
        <w:textDirection w:val="tbRlV"/>
        <w:rPr>
          <w:rFonts w:cs="Traditional Arabic"/>
          <w:bCs/>
          <w:sz w:val="32"/>
          <w:szCs w:val="32"/>
          <w:rtl/>
          <w:lang w:eastAsia="zh-TW"/>
        </w:rPr>
      </w:pPr>
      <w:bookmarkStart w:id="9" w:name="bookmark_425"/>
      <w:r w:rsidRPr="00D62CF8">
        <w:rPr>
          <w:rFonts w:cs="Traditional Arabic"/>
          <w:bCs/>
          <w:sz w:val="32"/>
          <w:szCs w:val="32"/>
          <w:rtl/>
          <w:lang w:eastAsia="zh-TW"/>
        </w:rPr>
        <w:t xml:space="preserve">مرفق المقرر </w:t>
      </w:r>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w:t>
      </w:r>
      <w:r w:rsidRPr="00D62CF8">
        <w:rPr>
          <w:rFonts w:cs="Traditional Arabic"/>
          <w:bCs/>
          <w:sz w:val="32"/>
          <w:szCs w:val="32"/>
          <w:rtl/>
          <w:lang w:eastAsia="zh-TW"/>
        </w:rPr>
        <w:t xml:space="preserve"> - 13/3</w:t>
      </w:r>
      <w:bookmarkEnd w:id="9"/>
    </w:p>
    <w:p w:rsidR="00DC1B96" w:rsidRPr="0085112A" w:rsidRDefault="00DC1B96" w:rsidP="00DC1B96">
      <w:pPr>
        <w:pStyle w:val="CH1"/>
        <w:tabs>
          <w:tab w:val="clear" w:pos="851"/>
          <w:tab w:val="clear" w:pos="1247"/>
          <w:tab w:val="clear" w:pos="1814"/>
          <w:tab w:val="clear" w:pos="2381"/>
          <w:tab w:val="clear" w:pos="2948"/>
          <w:tab w:val="clear" w:pos="3515"/>
          <w:tab w:val="clear" w:pos="4082"/>
        </w:tabs>
        <w:bidi/>
        <w:spacing w:before="0" w:line="400" w:lineRule="exact"/>
        <w:ind w:left="1132" w:right="0" w:hanging="2"/>
        <w:jc w:val="both"/>
        <w:textDirection w:val="tbRlV"/>
        <w:rPr>
          <w:rFonts w:cs="Traditional Arabic"/>
          <w:bCs/>
          <w:sz w:val="30"/>
          <w:szCs w:val="30"/>
          <w:rtl/>
          <w:lang w:eastAsia="zh-TW"/>
        </w:rPr>
      </w:pPr>
      <w:bookmarkStart w:id="10" w:name="bookmark_426"/>
      <w:r w:rsidRPr="00D62CF8">
        <w:rPr>
          <w:rFonts w:cs="Traditional Arabic"/>
          <w:bCs/>
          <w:sz w:val="32"/>
          <w:szCs w:val="32"/>
          <w:rtl/>
          <w:lang w:eastAsia="zh-TW"/>
        </w:rPr>
        <w:t>الأساس النظري الذي استندت إليه لجنة استعراض المواد الكيميائية في استنتاج</w:t>
      </w:r>
      <w:r w:rsidRPr="00D62CF8">
        <w:rPr>
          <w:rFonts w:cs="Traditional Arabic" w:hint="cs"/>
          <w:bCs/>
          <w:sz w:val="32"/>
          <w:szCs w:val="32"/>
          <w:rtl/>
          <w:lang w:eastAsia="zh-TW"/>
        </w:rPr>
        <w:t>ها</w:t>
      </w:r>
      <w:r w:rsidRPr="00D62CF8">
        <w:rPr>
          <w:rFonts w:cs="Traditional Arabic"/>
          <w:bCs/>
          <w:sz w:val="32"/>
          <w:szCs w:val="32"/>
          <w:rtl/>
          <w:lang w:eastAsia="zh-TW"/>
        </w:rPr>
        <w:t xml:space="preserve"> بأن </w:t>
      </w:r>
      <w:r w:rsidRPr="00D62CF8">
        <w:rPr>
          <w:rFonts w:cs="Traditional Arabic" w:hint="cs"/>
          <w:bCs/>
          <w:sz w:val="32"/>
          <w:szCs w:val="32"/>
          <w:rtl/>
          <w:lang w:eastAsia="zh-TW"/>
        </w:rPr>
        <w:t xml:space="preserve">الإخطار </w:t>
      </w:r>
      <w:r w:rsidRPr="00D62CF8">
        <w:rPr>
          <w:rFonts w:cs="Traditional Arabic"/>
          <w:bCs/>
          <w:sz w:val="32"/>
          <w:szCs w:val="32"/>
          <w:rtl/>
          <w:lang w:eastAsia="zh-TW"/>
        </w:rPr>
        <w:t xml:space="preserve">بإجراء تنظيمي نهائي </w:t>
      </w:r>
      <w:r w:rsidRPr="00D62CF8">
        <w:rPr>
          <w:rFonts w:cs="Traditional Arabic" w:hint="cs"/>
          <w:bCs/>
          <w:sz w:val="32"/>
          <w:szCs w:val="32"/>
          <w:rtl/>
          <w:lang w:eastAsia="zh-TW"/>
        </w:rPr>
        <w:t>ا</w:t>
      </w:r>
      <w:r w:rsidRPr="00D62CF8">
        <w:rPr>
          <w:rFonts w:cs="Traditional Arabic"/>
          <w:bCs/>
          <w:sz w:val="32"/>
          <w:szCs w:val="32"/>
          <w:rtl/>
          <w:lang w:eastAsia="zh-TW"/>
        </w:rPr>
        <w:t>لذي قدمته كندا بشأن الميركس ضمن فئة المواد الك</w:t>
      </w:r>
      <w:r w:rsidRPr="00D62CF8">
        <w:rPr>
          <w:rFonts w:cs="Traditional Arabic" w:hint="cs"/>
          <w:bCs/>
          <w:sz w:val="32"/>
          <w:szCs w:val="32"/>
          <w:rtl/>
          <w:lang w:eastAsia="zh-TW"/>
        </w:rPr>
        <w:t>ي</w:t>
      </w:r>
      <w:r w:rsidRPr="00D62CF8">
        <w:rPr>
          <w:rFonts w:cs="Traditional Arabic"/>
          <w:bCs/>
          <w:sz w:val="32"/>
          <w:szCs w:val="32"/>
          <w:rtl/>
          <w:lang w:eastAsia="zh-TW"/>
        </w:rPr>
        <w:t>ميائية الصناعية يستوفي معايير المرفق الثاني لاتفاقية روتردام</w:t>
      </w:r>
      <w:bookmarkEnd w:id="10"/>
    </w:p>
    <w:p w:rsidR="00DC1B96" w:rsidRPr="00EF0115" w:rsidRDefault="00DC1B96" w:rsidP="00DC1B96">
      <w:pPr>
        <w:tabs>
          <w:tab w:val="left" w:pos="1846"/>
        </w:tabs>
        <w:spacing w:after="120" w:line="400" w:lineRule="exact"/>
        <w:ind w:left="1134"/>
        <w:jc w:val="lowKashida"/>
        <w:textDirection w:val="tbRlV"/>
        <w:rPr>
          <w:rFonts w:ascii="Times New Roman" w:hAnsi="Times New Roman" w:cs="Traditional Arabic"/>
          <w:szCs w:val="30"/>
          <w:rtl/>
          <w:lang w:eastAsia="zh-TW"/>
        </w:rPr>
      </w:pPr>
      <w:bookmarkStart w:id="11" w:name="bookmark_427"/>
      <w:r w:rsidRPr="00EF0115">
        <w:rPr>
          <w:rFonts w:ascii="Times New Roman" w:hAnsi="Times New Roman" w:cs="Traditional Arabic"/>
          <w:szCs w:val="30"/>
          <w:rtl/>
          <w:lang w:eastAsia="zh-TW"/>
        </w:rPr>
        <w:t>١-</w:t>
      </w:r>
      <w:r>
        <w:rPr>
          <w:rFonts w:ascii="Times New Roman" w:hAnsi="Times New Roman" w:cs="Traditional Arabic"/>
          <w:szCs w:val="30"/>
          <w:rtl/>
          <w:lang w:eastAsia="zh-TW"/>
        </w:rPr>
        <w:tab/>
      </w:r>
      <w:r w:rsidRPr="00EF0115">
        <w:rPr>
          <w:rFonts w:ascii="Times New Roman" w:hAnsi="Times New Roman" w:cs="Traditional Arabic"/>
          <w:szCs w:val="30"/>
          <w:rtl/>
          <w:lang w:eastAsia="zh-TW"/>
        </w:rPr>
        <w:t xml:space="preserve">تحققت الأمانة من أن الإخطار بإجراء تنظيمي نهائي الذي قدمته كندا بشأن الميركس ضمن فئة المواد الكيميائية الصناعية يتضمن المعلومات المطلوبة بموجب المرفق الأول لاتفاقية روتردام. وقد أتيح الإخطار والوثائق الداعمة له للجنة استعراض المواد الكيميائية للنظر فيها </w:t>
      </w:r>
      <w:r w:rsidRPr="003C27AD">
        <w:rPr>
          <w:rFonts w:asciiTheme="majorBidi" w:hAnsiTheme="majorBidi" w:cstheme="majorBidi"/>
          <w:szCs w:val="20"/>
          <w:rtl/>
          <w:lang w:eastAsia="zh-TW"/>
        </w:rPr>
        <w:t>(</w:t>
      </w:r>
      <w:r w:rsidRPr="00EF0115">
        <w:rPr>
          <w:rFonts w:ascii="Times New Roman" w:hAnsi="Times New Roman" w:cs="Traditional Arabic"/>
          <w:szCs w:val="30"/>
          <w:lang w:eastAsia="zh-TW"/>
        </w:rPr>
        <w:t>UNEP/FAO/RC/CRC.13/10</w:t>
      </w:r>
      <w:r w:rsidRPr="00EF0115">
        <w:rPr>
          <w:rFonts w:ascii="Times New Roman" w:hAnsi="Times New Roman" w:cs="Traditional Arabic"/>
          <w:szCs w:val="30"/>
          <w:rtl/>
          <w:lang w:eastAsia="zh-TW"/>
        </w:rPr>
        <w:t xml:space="preserve"> و</w:t>
      </w:r>
      <w:r w:rsidRPr="00EF0115">
        <w:rPr>
          <w:rFonts w:ascii="Times New Roman" w:hAnsi="Times New Roman" w:cs="Traditional Arabic"/>
          <w:szCs w:val="30"/>
          <w:lang w:eastAsia="zh-TW"/>
        </w:rPr>
        <w:t>UNEP/FAO/RC/CRC.13/INF/22</w:t>
      </w:r>
      <w:r w:rsidRPr="003C27AD">
        <w:rPr>
          <w:rFonts w:asciiTheme="majorBidi" w:hAnsiTheme="majorBidi" w:cstheme="majorBidi"/>
          <w:szCs w:val="20"/>
          <w:rtl/>
          <w:lang w:eastAsia="zh-TW"/>
        </w:rPr>
        <w:t>)</w:t>
      </w:r>
      <w:r w:rsidRPr="00EF0115">
        <w:rPr>
          <w:rFonts w:ascii="Times New Roman" w:hAnsi="Times New Roman" w:cs="Traditional Arabic"/>
          <w:szCs w:val="30"/>
          <w:rtl/>
          <w:lang w:eastAsia="zh-TW"/>
        </w:rPr>
        <w:t>.</w:t>
      </w:r>
      <w:bookmarkEnd w:id="11"/>
    </w:p>
    <w:p w:rsidR="00DC1B96" w:rsidRPr="00EF0115" w:rsidRDefault="00DC1B96" w:rsidP="00DC1B96">
      <w:pPr>
        <w:tabs>
          <w:tab w:val="left" w:pos="1846"/>
        </w:tabs>
        <w:spacing w:after="120" w:line="400" w:lineRule="exact"/>
        <w:ind w:left="1134"/>
        <w:jc w:val="both"/>
        <w:textDirection w:val="tbRlV"/>
        <w:rPr>
          <w:rFonts w:ascii="Times New Roman" w:hAnsi="Times New Roman" w:cs="Traditional Arabic"/>
          <w:szCs w:val="30"/>
          <w:rtl/>
          <w:lang w:eastAsia="zh-TW"/>
        </w:rPr>
      </w:pPr>
      <w:r w:rsidRPr="00EF0115">
        <w:rPr>
          <w:rFonts w:ascii="Times New Roman" w:hAnsi="Times New Roman" w:cs="Traditional Arabic"/>
          <w:szCs w:val="30"/>
          <w:rtl/>
          <w:lang w:eastAsia="zh-TW"/>
        </w:rPr>
        <w:t>٢-</w:t>
      </w:r>
      <w:r>
        <w:rPr>
          <w:rFonts w:ascii="Times New Roman" w:hAnsi="Times New Roman" w:cs="Traditional Arabic"/>
          <w:szCs w:val="30"/>
          <w:rtl/>
          <w:lang w:eastAsia="zh-TW"/>
        </w:rPr>
        <w:tab/>
      </w:r>
      <w:bookmarkStart w:id="12" w:name="bookmark_428"/>
      <w:r w:rsidRPr="00EF0115">
        <w:rPr>
          <w:rFonts w:ascii="Times New Roman" w:hAnsi="Times New Roman" w:cs="Traditional Arabic"/>
          <w:szCs w:val="30"/>
          <w:rtl/>
          <w:lang w:eastAsia="zh-TW"/>
        </w:rPr>
        <w:t xml:space="preserve">ولدى استعراض الإخطار بإجراء تنظيمي نهائي الذي قدمته كندا، إلى جانب الوثائق الداعمة التي قدمها الطرف، تمكنت اللجنة من التأكد من أن الإجراء اتُّخذ لحماية صحة البشر والبيئة. فالميركس مادة ثابتة تتسم بالتراكم الأحيائي (تختزن أساساً في الأنسجة الدهنية)، وتخضع للنقل الطويل المدى. وقد ثبت أن الميركس يسبب السرطان لدى حيوانات التجارب، وربما يكون له أثر مُسرطن لدى البشر. ولم يسجل الميركس أبداً للاستخدام كمبيد آفات زراعي في كندا. ويتعلق قرار تقديم الإخطار بالاستخدامات الصناعية. فقد </w:t>
      </w:r>
      <w:r w:rsidRPr="00EF0115">
        <w:rPr>
          <w:rFonts w:ascii="Times New Roman" w:hAnsi="Times New Roman" w:cs="Traditional Arabic"/>
          <w:szCs w:val="30"/>
          <w:rtl/>
          <w:lang w:eastAsia="zh-TW"/>
        </w:rPr>
        <w:lastRenderedPageBreak/>
        <w:t>استُخدم الميركس أساساً كعامل مثبط للحرائق في البلاستيك والمطاط والطلاء والورق والسلع الكهربية. كما استُخدم كمركب متفجر في الألعاب النارية لتوليد الدخان الأبيض. وقد لوث الميركس عدة نظم إيكولوجية في كندا. ومعدل التعرض البشري للميركس عن طريق الغذاء منخفض عموما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مع وجود استثناء محتمل هو الفئة المعتمدة على نظام غذائي من الأسماك أو الطيور الآكلة للأسماك من بحيرة أونتاريو ونهر سان لورانس، والصيادين الذين يتناولون الطيور المصطادة.</w:t>
      </w:r>
      <w:bookmarkEnd w:id="12"/>
    </w:p>
    <w:p w:rsidR="00DC1B96" w:rsidRPr="00EF0115" w:rsidRDefault="00DC1B96" w:rsidP="00DC1B96">
      <w:pPr>
        <w:tabs>
          <w:tab w:val="left" w:pos="1846"/>
        </w:tabs>
        <w:spacing w:after="120" w:line="400" w:lineRule="exact"/>
        <w:ind w:left="1134"/>
        <w:jc w:val="both"/>
        <w:textDirection w:val="tbRlV"/>
        <w:rPr>
          <w:rFonts w:ascii="Times New Roman" w:hAnsi="Times New Roman" w:cs="Traditional Arabic"/>
          <w:szCs w:val="30"/>
          <w:rtl/>
          <w:lang w:eastAsia="zh-TW"/>
        </w:rPr>
      </w:pPr>
      <w:bookmarkStart w:id="13" w:name="bookmark_429"/>
      <w:r w:rsidRPr="00EF0115">
        <w:rPr>
          <w:rFonts w:ascii="Times New Roman" w:hAnsi="Times New Roman" w:cs="Traditional Arabic"/>
          <w:szCs w:val="30"/>
          <w:rtl/>
          <w:lang w:eastAsia="zh-TW"/>
        </w:rPr>
        <w:t>٣-</w:t>
      </w:r>
      <w:r>
        <w:rPr>
          <w:rFonts w:ascii="Times New Roman" w:hAnsi="Times New Roman" w:cs="Traditional Arabic"/>
          <w:szCs w:val="30"/>
          <w:rtl/>
          <w:lang w:eastAsia="zh-TW"/>
        </w:rPr>
        <w:tab/>
      </w:r>
      <w:r w:rsidRPr="00EF0115">
        <w:rPr>
          <w:rFonts w:ascii="Times New Roman" w:hAnsi="Times New Roman" w:cs="Traditional Arabic"/>
          <w:szCs w:val="30"/>
          <w:rtl/>
          <w:lang w:eastAsia="zh-TW"/>
        </w:rPr>
        <w:t>وتأكدت اللجنة من أن الإجراء التنظيمي النهائي اتُّخذ على أساس تقييم المخاطر، وأن التقييم استند إلى استعراض للبيانات العلمية. وأوضحت الوثائق المتاحة أن البيانات استُخلصت طبقاً للأساليب العلمية المتعارف عليها، وتم إجراء الاستعراضات وتوثيقها وفقاً للمبادئ والإجراءات العلمية المتعارف عليها عموما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وأظهرت أيضاً أن الإجراء التنظيمي النهائي استند إلى تقييمات للمخاطر خاصة بالمادة الكيميائية المعنية، مع مراعاة ظروف التعرض داخل كندا. وكانت فرقة عمل قد أجرت </w:t>
      </w:r>
      <w:r>
        <w:rPr>
          <w:rFonts w:ascii="Times New Roman" w:hAnsi="Times New Roman" w:cs="Traditional Arabic"/>
          <w:szCs w:val="30"/>
          <w:rtl/>
          <w:lang w:eastAsia="zh-TW"/>
        </w:rPr>
        <w:t>تقييماً</w:t>
      </w:r>
      <w:r w:rsidRPr="00EF0115">
        <w:rPr>
          <w:rFonts w:ascii="Times New Roman" w:hAnsi="Times New Roman" w:cs="Traditional Arabic"/>
          <w:szCs w:val="30"/>
          <w:rtl/>
          <w:lang w:eastAsia="zh-TW"/>
        </w:rPr>
        <w:t xml:space="preserve"> للمخاطر في عام 1997. وكانت النتائج الرئيسية كما يلي:</w:t>
      </w:r>
      <w:bookmarkEnd w:id="13"/>
    </w:p>
    <w:p w:rsidR="00DC1B96" w:rsidRPr="00EF0115" w:rsidRDefault="00DC1B96" w:rsidP="00DC1B96">
      <w:pPr>
        <w:pStyle w:val="ListParagraph"/>
        <w:tabs>
          <w:tab w:val="clear" w:pos="1247"/>
          <w:tab w:val="clear" w:pos="1814"/>
          <w:tab w:val="clear" w:pos="2381"/>
          <w:tab w:val="clear" w:pos="2948"/>
          <w:tab w:val="clear" w:pos="3515"/>
          <w:tab w:val="left" w:pos="2408"/>
        </w:tabs>
        <w:bidi/>
        <w:spacing w:after="120" w:line="400" w:lineRule="exact"/>
        <w:ind w:left="1134" w:firstLine="707"/>
        <w:contextualSpacing w:val="0"/>
        <w:jc w:val="both"/>
        <w:textDirection w:val="tbRlV"/>
        <w:rPr>
          <w:rFonts w:hint="default"/>
          <w:rtl/>
          <w:lang w:eastAsia="zh-TW"/>
        </w:rPr>
      </w:pPr>
      <w:bookmarkStart w:id="14" w:name="bookmark_430"/>
      <w:r w:rsidRPr="00EF0115">
        <w:rPr>
          <w:rFonts w:hint="default"/>
          <w:rtl/>
        </w:rPr>
        <w:t>(أ)</w:t>
      </w:r>
      <w:r>
        <w:rPr>
          <w:rFonts w:hint="default"/>
          <w:rtl/>
        </w:rPr>
        <w:tab/>
      </w:r>
      <w:r w:rsidRPr="00EF0115">
        <w:rPr>
          <w:rFonts w:hint="default"/>
          <w:rtl/>
          <w:lang w:eastAsia="zh-TW"/>
        </w:rPr>
        <w:t>لوِّث الميركس عددا</w:t>
      </w:r>
      <w:r>
        <w:rPr>
          <w:rtl/>
          <w:lang w:eastAsia="zh-TW"/>
        </w:rPr>
        <w:t>ً</w:t>
      </w:r>
      <w:r w:rsidRPr="00EF0115">
        <w:rPr>
          <w:rFonts w:hint="default"/>
          <w:rtl/>
          <w:lang w:eastAsia="zh-TW"/>
        </w:rPr>
        <w:t xml:space="preserve"> من النظم الإيكولوجية في كندا؛</w:t>
      </w:r>
      <w:bookmarkEnd w:id="14"/>
    </w:p>
    <w:p w:rsidR="00DC1B96" w:rsidRPr="00EF0115" w:rsidRDefault="00DC1B96" w:rsidP="00DC1B96">
      <w:pPr>
        <w:pStyle w:val="ListParagraph"/>
        <w:tabs>
          <w:tab w:val="clear" w:pos="1247"/>
          <w:tab w:val="clear" w:pos="1814"/>
          <w:tab w:val="clear" w:pos="2381"/>
          <w:tab w:val="clear" w:pos="2948"/>
          <w:tab w:val="clear" w:pos="3515"/>
          <w:tab w:val="left" w:pos="2408"/>
        </w:tabs>
        <w:bidi/>
        <w:spacing w:after="120" w:line="400" w:lineRule="exact"/>
        <w:ind w:left="1134" w:firstLine="707"/>
        <w:contextualSpacing w:val="0"/>
        <w:jc w:val="both"/>
        <w:textDirection w:val="tbRlV"/>
        <w:rPr>
          <w:rFonts w:hint="default"/>
          <w:rtl/>
          <w:lang w:eastAsia="zh-TW"/>
        </w:rPr>
      </w:pPr>
      <w:bookmarkStart w:id="15" w:name="bookmark_431"/>
      <w:r w:rsidRPr="00EF0115">
        <w:rPr>
          <w:rFonts w:hint="default"/>
          <w:rtl/>
        </w:rPr>
        <w:t>(ب)</w:t>
      </w:r>
      <w:r>
        <w:rPr>
          <w:rFonts w:hint="default"/>
          <w:rtl/>
        </w:rPr>
        <w:tab/>
      </w:r>
      <w:r w:rsidRPr="00EF0115">
        <w:rPr>
          <w:rFonts w:hint="default"/>
          <w:rtl/>
          <w:lang w:eastAsia="zh-TW"/>
        </w:rPr>
        <w:t>لا يوجد دليل على تكون الميركس في البيئة كمنتج طبيعي؛</w:t>
      </w:r>
      <w:bookmarkEnd w:id="15"/>
    </w:p>
    <w:p w:rsidR="00DC1B96" w:rsidRPr="00EF0115" w:rsidRDefault="00DC1B96" w:rsidP="00DC1B96">
      <w:pPr>
        <w:pStyle w:val="ListParagraph"/>
        <w:tabs>
          <w:tab w:val="clear" w:pos="1247"/>
          <w:tab w:val="clear" w:pos="1814"/>
          <w:tab w:val="clear" w:pos="2381"/>
          <w:tab w:val="clear" w:pos="2948"/>
          <w:tab w:val="clear" w:pos="3515"/>
          <w:tab w:val="left" w:pos="2408"/>
        </w:tabs>
        <w:bidi/>
        <w:spacing w:after="120" w:line="400" w:lineRule="exact"/>
        <w:ind w:left="1134" w:firstLine="707"/>
        <w:contextualSpacing w:val="0"/>
        <w:jc w:val="both"/>
        <w:textDirection w:val="tbRlV"/>
        <w:rPr>
          <w:rFonts w:hint="default"/>
          <w:rtl/>
          <w:lang w:eastAsia="zh-TW"/>
        </w:rPr>
      </w:pPr>
      <w:bookmarkStart w:id="16" w:name="bookmark_432"/>
      <w:r w:rsidRPr="00EF0115">
        <w:rPr>
          <w:rFonts w:hint="default"/>
          <w:rtl/>
        </w:rPr>
        <w:t>(ج)</w:t>
      </w:r>
      <w:r>
        <w:rPr>
          <w:rFonts w:hint="default"/>
          <w:rtl/>
        </w:rPr>
        <w:tab/>
      </w:r>
      <w:r w:rsidRPr="00EF0115">
        <w:rPr>
          <w:rFonts w:hint="default"/>
          <w:rtl/>
          <w:lang w:eastAsia="zh-TW"/>
        </w:rPr>
        <w:t>ولاية نيويورك (الولايات المتحدة) هي المصدر الرئيسي للميركس في كندا، وتحديدا</w:t>
      </w:r>
      <w:r>
        <w:rPr>
          <w:rtl/>
          <w:lang w:eastAsia="zh-TW"/>
        </w:rPr>
        <w:t>ً</w:t>
      </w:r>
      <w:r w:rsidRPr="00EF0115">
        <w:rPr>
          <w:rFonts w:hint="default"/>
          <w:rtl/>
          <w:lang w:eastAsia="zh-TW"/>
        </w:rPr>
        <w:t xml:space="preserve"> منطقتا نهر نياغارا ونهر أوزويغو، حيث توجد معامل صناعة المواد الكيميائية والمواد المثبطة للحرائق؛</w:t>
      </w:r>
      <w:bookmarkEnd w:id="16"/>
    </w:p>
    <w:p w:rsidR="00DC1B96" w:rsidRPr="00EF0115" w:rsidRDefault="00DC1B96" w:rsidP="00DC1B96">
      <w:pPr>
        <w:pStyle w:val="ListParagraph"/>
        <w:tabs>
          <w:tab w:val="clear" w:pos="1247"/>
          <w:tab w:val="clear" w:pos="1814"/>
          <w:tab w:val="clear" w:pos="2381"/>
          <w:tab w:val="clear" w:pos="2948"/>
          <w:tab w:val="clear" w:pos="3515"/>
          <w:tab w:val="left" w:pos="2408"/>
        </w:tabs>
        <w:bidi/>
        <w:spacing w:after="120" w:line="400" w:lineRule="exact"/>
        <w:ind w:left="1134" w:firstLine="707"/>
        <w:contextualSpacing w:val="0"/>
        <w:jc w:val="both"/>
        <w:textDirection w:val="tbRlV"/>
        <w:rPr>
          <w:rFonts w:hint="default"/>
          <w:rtl/>
          <w:lang w:eastAsia="zh-TW"/>
        </w:rPr>
      </w:pPr>
      <w:bookmarkStart w:id="17" w:name="bookmark_433"/>
      <w:r w:rsidRPr="00EF0115">
        <w:rPr>
          <w:rFonts w:hint="default"/>
          <w:rtl/>
        </w:rPr>
        <w:t>(د)</w:t>
      </w:r>
      <w:r>
        <w:rPr>
          <w:rFonts w:hint="default"/>
          <w:rtl/>
        </w:rPr>
        <w:tab/>
      </w:r>
      <w:r>
        <w:rPr>
          <w:rtl/>
        </w:rPr>
        <w:t>أ</w:t>
      </w:r>
      <w:r w:rsidRPr="00EF0115">
        <w:rPr>
          <w:rFonts w:hint="default"/>
          <w:rtl/>
          <w:lang w:eastAsia="zh-TW"/>
        </w:rPr>
        <w:t>سفر انتقال الميركس عبر الحدود ضمن النظام الإيكولوجي لبحيرة أونتاريو عن تلوث الأسماك والطيور الآكلة للسمك في كندا؛</w:t>
      </w:r>
      <w:bookmarkEnd w:id="17"/>
    </w:p>
    <w:p w:rsidR="00DC1B96" w:rsidRPr="00EF0115" w:rsidRDefault="00DC1B96" w:rsidP="00DC1B96">
      <w:pPr>
        <w:pStyle w:val="ListParagraph"/>
        <w:tabs>
          <w:tab w:val="clear" w:pos="1247"/>
          <w:tab w:val="clear" w:pos="1814"/>
          <w:tab w:val="clear" w:pos="2381"/>
          <w:tab w:val="clear" w:pos="2948"/>
          <w:tab w:val="clear" w:pos="3515"/>
          <w:tab w:val="left" w:pos="2408"/>
        </w:tabs>
        <w:bidi/>
        <w:spacing w:after="120" w:line="400" w:lineRule="exact"/>
        <w:ind w:left="1134" w:firstLine="707"/>
        <w:contextualSpacing w:val="0"/>
        <w:jc w:val="both"/>
        <w:textDirection w:val="tbRlV"/>
        <w:rPr>
          <w:rFonts w:hint="default"/>
          <w:rtl/>
          <w:lang w:eastAsia="zh-TW"/>
        </w:rPr>
      </w:pPr>
      <w:bookmarkStart w:id="18" w:name="bookmark_434"/>
      <w:r w:rsidRPr="00EF0115">
        <w:rPr>
          <w:rFonts w:hint="default"/>
          <w:rtl/>
        </w:rPr>
        <w:t>(هـ)</w:t>
      </w:r>
      <w:r>
        <w:rPr>
          <w:rFonts w:hint="default"/>
          <w:rtl/>
        </w:rPr>
        <w:tab/>
      </w:r>
      <w:r w:rsidRPr="00EF0115">
        <w:rPr>
          <w:rFonts w:hint="default"/>
          <w:rtl/>
          <w:lang w:eastAsia="zh-TW"/>
        </w:rPr>
        <w:t>معدل التعرض البشري للميركس عن طريق الغذاء منخفض جدا</w:t>
      </w:r>
      <w:r>
        <w:rPr>
          <w:rtl/>
          <w:lang w:eastAsia="zh-TW"/>
        </w:rPr>
        <w:t>ً</w:t>
      </w:r>
      <w:r w:rsidRPr="00EF0115">
        <w:rPr>
          <w:rFonts w:hint="default"/>
          <w:rtl/>
          <w:lang w:eastAsia="zh-TW"/>
        </w:rPr>
        <w:t xml:space="preserve"> بصفة عامة في كندا، مع وجود استثناء محتمل يتمثل في فئة سكانية فرعية حرجة تعتمد جزئياً أو كلياً على نظام غذائي مكون من الأسماك والطيور الآكلة للسمك من بحيرة أونتاريو ونهر سان لورانس؛</w:t>
      </w:r>
      <w:bookmarkEnd w:id="18"/>
    </w:p>
    <w:p w:rsidR="00DC1B96" w:rsidRPr="00EF0115" w:rsidRDefault="00DC1B96" w:rsidP="00DC1B96">
      <w:pPr>
        <w:pStyle w:val="ListParagraph"/>
        <w:tabs>
          <w:tab w:val="clear" w:pos="1247"/>
          <w:tab w:val="clear" w:pos="1814"/>
          <w:tab w:val="clear" w:pos="2381"/>
          <w:tab w:val="clear" w:pos="2948"/>
          <w:tab w:val="clear" w:pos="3515"/>
          <w:tab w:val="left" w:pos="2408"/>
        </w:tabs>
        <w:bidi/>
        <w:spacing w:after="120" w:line="400" w:lineRule="exact"/>
        <w:ind w:left="1134" w:firstLine="707"/>
        <w:contextualSpacing w:val="0"/>
        <w:jc w:val="both"/>
        <w:textDirection w:val="tbRlV"/>
        <w:rPr>
          <w:rFonts w:hint="default"/>
          <w:rtl/>
          <w:lang w:eastAsia="zh-TW"/>
        </w:rPr>
      </w:pPr>
      <w:bookmarkStart w:id="19" w:name="bookmark_435"/>
      <w:r w:rsidRPr="00EF0115">
        <w:rPr>
          <w:rFonts w:hint="default"/>
          <w:rtl/>
        </w:rPr>
        <w:t>(و)</w:t>
      </w:r>
      <w:r>
        <w:rPr>
          <w:rFonts w:hint="default"/>
          <w:rtl/>
        </w:rPr>
        <w:tab/>
      </w:r>
      <w:r w:rsidRPr="00EF0115">
        <w:rPr>
          <w:rFonts w:hint="default"/>
          <w:rtl/>
          <w:lang w:eastAsia="zh-TW"/>
        </w:rPr>
        <w:t>الميركس نشط بيولوجياً ويتراكم في السلاسل الغذائية كما أنه مادة ثابتة بدرجة عالية وينتشر في البيئة.</w:t>
      </w:r>
      <w:bookmarkEnd w:id="19"/>
    </w:p>
    <w:p w:rsidR="00DC1B96" w:rsidRPr="00EF0115" w:rsidRDefault="00DC1B96" w:rsidP="00DC1B96">
      <w:pPr>
        <w:tabs>
          <w:tab w:val="left" w:pos="1846"/>
        </w:tabs>
        <w:spacing w:after="120" w:line="400" w:lineRule="exact"/>
        <w:ind w:left="1134"/>
        <w:jc w:val="both"/>
        <w:textDirection w:val="tbRlV"/>
        <w:rPr>
          <w:rFonts w:ascii="Times New Roman" w:hAnsi="Times New Roman" w:cs="Traditional Arabic"/>
          <w:szCs w:val="30"/>
          <w:rtl/>
          <w:lang w:eastAsia="zh-TW"/>
        </w:rPr>
      </w:pPr>
      <w:bookmarkStart w:id="20" w:name="bookmark_436"/>
      <w:r w:rsidRPr="00EF0115">
        <w:rPr>
          <w:rFonts w:ascii="Times New Roman" w:hAnsi="Times New Roman" w:cs="Traditional Arabic"/>
          <w:szCs w:val="30"/>
          <w:rtl/>
          <w:lang w:eastAsia="zh-TW"/>
        </w:rPr>
        <w:t>٤-</w:t>
      </w:r>
      <w:r>
        <w:rPr>
          <w:rFonts w:ascii="Times New Roman" w:hAnsi="Times New Roman" w:cs="Traditional Arabic"/>
          <w:szCs w:val="30"/>
          <w:rtl/>
          <w:lang w:eastAsia="zh-TW"/>
        </w:rPr>
        <w:tab/>
      </w:r>
      <w:r w:rsidRPr="00EF0115">
        <w:rPr>
          <w:rFonts w:ascii="Times New Roman" w:hAnsi="Times New Roman" w:cs="Traditional Arabic"/>
          <w:szCs w:val="30"/>
          <w:rtl/>
          <w:lang w:eastAsia="zh-TW"/>
        </w:rPr>
        <w:t>وقد خلصت اللجنة إلى أن الإجراء التنظيمي النهائي يوفر أساساً عريضاً بما يكفي لتبرير إدراج الميركس في المرفق الثالث لاتفاقية روتردام ضمن الفئة الصناعية. وأشارت إلى أن الإجراء أدى إلى انخفاض في كميات المواد الكيميائية المستخدمة لدى الطرف الم</w:t>
      </w:r>
      <w:r>
        <w:rPr>
          <w:rFonts w:ascii="Times New Roman" w:hAnsi="Times New Roman" w:cs="Traditional Arabic" w:hint="cs"/>
          <w:szCs w:val="30"/>
          <w:rtl/>
          <w:lang w:eastAsia="zh-TW"/>
        </w:rPr>
        <w:t>ـ</w:t>
      </w:r>
      <w:r w:rsidRPr="00EF0115">
        <w:rPr>
          <w:rFonts w:ascii="Times New Roman" w:hAnsi="Times New Roman" w:cs="Traditional Arabic"/>
          <w:szCs w:val="30"/>
          <w:rtl/>
          <w:lang w:eastAsia="zh-TW"/>
        </w:rPr>
        <w:t>ُقدم للإخطار. ولم تسجل هذه المادة أو تستخدم كمبيد للحشرات في كندا ولم تُنتج قط في ذلك البلد. وقد فرض حظر، بمقتضى قرار تقديم الإخطار، على جميع الاستخدامات الأخرى. وخلال الفترة 1963 - 1973 تم استيراد نحو 146 طناً مترياً إلى كندا للاستخدامات الصناعية. وتحظر اتفاقية استكهولم، التي انضمت إليها كندا كطرف، إنتاج واستخدام الميركس. ومن ثم فقد خُفضت المخاطر على صحة البشر والبيئة لدى الطرف صاحب الإخطار بدرجة كبيرة.</w:t>
      </w:r>
      <w:bookmarkEnd w:id="20"/>
    </w:p>
    <w:p w:rsidR="00DC1B96" w:rsidRPr="00EF0115" w:rsidRDefault="00DC1B96" w:rsidP="00DC1B96">
      <w:pPr>
        <w:pStyle w:val="Paralevel1"/>
        <w:tabs>
          <w:tab w:val="clear" w:pos="624"/>
          <w:tab w:val="left" w:pos="1846"/>
        </w:tabs>
        <w:bidi/>
        <w:spacing w:line="400" w:lineRule="exact"/>
        <w:ind w:left="1134"/>
        <w:jc w:val="both"/>
        <w:textDirection w:val="tbRlV"/>
        <w:rPr>
          <w:rFonts w:cs="Traditional Arabic"/>
          <w:snapToGrid/>
          <w:szCs w:val="30"/>
          <w:rtl/>
          <w:lang w:val="en-GB" w:eastAsia="zh-TW"/>
        </w:rPr>
      </w:pPr>
      <w:bookmarkStart w:id="21" w:name="bookmark_437"/>
      <w:r w:rsidRPr="00EF0115">
        <w:rPr>
          <w:rFonts w:cs="Traditional Arabic"/>
          <w:szCs w:val="30"/>
          <w:rtl/>
          <w:lang w:val="en-GB" w:eastAsia="zh-TW"/>
        </w:rPr>
        <w:lastRenderedPageBreak/>
        <w:t>٥-</w:t>
      </w:r>
      <w:r>
        <w:rPr>
          <w:rFonts w:cs="Traditional Arabic"/>
          <w:szCs w:val="30"/>
          <w:rtl/>
          <w:lang w:val="en-GB" w:eastAsia="zh-TW"/>
        </w:rPr>
        <w:tab/>
      </w:r>
      <w:r w:rsidRPr="00EF0115">
        <w:rPr>
          <w:rFonts w:cs="Traditional Arabic"/>
          <w:szCs w:val="30"/>
          <w:rtl/>
          <w:lang w:val="en-GB" w:eastAsia="zh-TW"/>
        </w:rPr>
        <w:t xml:space="preserve">وأخذت اللجنة في الحسبان أن الاعتبارات الكامنة وراء الإجراء التنظيمي النهائي ليست محدودة التطبيق، حيث </w:t>
      </w:r>
      <w:r>
        <w:rPr>
          <w:rFonts w:cs="Traditional Arabic" w:hint="cs"/>
          <w:szCs w:val="30"/>
          <w:rtl/>
          <w:lang w:val="en-GB" w:eastAsia="zh-TW"/>
        </w:rPr>
        <w:t>أ</w:t>
      </w:r>
      <w:r w:rsidRPr="00EF0115">
        <w:rPr>
          <w:rFonts w:cs="Traditional Arabic"/>
          <w:szCs w:val="30"/>
          <w:rtl/>
          <w:lang w:val="en-GB" w:eastAsia="zh-TW"/>
        </w:rPr>
        <w:t xml:space="preserve">ن الميركس عرضة للانتقال البعيد المدى، كما أنه يتسم بالثبات. ولذلك فقد كشف الرصد </w:t>
      </w:r>
      <w:r>
        <w:rPr>
          <w:rFonts w:cs="Traditional Arabic"/>
          <w:szCs w:val="30"/>
          <w:rtl/>
          <w:lang w:val="en-GB" w:eastAsia="zh-TW"/>
        </w:rPr>
        <w:t>أيضاً</w:t>
      </w:r>
      <w:r w:rsidRPr="00EF0115">
        <w:rPr>
          <w:rFonts w:cs="Traditional Arabic"/>
          <w:szCs w:val="30"/>
          <w:rtl/>
          <w:lang w:val="en-GB" w:eastAsia="zh-TW"/>
        </w:rPr>
        <w:t xml:space="preserve"> عن وجود الميركس في أماكن لم يُستخدم فيها قط. وعلى الرغم من عدم إتاحة أية معلومات للجنة عن استمرار التجارة في هذه المادة، فلا يمكن استبعاد حدوث التجارة الدولية فيها.</w:t>
      </w:r>
      <w:bookmarkEnd w:id="21"/>
    </w:p>
    <w:p w:rsidR="00DC1B96" w:rsidRPr="00EF0115" w:rsidRDefault="00DC1B96" w:rsidP="00DC1B96">
      <w:pPr>
        <w:tabs>
          <w:tab w:val="left" w:pos="1846"/>
        </w:tabs>
        <w:spacing w:after="120" w:line="400" w:lineRule="exact"/>
        <w:ind w:left="1134"/>
        <w:jc w:val="both"/>
        <w:textDirection w:val="tbRlV"/>
        <w:rPr>
          <w:rFonts w:ascii="Times New Roman" w:hAnsi="Times New Roman" w:cs="Traditional Arabic"/>
          <w:szCs w:val="30"/>
          <w:rtl/>
          <w:lang w:eastAsia="zh-TW"/>
        </w:rPr>
      </w:pPr>
      <w:bookmarkStart w:id="22" w:name="bookmark_438"/>
      <w:r w:rsidRPr="00EF0115">
        <w:rPr>
          <w:rFonts w:ascii="Times New Roman" w:hAnsi="Times New Roman" w:cs="Traditional Arabic"/>
          <w:szCs w:val="30"/>
          <w:rtl/>
          <w:lang w:eastAsia="zh-TW"/>
        </w:rPr>
        <w:t>٦-</w:t>
      </w:r>
      <w:r>
        <w:rPr>
          <w:rFonts w:ascii="Times New Roman" w:hAnsi="Times New Roman" w:cs="Traditional Arabic"/>
          <w:szCs w:val="30"/>
          <w:rtl/>
          <w:lang w:eastAsia="zh-TW"/>
        </w:rPr>
        <w:tab/>
      </w:r>
      <w:r w:rsidRPr="00EF0115">
        <w:rPr>
          <w:rFonts w:ascii="Times New Roman" w:hAnsi="Times New Roman" w:cs="Traditional Arabic"/>
          <w:szCs w:val="30"/>
          <w:rtl/>
          <w:lang w:eastAsia="zh-TW"/>
        </w:rPr>
        <w:t>وأشارت اللجنة إلى أن الإجراء التنظيمي النهائي لم يُتخذ مخافة إساءة الاستخدام المتعمدة للميركس.</w:t>
      </w:r>
      <w:bookmarkEnd w:id="22"/>
    </w:p>
    <w:p w:rsidR="00DC1B96" w:rsidRPr="00EF0115" w:rsidRDefault="00DC1B96" w:rsidP="00DC1B96">
      <w:pPr>
        <w:tabs>
          <w:tab w:val="left" w:pos="1846"/>
        </w:tabs>
        <w:spacing w:after="120" w:line="400" w:lineRule="exact"/>
        <w:ind w:left="1134"/>
        <w:jc w:val="both"/>
        <w:textDirection w:val="tbRlV"/>
        <w:rPr>
          <w:rFonts w:ascii="Times New Roman" w:hAnsi="Times New Roman" w:cs="Traditional Arabic"/>
          <w:szCs w:val="30"/>
          <w:rtl/>
          <w:lang w:eastAsia="zh-TW"/>
        </w:rPr>
      </w:pPr>
      <w:bookmarkStart w:id="23" w:name="bookmark_439"/>
      <w:r w:rsidRPr="00EF0115">
        <w:rPr>
          <w:rFonts w:ascii="Times New Roman" w:hAnsi="Times New Roman" w:cs="Traditional Arabic"/>
          <w:szCs w:val="30"/>
          <w:rtl/>
          <w:lang w:eastAsia="zh-TW"/>
        </w:rPr>
        <w:t>٧-</w:t>
      </w:r>
      <w:r>
        <w:rPr>
          <w:rFonts w:ascii="Times New Roman" w:hAnsi="Times New Roman" w:cs="Traditional Arabic"/>
          <w:szCs w:val="30"/>
          <w:rtl/>
          <w:lang w:eastAsia="zh-TW"/>
        </w:rPr>
        <w:tab/>
      </w:r>
      <w:r w:rsidRPr="00EF0115">
        <w:rPr>
          <w:rFonts w:ascii="Times New Roman" w:hAnsi="Times New Roman" w:cs="Traditional Arabic"/>
          <w:szCs w:val="30"/>
          <w:rtl/>
          <w:lang w:eastAsia="zh-TW"/>
        </w:rPr>
        <w:t>وخلصت اللجنة في اجتماعها الثالث عشر إلى أن الإخطار بالإجراء التنظيمي النهائي الذي قدمته كندا يستوفي متطلبات تقديم المعلومات بموجب المرفق الأول للاتفاقية، والمعايير المبينة في المرفق الثاني. وعندما تجد اللجنة أن إخطاراً ثانياً بشأن نفس المادة الكيميائية من طرف في منطقة أخرى غير أمريكا الشمالية يستوفى المعايير الواردة في المرفق الثاني، فإنها ستوصي مؤتمر الأطراف بإدراج الميركس في المرفق الثالث لاتفاقية روتردام.</w:t>
      </w:r>
      <w:bookmarkEnd w:id="23"/>
    </w:p>
    <w:p w:rsidR="00DC1B96" w:rsidRPr="005B4476" w:rsidRDefault="00DC1B96" w:rsidP="00DC1B96">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2"/>
        <w:jc w:val="both"/>
        <w:textDirection w:val="tbRlV"/>
        <w:rPr>
          <w:rFonts w:cs="Traditional Arabic"/>
          <w:bCs/>
          <w:sz w:val="32"/>
          <w:szCs w:val="32"/>
          <w:rtl/>
          <w:lang w:eastAsia="zh-TW"/>
        </w:rPr>
      </w:pPr>
      <w:bookmarkStart w:id="24" w:name="bookmark_440"/>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 -13/4: الفوريت</w:t>
      </w:r>
      <w:bookmarkEnd w:id="24"/>
    </w:p>
    <w:p w:rsidR="00DC1B96" w:rsidRPr="00277F93" w:rsidRDefault="00DC1B96" w:rsidP="00DC1B96">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iCs/>
          <w:noProof/>
          <w:szCs w:val="30"/>
          <w:rtl/>
          <w:lang w:val="en-US" w:eastAsia="zh-TW"/>
        </w:rPr>
      </w:pPr>
      <w:bookmarkStart w:id="25" w:name="bookmark_441"/>
      <w:r w:rsidRPr="00277F93">
        <w:rPr>
          <w:rFonts w:cs="Traditional Arabic"/>
          <w:i/>
          <w:iCs/>
          <w:noProof/>
          <w:szCs w:val="30"/>
          <w:rtl/>
          <w:lang w:val="en-US" w:eastAsia="zh-TW"/>
        </w:rPr>
        <w:t>إن لجنة استعراض المواد الكيميائية،</w:t>
      </w:r>
      <w:bookmarkEnd w:id="25"/>
    </w:p>
    <w:p w:rsidR="00DC1B96" w:rsidRPr="00277F93" w:rsidRDefault="00DC1B96" w:rsidP="00DC1B96">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iCs/>
          <w:noProof/>
          <w:szCs w:val="30"/>
          <w:rtl/>
          <w:lang w:val="en-US" w:eastAsia="zh-TW"/>
        </w:rPr>
      </w:pPr>
      <w:bookmarkStart w:id="26" w:name="bookmark_442"/>
      <w:r w:rsidRPr="00277F93">
        <w:rPr>
          <w:rFonts w:cs="Traditional Arabic"/>
          <w:i/>
          <w:iCs/>
          <w:noProof/>
          <w:szCs w:val="30"/>
          <w:rtl/>
          <w:lang w:val="en-US" w:eastAsia="zh-TW"/>
        </w:rPr>
        <w:t xml:space="preserve">إذ تشير </w:t>
      </w:r>
      <w:r w:rsidRPr="006204F3">
        <w:rPr>
          <w:rFonts w:cs="Traditional Arabic"/>
          <w:noProof/>
          <w:szCs w:val="30"/>
          <w:rtl/>
          <w:lang w:val="en-US" w:eastAsia="zh-TW"/>
        </w:rPr>
        <w:t>إلى المادة 5 من اتفاقية روتردام المتعلقة بتطبيق إجراء الموافقة المسبقة عن علم على مواد كيميائية ومبيدات آفات معينة خطرة متداولة في التجارة الدولية،</w:t>
      </w:r>
      <w:bookmarkEnd w:id="26"/>
    </w:p>
    <w:p w:rsidR="00DC1B96" w:rsidRPr="00EF0115" w:rsidRDefault="00DC1B96" w:rsidP="00DC1B96">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bookmarkStart w:id="27" w:name="bookmark_443"/>
      <w:r w:rsidRPr="003C27AD">
        <w:rPr>
          <w:rFonts w:cs="Traditional Arabic"/>
          <w:i/>
          <w:iCs/>
          <w:noProof/>
          <w:szCs w:val="30"/>
          <w:rtl/>
          <w:lang w:val="en-US" w:eastAsia="zh-TW"/>
        </w:rPr>
        <w:t>وإذ تشير أيضاً</w:t>
      </w:r>
      <w:r w:rsidRPr="00EF0115">
        <w:rPr>
          <w:rFonts w:cs="Traditional Arabic"/>
          <w:szCs w:val="30"/>
          <w:rtl/>
          <w:lang w:eastAsia="zh-TW"/>
        </w:rPr>
        <w:t xml:space="preserve"> إلى استنتاج لجنة استعراض المواد الكيميائية، الذي اعتمدته في اجتماعها الخامس، بأن الإخطار </w:t>
      </w:r>
      <w:r w:rsidRPr="00EF0115">
        <w:rPr>
          <w:rFonts w:cs="Traditional Arabic" w:hint="cs"/>
          <w:szCs w:val="30"/>
          <w:rtl/>
          <w:lang w:eastAsia="zh-TW"/>
        </w:rPr>
        <w:t>ب</w:t>
      </w:r>
      <w:r w:rsidRPr="00EF0115">
        <w:rPr>
          <w:rFonts w:cs="Traditional Arabic"/>
          <w:szCs w:val="30"/>
          <w:rtl/>
          <w:lang w:eastAsia="zh-TW"/>
        </w:rPr>
        <w:t>إجراء تنظيمي نهائي الذي قدمته كندا بشأن الفوريت يستوفي المعايير الواردة في المرفق الثاني للاتفاقية</w:t>
      </w:r>
      <w:r w:rsidRPr="00EF0115">
        <w:rPr>
          <w:rFonts w:cs="Traditional Arabic"/>
          <w:szCs w:val="30"/>
          <w:vertAlign w:val="superscript"/>
          <w:rtl/>
          <w:lang w:eastAsia="zh-TW"/>
        </w:rPr>
        <w:t>(</w:t>
      </w:r>
      <w:r w:rsidRPr="00EF0115">
        <w:rPr>
          <w:rStyle w:val="FootnoteReference"/>
          <w:rFonts w:cs="Traditional Arabic"/>
          <w:szCs w:val="30"/>
          <w:rtl/>
          <w:lang w:eastAsia="zh-TW"/>
        </w:rPr>
        <w:footnoteReference w:id="3"/>
      </w:r>
      <w:r w:rsidRPr="00EF0115">
        <w:rPr>
          <w:rFonts w:cs="Traditional Arabic"/>
          <w:szCs w:val="30"/>
          <w:vertAlign w:val="superscript"/>
          <w:rtl/>
          <w:lang w:eastAsia="zh-TW"/>
        </w:rPr>
        <w:t>)</w:t>
      </w:r>
      <w:r w:rsidRPr="00EF0115">
        <w:rPr>
          <w:rFonts w:cs="Traditional Arabic"/>
          <w:szCs w:val="30"/>
          <w:rtl/>
          <w:lang w:eastAsia="zh-TW"/>
        </w:rPr>
        <w:t>،</w:t>
      </w:r>
      <w:bookmarkEnd w:id="27"/>
    </w:p>
    <w:p w:rsidR="00DC1B96" w:rsidRPr="00EF0115" w:rsidRDefault="00DC1B96" w:rsidP="00DC1B96">
      <w:pPr>
        <w:tabs>
          <w:tab w:val="left" w:pos="2408"/>
          <w:tab w:val="left" w:pos="2520"/>
        </w:tabs>
        <w:spacing w:after="120" w:line="400" w:lineRule="exact"/>
        <w:ind w:left="1134" w:firstLine="707"/>
        <w:jc w:val="both"/>
        <w:textDirection w:val="tbRlV"/>
        <w:rPr>
          <w:rFonts w:ascii="Times New Roman" w:hAnsi="Times New Roman" w:cs="Traditional Arabic"/>
          <w:szCs w:val="30"/>
          <w:rtl/>
          <w:lang w:eastAsia="zh-TW"/>
        </w:rPr>
      </w:pPr>
      <w:bookmarkStart w:id="29" w:name="bookmark_445"/>
      <w:r w:rsidRPr="00EF0115">
        <w:rPr>
          <w:rFonts w:ascii="Times New Roman" w:hAnsi="Times New Roman" w:cs="Traditional Arabic"/>
          <w:szCs w:val="30"/>
          <w:rtl/>
          <w:lang w:eastAsia="zh-TW"/>
        </w:rPr>
        <w:t>١-</w:t>
      </w:r>
      <w:r>
        <w:rPr>
          <w:rFonts w:ascii="Times New Roman" w:hAnsi="Times New Roman" w:cs="Traditional Arabic"/>
          <w:szCs w:val="30"/>
          <w:rtl/>
          <w:lang w:eastAsia="zh-TW"/>
        </w:rPr>
        <w:tab/>
      </w:r>
      <w:r w:rsidRPr="003C27AD">
        <w:rPr>
          <w:rFonts w:ascii="Times New Roman" w:hAnsi="Times New Roman" w:cs="Traditional Arabic"/>
          <w:i/>
          <w:iCs/>
          <w:szCs w:val="30"/>
          <w:rtl/>
          <w:lang w:eastAsia="zh-TW"/>
        </w:rPr>
        <w:t>تستنتج</w:t>
      </w:r>
      <w:r w:rsidRPr="00EF0115">
        <w:rPr>
          <w:rFonts w:ascii="Times New Roman" w:hAnsi="Times New Roman" w:cs="Traditional Arabic"/>
          <w:szCs w:val="30"/>
          <w:rtl/>
          <w:lang w:eastAsia="zh-TW"/>
        </w:rPr>
        <w:t xml:space="preserve"> أن الإخطار بإجراء تنظيمي نهائي الذي قدمته البرازيل</w:t>
      </w:r>
      <w:r w:rsidRPr="00EF0115">
        <w:rPr>
          <w:rFonts w:ascii="Times New Roman" w:hAnsi="Times New Roman" w:cs="Traditional Arabic"/>
          <w:szCs w:val="30"/>
          <w:vertAlign w:val="superscript"/>
          <w:rtl/>
          <w:lang w:eastAsia="zh-TW"/>
        </w:rPr>
        <w:t>(</w:t>
      </w:r>
      <w:r w:rsidRPr="00EF0115">
        <w:rPr>
          <w:rStyle w:val="FootnoteReference"/>
          <w:rFonts w:ascii="Times New Roman" w:hAnsi="Times New Roman" w:cs="Traditional Arabic"/>
          <w:szCs w:val="30"/>
          <w:rtl/>
          <w:lang w:eastAsia="zh-TW"/>
        </w:rPr>
        <w:footnoteReference w:id="4"/>
      </w:r>
      <w:r w:rsidRPr="00EF0115">
        <w:rPr>
          <w:rFonts w:ascii="Times New Roman" w:hAnsi="Times New Roman" w:cs="Traditional Arabic"/>
          <w:szCs w:val="30"/>
          <w:vertAlign w:val="superscript"/>
          <w:rtl/>
          <w:lang w:eastAsia="zh-TW"/>
        </w:rPr>
        <w:t>)</w:t>
      </w:r>
      <w:r w:rsidRPr="00EF0115">
        <w:rPr>
          <w:rFonts w:ascii="Times New Roman" w:hAnsi="Times New Roman" w:cs="Traditional Arabic"/>
          <w:szCs w:val="30"/>
          <w:rtl/>
          <w:lang w:eastAsia="zh-TW"/>
        </w:rPr>
        <w:t xml:space="preserve"> بشأن الفوريت يستوفي المعايير المنصوص عليها في المرفق الثاني للاتفاقية؛</w:t>
      </w:r>
      <w:bookmarkEnd w:id="29"/>
    </w:p>
    <w:p w:rsidR="00DC1B96" w:rsidRPr="00EF0115" w:rsidRDefault="00DC1B96" w:rsidP="00DC1B96">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٢-</w:t>
      </w:r>
      <w:r>
        <w:rPr>
          <w:rFonts w:cs="Traditional Arabic"/>
          <w:szCs w:val="30"/>
          <w:rtl/>
          <w:lang w:eastAsia="zh-TW"/>
        </w:rPr>
        <w:tab/>
      </w:r>
      <w:bookmarkStart w:id="31" w:name="bookmark_447"/>
      <w:r w:rsidRPr="003C27AD">
        <w:rPr>
          <w:rFonts w:cs="Traditional Arabic"/>
          <w:i/>
          <w:iCs/>
          <w:noProof/>
          <w:szCs w:val="30"/>
          <w:rtl/>
          <w:lang w:val="en-US" w:eastAsia="zh-TW"/>
        </w:rPr>
        <w:t>تعتمد</w:t>
      </w:r>
      <w:r w:rsidRPr="00EF0115">
        <w:rPr>
          <w:rFonts w:cs="Traditional Arabic"/>
          <w:szCs w:val="30"/>
          <w:rtl/>
          <w:lang w:eastAsia="zh-TW"/>
        </w:rPr>
        <w:t xml:space="preserve"> الأساس النظري لاستنتاج اللجنة الوارد في مرفق هذا المقرر؛</w:t>
      </w:r>
      <w:bookmarkEnd w:id="31"/>
    </w:p>
    <w:p w:rsidR="00DC1B96" w:rsidRPr="00EF0115" w:rsidRDefault="00DC1B96" w:rsidP="00DC1B96">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٣-</w:t>
      </w:r>
      <w:r>
        <w:rPr>
          <w:rFonts w:cs="Traditional Arabic"/>
          <w:szCs w:val="30"/>
          <w:rtl/>
          <w:lang w:eastAsia="zh-TW"/>
        </w:rPr>
        <w:tab/>
      </w:r>
      <w:bookmarkStart w:id="32" w:name="bookmark_448"/>
      <w:r w:rsidRPr="003C27AD">
        <w:rPr>
          <w:rFonts w:cs="Traditional Arabic"/>
          <w:i/>
          <w:iCs/>
          <w:noProof/>
          <w:szCs w:val="30"/>
          <w:rtl/>
          <w:lang w:val="en-US" w:eastAsia="zh-TW"/>
        </w:rPr>
        <w:t>توصي</w:t>
      </w:r>
      <w:r w:rsidRPr="00EF0115">
        <w:rPr>
          <w:rFonts w:cs="Traditional Arabic"/>
          <w:szCs w:val="30"/>
          <w:rtl/>
          <w:lang w:eastAsia="zh-TW"/>
        </w:rPr>
        <w:t xml:space="preserve"> مؤتمر الأطراف، وفقاً للفقرة 6 من المادة 5 للاتفاقية، بإدراج الفوريت في المرفق الثالث للاتفاقية بوصفه مبيد آفات؛</w:t>
      </w:r>
      <w:bookmarkEnd w:id="32"/>
    </w:p>
    <w:p w:rsidR="00DC1B96" w:rsidRPr="00EF0115" w:rsidRDefault="00DC1B96" w:rsidP="00DC1B96">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bookmarkStart w:id="33" w:name="bookmark_449"/>
      <w:r w:rsidRPr="00EF0115">
        <w:rPr>
          <w:rFonts w:cs="Traditional Arabic"/>
          <w:szCs w:val="30"/>
          <w:rtl/>
          <w:lang w:eastAsia="zh-TW"/>
        </w:rPr>
        <w:t>٤-</w:t>
      </w:r>
      <w:r>
        <w:rPr>
          <w:rFonts w:cs="Traditional Arabic"/>
          <w:szCs w:val="30"/>
          <w:rtl/>
          <w:lang w:eastAsia="zh-TW"/>
        </w:rPr>
        <w:tab/>
      </w:r>
      <w:r w:rsidRPr="003C27AD">
        <w:rPr>
          <w:rFonts w:cs="Traditional Arabic"/>
          <w:i/>
          <w:iCs/>
          <w:noProof/>
          <w:szCs w:val="30"/>
          <w:rtl/>
          <w:lang w:val="en-US" w:eastAsia="zh-TW"/>
        </w:rPr>
        <w:t>تقرر</w:t>
      </w:r>
      <w:r w:rsidRPr="00EF0115">
        <w:rPr>
          <w:rFonts w:cs="Traditional Arabic"/>
          <w:szCs w:val="30"/>
          <w:rtl/>
          <w:lang w:eastAsia="zh-TW"/>
        </w:rPr>
        <w:t>، وفقاً للفقرة 1 من المادة 7 للاتفاقية، إعداد مشروع وثيقة توجيه قرارات بشأن الفوريت؛</w:t>
      </w:r>
      <w:bookmarkEnd w:id="33"/>
    </w:p>
    <w:p w:rsidR="00DC1B96" w:rsidRPr="00EF0115" w:rsidRDefault="00DC1B96" w:rsidP="00DC1B96">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bookmarkStart w:id="34" w:name="bookmark_450"/>
      <w:r w:rsidRPr="00EF0115">
        <w:rPr>
          <w:rFonts w:cs="Traditional Arabic"/>
          <w:szCs w:val="30"/>
          <w:rtl/>
          <w:lang w:eastAsia="zh-TW"/>
        </w:rPr>
        <w:t>٥-</w:t>
      </w:r>
      <w:r>
        <w:rPr>
          <w:rFonts w:cs="Traditional Arabic"/>
          <w:szCs w:val="30"/>
          <w:rtl/>
          <w:lang w:eastAsia="zh-TW"/>
        </w:rPr>
        <w:tab/>
      </w:r>
      <w:r w:rsidRPr="003C27AD">
        <w:rPr>
          <w:rFonts w:cs="Traditional Arabic"/>
          <w:i/>
          <w:iCs/>
          <w:noProof/>
          <w:szCs w:val="30"/>
          <w:rtl/>
          <w:lang w:val="en-US" w:eastAsia="zh-TW"/>
        </w:rPr>
        <w:t>تقرر أيضاً</w:t>
      </w:r>
      <w:r w:rsidRPr="00EF0115">
        <w:rPr>
          <w:rFonts w:cs="Traditional Arabic"/>
          <w:szCs w:val="30"/>
          <w:rtl/>
          <w:lang w:eastAsia="zh-TW"/>
        </w:rPr>
        <w:t xml:space="preserve">، وفقاً لعملية صياغة توجيهات القرارات المبينة في المقرر ار- 2/2، والمنقحة بموجب المقرر ار-6/3، أن يتم تشكيل فريق الصياغة لما بين الدورات المكلف بإعداد وثيقة توجيه القرارات </w:t>
      </w:r>
      <w:r w:rsidRPr="00EF0115">
        <w:rPr>
          <w:rFonts w:cs="Traditional Arabic" w:hint="cs"/>
          <w:szCs w:val="30"/>
          <w:rtl/>
          <w:lang w:eastAsia="zh-TW"/>
        </w:rPr>
        <w:lastRenderedPageBreak/>
        <w:t>بشأن</w:t>
      </w:r>
      <w:r w:rsidRPr="00EF0115">
        <w:rPr>
          <w:rFonts w:cs="Traditional Arabic"/>
          <w:szCs w:val="30"/>
          <w:rtl/>
          <w:lang w:eastAsia="zh-TW"/>
        </w:rPr>
        <w:t xml:space="preserve"> الفوريت على النحو الوارد في المرفق الثاني لتقرير اللجنة عن أعمال اجتماعها الثالث عشر</w:t>
      </w:r>
      <w:r w:rsidRPr="00EF0115">
        <w:rPr>
          <w:rFonts w:cs="Traditional Arabic" w:hint="cs"/>
          <w:szCs w:val="30"/>
          <w:rtl/>
          <w:lang w:eastAsia="zh-TW"/>
        </w:rPr>
        <w:t>،</w:t>
      </w:r>
      <w:r w:rsidRPr="00EF0115">
        <w:rPr>
          <w:rFonts w:cs="Traditional Arabic"/>
          <w:szCs w:val="30"/>
          <w:rtl/>
          <w:lang w:eastAsia="zh-TW"/>
        </w:rPr>
        <w:t xml:space="preserve"> وخطة عمل الفريق على النحو الوارد في مرفق</w:t>
      </w:r>
      <w:r w:rsidRPr="00EF0115">
        <w:rPr>
          <w:rFonts w:cs="Traditional Arabic" w:hint="cs"/>
          <w:szCs w:val="30"/>
          <w:rtl/>
          <w:lang w:eastAsia="zh-TW"/>
        </w:rPr>
        <w:t>ه</w:t>
      </w:r>
      <w:r w:rsidRPr="00EF0115">
        <w:rPr>
          <w:rFonts w:cs="Traditional Arabic"/>
          <w:szCs w:val="30"/>
          <w:rtl/>
          <w:lang w:eastAsia="zh-TW"/>
        </w:rPr>
        <w:t xml:space="preserve"> الثالث.</w:t>
      </w:r>
      <w:bookmarkEnd w:id="34"/>
    </w:p>
    <w:p w:rsidR="00D22374" w:rsidRDefault="00D22374"/>
    <w:sectPr w:rsidR="00D22374"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261" w:rsidRDefault="002F5261" w:rsidP="00DC1B96">
      <w:r>
        <w:separator/>
      </w:r>
    </w:p>
  </w:endnote>
  <w:endnote w:type="continuationSeparator" w:id="0">
    <w:p w:rsidR="002F5261" w:rsidRDefault="002F5261" w:rsidP="00DC1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261" w:rsidRDefault="002F5261" w:rsidP="00DC1B96">
      <w:r>
        <w:separator/>
      </w:r>
    </w:p>
  </w:footnote>
  <w:footnote w:type="continuationSeparator" w:id="0">
    <w:p w:rsidR="002F5261" w:rsidRDefault="002F5261" w:rsidP="00DC1B96">
      <w:r>
        <w:continuationSeparator/>
      </w:r>
    </w:p>
  </w:footnote>
  <w:footnote w:id="1">
    <w:p w:rsidR="00DC1B96" w:rsidRPr="00012EA5" w:rsidRDefault="00DC1B96" w:rsidP="00DC1B96">
      <w:pPr>
        <w:pStyle w:val="FootnoteText"/>
        <w:spacing w:after="60"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4" w:name="footnoteBookmark_420"/>
      <w:r w:rsidRPr="00012EA5">
        <w:rPr>
          <w:rFonts w:ascii="Traditional Arabic" w:hAnsi="Traditional Arabic" w:cs="Traditional Arabic" w:hint="cs"/>
          <w:sz w:val="26"/>
          <w:szCs w:val="26"/>
          <w:lang w:val="en-GB" w:eastAsia="zh-TW"/>
        </w:rPr>
        <w:t>(</w:t>
      </w:r>
      <w:r>
        <w:rPr>
          <w:rFonts w:ascii="Traditional Arabic" w:hAnsi="Traditional Arabic" w:cs="Traditional Arabic" w:hint="cs"/>
          <w:sz w:val="26"/>
          <w:szCs w:val="26"/>
          <w:rtl/>
          <w:lang w:val="en-GB" w:eastAsia="zh-TW"/>
        </w:rPr>
        <w:t xml:space="preserve">  </w:t>
      </w:r>
      <w:r w:rsidRPr="00012EA5">
        <w:rPr>
          <w:rFonts w:ascii="Traditional Arabic" w:hAnsi="Traditional Arabic" w:cs="Traditional Arabic"/>
          <w:sz w:val="26"/>
          <w:szCs w:val="26"/>
          <w:rtl/>
          <w:lang w:val="en-GB" w:eastAsia="zh-TW"/>
        </w:rPr>
        <w:t xml:space="preserve">انظر </w:t>
      </w:r>
      <w:r w:rsidRPr="003C27AD">
        <w:rPr>
          <w:rFonts w:asciiTheme="majorBidi" w:hAnsiTheme="majorBidi" w:cstheme="majorBidi"/>
          <w:sz w:val="18"/>
          <w:szCs w:val="18"/>
          <w:lang w:val="en-GB" w:eastAsia="zh-TW"/>
        </w:rPr>
        <w:t>UNEP/FAO/RC/CRC.13/10</w:t>
      </w:r>
      <w:r w:rsidRPr="00012EA5">
        <w:rPr>
          <w:rFonts w:ascii="Traditional Arabic" w:hAnsi="Traditional Arabic" w:cs="Traditional Arabic"/>
          <w:sz w:val="26"/>
          <w:szCs w:val="26"/>
          <w:rtl/>
          <w:lang w:val="en-GB" w:eastAsia="zh-TW"/>
        </w:rPr>
        <w:t>.</w:t>
      </w:r>
      <w:bookmarkEnd w:id="4"/>
    </w:p>
  </w:footnote>
  <w:footnote w:id="2">
    <w:p w:rsidR="00DC1B96" w:rsidRPr="00012EA5" w:rsidRDefault="00DC1B96" w:rsidP="00DC1B96">
      <w:pPr>
        <w:pStyle w:val="FootnoteText"/>
        <w:spacing w:after="60"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7" w:name="footnoteBookmark_423"/>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lang w:val="en-GB" w:eastAsia="zh-TW"/>
        </w:rPr>
        <w:t xml:space="preserve"> </w:t>
      </w:r>
      <w:r>
        <w:rPr>
          <w:rFonts w:ascii="Traditional Arabic" w:hAnsi="Traditional Arabic" w:cs="Traditional Arabic" w:hint="cs"/>
          <w:sz w:val="26"/>
          <w:szCs w:val="26"/>
          <w:rtl/>
          <w:lang w:val="en-GB" w:eastAsia="zh-TW"/>
        </w:rPr>
        <w:t xml:space="preserve"> </w:t>
      </w:r>
      <w:r w:rsidRPr="00012EA5">
        <w:rPr>
          <w:rFonts w:ascii="Traditional Arabic" w:hAnsi="Traditional Arabic" w:cs="Traditional Arabic"/>
          <w:sz w:val="26"/>
          <w:szCs w:val="26"/>
          <w:rtl/>
          <w:lang w:val="en-GB" w:eastAsia="zh-TW"/>
        </w:rPr>
        <w:t>يحل الأساس النظري المرفق بهذا المقرر محل الأساس النظري الذي وضعته اللجنة في اجتماعها الثاني (</w:t>
      </w:r>
      <w:r w:rsidRPr="006204F3">
        <w:rPr>
          <w:rFonts w:asciiTheme="majorBidi" w:hAnsiTheme="majorBidi" w:cstheme="majorBidi"/>
          <w:sz w:val="18"/>
          <w:szCs w:val="18"/>
          <w:lang w:val="en-GB" w:eastAsia="zh-TW"/>
        </w:rPr>
        <w:t>UNEP/FAO/RC/CRC.2/20</w:t>
      </w:r>
      <w:r w:rsidRPr="00012EA5">
        <w:rPr>
          <w:rFonts w:ascii="Traditional Arabic" w:hAnsi="Traditional Arabic" w:cs="Traditional Arabic"/>
          <w:sz w:val="26"/>
          <w:szCs w:val="26"/>
          <w:rtl/>
          <w:lang w:val="en-GB" w:eastAsia="zh-TW"/>
        </w:rPr>
        <w:t>،</w:t>
      </w:r>
      <w:r>
        <w:rPr>
          <w:rFonts w:ascii="Traditional Arabic" w:hAnsi="Traditional Arabic" w:cs="Traditional Arabic" w:hint="cs"/>
          <w:sz w:val="26"/>
          <w:szCs w:val="26"/>
          <w:rtl/>
          <w:lang w:val="en-GB" w:eastAsia="zh-TW"/>
        </w:rPr>
        <w:t xml:space="preserve"> </w:t>
      </w:r>
      <w:r w:rsidRPr="00012EA5">
        <w:rPr>
          <w:rFonts w:ascii="Traditional Arabic" w:hAnsi="Traditional Arabic" w:cs="Traditional Arabic"/>
          <w:sz w:val="26"/>
          <w:szCs w:val="26"/>
          <w:rtl/>
          <w:lang w:val="en-GB" w:eastAsia="zh-TW"/>
        </w:rPr>
        <w:t>المرفق الثاني، الفرع دال).</w:t>
      </w:r>
      <w:bookmarkEnd w:id="7"/>
    </w:p>
  </w:footnote>
  <w:footnote w:id="3">
    <w:p w:rsidR="00DC1B96" w:rsidRPr="00012EA5" w:rsidRDefault="00DC1B96" w:rsidP="00DC1B96">
      <w:pPr>
        <w:pStyle w:val="FootnoteText"/>
        <w:spacing w:after="60"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28" w:name="footnoteBookmark_444"/>
      <w:r w:rsidRPr="003C27AD">
        <w:rPr>
          <w:rFonts w:asciiTheme="majorBidi" w:hAnsiTheme="majorBidi" w:cstheme="majorBidi"/>
          <w:sz w:val="18"/>
          <w:szCs w:val="18"/>
          <w:lang w:val="en-GB" w:eastAsia="zh-TW"/>
        </w:rPr>
        <w:t>UNEP/FAO/RC/CRC.5/16</w:t>
      </w:r>
      <w:r w:rsidRPr="00012EA5">
        <w:rPr>
          <w:rFonts w:ascii="Traditional Arabic" w:hAnsi="Traditional Arabic" w:cs="Traditional Arabic" w:hint="cs"/>
          <w:sz w:val="26"/>
          <w:szCs w:val="26"/>
          <w:lang w:val="en-GB" w:eastAsia="zh-TW"/>
        </w:rPr>
        <w:t xml:space="preserve">  (</w:t>
      </w:r>
      <w:r w:rsidRPr="00012EA5">
        <w:rPr>
          <w:rFonts w:ascii="Traditional Arabic" w:hAnsi="Traditional Arabic" w:cs="Traditional Arabic"/>
          <w:sz w:val="26"/>
          <w:szCs w:val="26"/>
          <w:rtl/>
          <w:lang w:val="en-GB" w:eastAsia="zh-TW"/>
        </w:rPr>
        <w:t>، المرفق الثالث، الفرع باء.</w:t>
      </w:r>
      <w:bookmarkEnd w:id="28"/>
    </w:p>
  </w:footnote>
  <w:footnote w:id="4">
    <w:p w:rsidR="00DC1B96" w:rsidRPr="00012EA5" w:rsidRDefault="00DC1B96" w:rsidP="00DC1B96">
      <w:pPr>
        <w:pStyle w:val="FootnoteText"/>
        <w:spacing w:after="60"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30" w:name="footnoteBookmark_446"/>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hint="cs"/>
          <w:sz w:val="26"/>
          <w:szCs w:val="26"/>
          <w:rtl/>
          <w:lang w:val="en-GB" w:eastAsia="zh-TW"/>
        </w:rPr>
        <w:t xml:space="preserve"> </w:t>
      </w:r>
      <w:r>
        <w:rPr>
          <w:rFonts w:ascii="Traditional Arabic" w:hAnsi="Traditional Arabic" w:cs="Traditional Arabic" w:hint="cs"/>
          <w:sz w:val="26"/>
          <w:szCs w:val="26"/>
          <w:rtl/>
          <w:lang w:val="en-GB" w:eastAsia="zh-TW"/>
        </w:rPr>
        <w:t xml:space="preserve"> </w:t>
      </w:r>
      <w:r w:rsidRPr="00012EA5">
        <w:rPr>
          <w:rFonts w:ascii="Traditional Arabic" w:hAnsi="Traditional Arabic" w:cs="Traditional Arabic" w:hint="cs"/>
          <w:sz w:val="26"/>
          <w:szCs w:val="26"/>
          <w:rtl/>
          <w:lang w:val="en-GB" w:eastAsia="zh-TW"/>
        </w:rPr>
        <w:t>ا</w:t>
      </w:r>
      <w:r w:rsidRPr="00012EA5">
        <w:rPr>
          <w:rFonts w:ascii="Traditional Arabic" w:hAnsi="Traditional Arabic" w:cs="Traditional Arabic"/>
          <w:sz w:val="26"/>
          <w:szCs w:val="26"/>
          <w:rtl/>
          <w:lang w:val="en-GB" w:eastAsia="zh-TW"/>
        </w:rPr>
        <w:t xml:space="preserve">نظر </w:t>
      </w:r>
      <w:r w:rsidRPr="003C27AD">
        <w:rPr>
          <w:rFonts w:asciiTheme="majorBidi" w:hAnsiTheme="majorBidi" w:cstheme="majorBidi"/>
          <w:sz w:val="18"/>
          <w:szCs w:val="18"/>
          <w:lang w:val="en-GB" w:eastAsia="zh-TW"/>
        </w:rPr>
        <w:t>UNEP/FAO/RC/CRC.13/13</w:t>
      </w:r>
      <w:r w:rsidRPr="00012EA5">
        <w:rPr>
          <w:rFonts w:ascii="Traditional Arabic" w:hAnsi="Traditional Arabic" w:cs="Traditional Arabic"/>
          <w:sz w:val="26"/>
          <w:szCs w:val="26"/>
          <w:rtl/>
          <w:lang w:val="en-GB" w:eastAsia="zh-TW"/>
        </w:rPr>
        <w:t>.</w:t>
      </w:r>
      <w:bookmarkEnd w:id="30"/>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945281BC"/>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706"/>
        </w:tabs>
        <w:ind w:left="3087"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4A2A7D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0">
      <w:lvl w:ilvl="0">
        <w:start w:val="1"/>
        <w:numFmt w:val="decimal"/>
        <w:lvlText w:val="%1-"/>
        <w:lvlJc w:val="left"/>
        <w:pPr>
          <w:tabs>
            <w:tab w:val="num" w:pos="567"/>
          </w:tabs>
          <w:ind w:left="1247" w:firstLine="0"/>
        </w:pPr>
        <w:rPr>
          <w:rFonts w:ascii="Traditional Arabic" w:eastAsia="Times New Roman" w:hAnsi="Traditional Arabic" w:cs="Traditional Arabic"/>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62"/>
  <w:characterSpacingControl w:val="doNotCompress"/>
  <w:footnotePr>
    <w:footnote w:id="-1"/>
    <w:footnote w:id="0"/>
  </w:footnotePr>
  <w:endnotePr>
    <w:endnote w:id="-1"/>
    <w:endnote w:id="0"/>
  </w:endnotePr>
  <w:compat/>
  <w:rsids>
    <w:rsidRoot w:val="00DC1B96"/>
    <w:rsid w:val="002F5261"/>
    <w:rsid w:val="00D22374"/>
    <w:rsid w:val="00DC1B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B96"/>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uiPriority w:val="99"/>
    <w:rsid w:val="00DC1B96"/>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uiPriority w:val="99"/>
    <w:rsid w:val="00DC1B96"/>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
    <w:uiPriority w:val="99"/>
    <w:rsid w:val="00DC1B96"/>
    <w:rPr>
      <w:vertAlign w:val="superscript"/>
    </w:rPr>
  </w:style>
  <w:style w:type="paragraph" w:customStyle="1" w:styleId="Paralevel1">
    <w:name w:val="Para level1"/>
    <w:basedOn w:val="Normal"/>
    <w:autoRedefine/>
    <w:rsid w:val="00DC1B96"/>
    <w:pPr>
      <w:tabs>
        <w:tab w:val="num" w:pos="624"/>
      </w:tabs>
      <w:suppressAutoHyphens/>
      <w:bidi w:val="0"/>
      <w:spacing w:after="120"/>
      <w:ind w:left="1247"/>
    </w:pPr>
    <w:rPr>
      <w:rFonts w:ascii="Times New Roman" w:hAnsi="Times New Roman" w:cs="Times New Roman"/>
      <w:noProof w:val="0"/>
      <w:snapToGrid w:val="0"/>
      <w:szCs w:val="20"/>
    </w:rPr>
  </w:style>
  <w:style w:type="paragraph" w:customStyle="1" w:styleId="Normal-pool">
    <w:name w:val="Normal-pool"/>
    <w:link w:val="Normal-poolChar"/>
    <w:rsid w:val="00DC1B96"/>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CH1">
    <w:name w:val="CH1"/>
    <w:basedOn w:val="Normal"/>
    <w:next w:val="Normal"/>
    <w:rsid w:val="00DC1B96"/>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ascii="Times New Roman" w:hAnsi="Times New Roman" w:cs="Times New Roman"/>
      <w:b/>
      <w:noProof w:val="0"/>
      <w:sz w:val="28"/>
      <w:lang w:val="en-GB"/>
    </w:rPr>
  </w:style>
  <w:style w:type="numbering" w:customStyle="1" w:styleId="Normallist">
    <w:name w:val="Normal_list"/>
    <w:basedOn w:val="NoList"/>
    <w:rsid w:val="00DC1B96"/>
    <w:pPr>
      <w:numPr>
        <w:numId w:val="1"/>
      </w:numPr>
    </w:pPr>
  </w:style>
  <w:style w:type="paragraph" w:customStyle="1" w:styleId="Normalnumber">
    <w:name w:val="Normal_number"/>
    <w:basedOn w:val="Normal"/>
    <w:link w:val="NormalnumberChar"/>
    <w:rsid w:val="00DC1B96"/>
    <w:pPr>
      <w:numPr>
        <w:numId w:val="1"/>
      </w:numPr>
      <w:tabs>
        <w:tab w:val="left" w:pos="624"/>
      </w:tabs>
      <w:bidi w:val="0"/>
      <w:spacing w:after="120"/>
    </w:pPr>
    <w:rPr>
      <w:rFonts w:ascii="Times New Roman" w:hAnsi="Times New Roman" w:cs="Times New Roman"/>
      <w:noProof w:val="0"/>
      <w:szCs w:val="20"/>
      <w:lang w:val="en-GB"/>
    </w:rPr>
  </w:style>
  <w:style w:type="character" w:customStyle="1" w:styleId="NormalnumberChar">
    <w:name w:val="Normal_number Char"/>
    <w:link w:val="Normalnumber"/>
    <w:locked/>
    <w:rsid w:val="00DC1B96"/>
    <w:rPr>
      <w:rFonts w:ascii="Times New Roman" w:eastAsia="Times New Roman" w:hAnsi="Times New Roman" w:cs="Times New Roman"/>
      <w:sz w:val="20"/>
      <w:szCs w:val="20"/>
      <w:lang w:val="en-GB"/>
    </w:rPr>
  </w:style>
  <w:style w:type="character" w:customStyle="1" w:styleId="Normal-poolChar">
    <w:name w:val="Normal-pool Char"/>
    <w:link w:val="Normal-pool"/>
    <w:locked/>
    <w:rsid w:val="00DC1B96"/>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DC1B96"/>
    <w:pPr>
      <w:tabs>
        <w:tab w:val="left" w:pos="1247"/>
        <w:tab w:val="left" w:pos="1814"/>
        <w:tab w:val="left" w:pos="2381"/>
        <w:tab w:val="left" w:pos="2948"/>
        <w:tab w:val="left" w:pos="3515"/>
      </w:tabs>
      <w:bidi w:val="0"/>
      <w:ind w:left="720"/>
      <w:contextualSpacing/>
    </w:pPr>
    <w:rPr>
      <w:rFonts w:ascii="Times New Roman" w:hAnsi="Times New Roman" w:cs="Traditional Arabic" w:hint="cs"/>
      <w:noProof w:val="0"/>
      <w:szCs w:val="3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927</Words>
  <Characters>5284</Characters>
  <Application>Microsoft Office Word</Application>
  <DocSecurity>0</DocSecurity>
  <Lines>44</Lines>
  <Paragraphs>12</Paragraphs>
  <ScaleCrop>false</ScaleCrop>
  <Company>BRS</Company>
  <LinksUpToDate>false</LinksUpToDate>
  <CharactersWithSpaces>6199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2018-02-28T16:33:00Z</dcterms:created>
  <dcterms:modified xsi:type="dcterms:W3CDTF">2018-02-28T16:33:00Z</dcterms:modified>
</cp:coreProperties>
</file>