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CC" w:rsidRPr="00C62790" w:rsidRDefault="005A25CC" w:rsidP="0087773A">
      <w:pPr>
        <w:pStyle w:val="CH1"/>
        <w:tabs>
          <w:tab w:val="left" w:pos="5940"/>
        </w:tabs>
        <w:ind w:left="1253" w:right="288" w:hanging="1253"/>
        <w:rPr>
          <w:lang w:val="fr-FR"/>
        </w:rPr>
      </w:pPr>
      <w:r>
        <w:rPr>
          <w:lang w:val="fr-FR"/>
        </w:rPr>
        <w:tab/>
      </w:r>
      <w:r>
        <w:rPr>
          <w:lang w:val="fr-FR"/>
        </w:rPr>
        <w:tab/>
      </w:r>
      <w:r w:rsidRPr="00C62790">
        <w:rPr>
          <w:lang w:val="fr-FR"/>
        </w:rPr>
        <w:t>CRC-13/3</w:t>
      </w:r>
      <w:r>
        <w:rPr>
          <w:lang w:val="fr-FR"/>
        </w:rPr>
        <w:t> </w:t>
      </w:r>
      <w:r w:rsidRPr="00C62790">
        <w:rPr>
          <w:lang w:val="fr-FR"/>
        </w:rPr>
        <w:t xml:space="preserve">: </w:t>
      </w:r>
      <w:proofErr w:type="spellStart"/>
      <w:r w:rsidRPr="00C62790">
        <w:rPr>
          <w:lang w:val="fr-FR"/>
        </w:rPr>
        <w:t>Mirex</w:t>
      </w:r>
      <w:proofErr w:type="spellEnd"/>
    </w:p>
    <w:p w:rsidR="005A25CC" w:rsidRPr="00C62790" w:rsidRDefault="005A25CC" w:rsidP="005A25CC">
      <w:pPr>
        <w:pStyle w:val="Normal-pool"/>
        <w:tabs>
          <w:tab w:val="clear" w:pos="1247"/>
          <w:tab w:val="clear" w:pos="1814"/>
          <w:tab w:val="clear" w:pos="2381"/>
          <w:tab w:val="clear" w:pos="2948"/>
          <w:tab w:val="clear" w:pos="3515"/>
          <w:tab w:val="left" w:pos="624"/>
        </w:tabs>
        <w:spacing w:after="120"/>
        <w:ind w:left="1247" w:firstLine="624"/>
        <w:rPr>
          <w:i/>
          <w:lang w:val="fr-FR"/>
        </w:rPr>
      </w:pPr>
      <w:r w:rsidRPr="00C62790">
        <w:rPr>
          <w:i/>
          <w:lang w:val="fr-FR"/>
        </w:rPr>
        <w:t>Le Comité d</w:t>
      </w:r>
      <w:r>
        <w:rPr>
          <w:i/>
          <w:lang w:val="fr-FR"/>
        </w:rPr>
        <w:t>’</w:t>
      </w:r>
      <w:r w:rsidRPr="00C62790">
        <w:rPr>
          <w:i/>
          <w:lang w:val="fr-FR"/>
        </w:rPr>
        <w:t>étude des produits chimiques</w:t>
      </w:r>
      <w:r w:rsidRPr="00C62790">
        <w:rPr>
          <w:lang w:val="fr-FR"/>
        </w:rPr>
        <w:t>,</w:t>
      </w:r>
    </w:p>
    <w:p w:rsidR="005A25CC" w:rsidRPr="00C62790" w:rsidRDefault="005A25CC" w:rsidP="005A25CC">
      <w:pPr>
        <w:pStyle w:val="Normal-pool"/>
        <w:tabs>
          <w:tab w:val="clear" w:pos="1247"/>
          <w:tab w:val="clear" w:pos="1814"/>
          <w:tab w:val="clear" w:pos="2381"/>
          <w:tab w:val="clear" w:pos="2948"/>
          <w:tab w:val="clear" w:pos="3515"/>
          <w:tab w:val="left" w:pos="624"/>
        </w:tabs>
        <w:spacing w:after="120"/>
        <w:ind w:left="1247" w:firstLine="624"/>
        <w:rPr>
          <w:lang w:val="fr-FR"/>
        </w:rPr>
      </w:pPr>
      <w:r w:rsidRPr="00C62790">
        <w:rPr>
          <w:i/>
          <w:lang w:val="fr-FR"/>
        </w:rPr>
        <w:t>Rappelant</w:t>
      </w:r>
      <w:r w:rsidRPr="00C62790">
        <w:rPr>
          <w:lang w:val="fr-FR"/>
        </w:rPr>
        <w:t xml:space="preserve"> l</w:t>
      </w:r>
      <w:r>
        <w:rPr>
          <w:lang w:val="fr-FR"/>
        </w:rPr>
        <w:t>’</w:t>
      </w:r>
      <w:r w:rsidRPr="00C62790">
        <w:rPr>
          <w:lang w:val="fr-FR"/>
        </w:rPr>
        <w:t>article 5 de la Convention de Rotterdam sur la procédure de consentement préalable en connaissance de cause applicable à certains produits chimiques et pesticides dangereux qui font l</w:t>
      </w:r>
      <w:r>
        <w:rPr>
          <w:lang w:val="fr-FR"/>
        </w:rPr>
        <w:t>’</w:t>
      </w:r>
      <w:r w:rsidRPr="00C62790">
        <w:rPr>
          <w:lang w:val="fr-FR"/>
        </w:rPr>
        <w:t>objet d</w:t>
      </w:r>
      <w:r>
        <w:rPr>
          <w:lang w:val="fr-FR"/>
        </w:rPr>
        <w:t>’</w:t>
      </w:r>
      <w:r w:rsidRPr="00C62790">
        <w:rPr>
          <w:lang w:val="fr-FR"/>
        </w:rPr>
        <w:t xml:space="preserve">un commerce international, </w:t>
      </w:r>
    </w:p>
    <w:p w:rsidR="005A25CC" w:rsidRPr="00C62790" w:rsidRDefault="005A25CC" w:rsidP="005A25CC">
      <w:pPr>
        <w:pStyle w:val="Normal-pool"/>
        <w:tabs>
          <w:tab w:val="clear" w:pos="1247"/>
          <w:tab w:val="clear" w:pos="1814"/>
          <w:tab w:val="clear" w:pos="2381"/>
          <w:tab w:val="clear" w:pos="2948"/>
          <w:tab w:val="clear" w:pos="3515"/>
          <w:tab w:val="left" w:pos="624"/>
        </w:tabs>
        <w:spacing w:after="120"/>
        <w:ind w:left="1247" w:firstLine="624"/>
        <w:rPr>
          <w:b/>
          <w:lang w:val="fr-FR"/>
        </w:rPr>
      </w:pPr>
      <w:r w:rsidRPr="00C62790">
        <w:rPr>
          <w:i/>
          <w:lang w:val="fr-FR"/>
        </w:rPr>
        <w:t>Ayant examiné</w:t>
      </w:r>
      <w:r w:rsidRPr="00C62790">
        <w:rPr>
          <w:lang w:val="fr-FR"/>
        </w:rPr>
        <w:t xml:space="preserve"> la notification de mesure de réglementation finale concernant le </w:t>
      </w:r>
      <w:proofErr w:type="spellStart"/>
      <w:r w:rsidRPr="00C62790">
        <w:rPr>
          <w:lang w:val="fr-FR"/>
        </w:rPr>
        <w:t>mirex</w:t>
      </w:r>
      <w:proofErr w:type="spellEnd"/>
      <w:r w:rsidRPr="00C62790">
        <w:rPr>
          <w:lang w:val="fr-FR"/>
        </w:rPr>
        <w:t xml:space="preserve"> </w:t>
      </w:r>
      <w:r>
        <w:rPr>
          <w:lang w:val="fr-FR"/>
        </w:rPr>
        <w:t>soumise</w:t>
      </w:r>
      <w:r w:rsidRPr="00C62790">
        <w:rPr>
          <w:lang w:val="fr-FR"/>
        </w:rPr>
        <w:t xml:space="preserve"> par la Colombie et la nouvelle notification de mesure de réglementation finale </w:t>
      </w:r>
      <w:r>
        <w:rPr>
          <w:lang w:val="fr-FR"/>
        </w:rPr>
        <w:t xml:space="preserve">concernant le </w:t>
      </w:r>
      <w:proofErr w:type="spellStart"/>
      <w:r>
        <w:rPr>
          <w:lang w:val="fr-FR"/>
        </w:rPr>
        <w:t>mirex</w:t>
      </w:r>
      <w:proofErr w:type="spellEnd"/>
      <w:r>
        <w:rPr>
          <w:lang w:val="fr-FR"/>
        </w:rPr>
        <w:t xml:space="preserve"> soumise</w:t>
      </w:r>
      <w:r w:rsidRPr="00C62790">
        <w:rPr>
          <w:lang w:val="fr-FR"/>
        </w:rPr>
        <w:t xml:space="preserve"> par le Canada, qui remplace la précédente notification de cette Partie</w:t>
      </w:r>
      <w:r w:rsidRPr="00C62790">
        <w:rPr>
          <w:vertAlign w:val="superscript"/>
          <w:lang w:val="fr-FR"/>
        </w:rPr>
        <w:footnoteReference w:id="1"/>
      </w:r>
      <w:r w:rsidRPr="00C62790">
        <w:rPr>
          <w:lang w:val="fr-FR"/>
        </w:rPr>
        <w:t>,</w:t>
      </w:r>
    </w:p>
    <w:p w:rsidR="005A25CC" w:rsidRPr="00C62790" w:rsidRDefault="005A25CC" w:rsidP="005A25CC">
      <w:pPr>
        <w:pStyle w:val="Normalnumber"/>
        <w:numPr>
          <w:ilvl w:val="0"/>
          <w:numId w:val="1"/>
        </w:numPr>
        <w:tabs>
          <w:tab w:val="clear" w:pos="567"/>
        </w:tabs>
        <w:ind w:firstLine="624"/>
        <w:rPr>
          <w:lang w:val="fr-FR"/>
        </w:rPr>
      </w:pPr>
      <w:r w:rsidRPr="00C62790">
        <w:rPr>
          <w:i/>
          <w:lang w:val="fr-FR"/>
        </w:rPr>
        <w:t>Conclut</w:t>
      </w:r>
      <w:r w:rsidRPr="00C62790">
        <w:rPr>
          <w:lang w:val="fr-FR"/>
        </w:rPr>
        <w:t xml:space="preserve"> que la nouvelle notification de mesure de réglementation finale concernant le </w:t>
      </w:r>
      <w:proofErr w:type="spellStart"/>
      <w:r w:rsidRPr="00C62790">
        <w:rPr>
          <w:lang w:val="fr-FR"/>
        </w:rPr>
        <w:t>mirex</w:t>
      </w:r>
      <w:proofErr w:type="spellEnd"/>
      <w:r>
        <w:rPr>
          <w:lang w:val="fr-FR"/>
        </w:rPr>
        <w:t xml:space="preserve"> soumise</w:t>
      </w:r>
      <w:r w:rsidRPr="00C62790">
        <w:rPr>
          <w:lang w:val="fr-FR"/>
        </w:rPr>
        <w:t xml:space="preserve"> par le Canada satisfait</w:t>
      </w:r>
      <w:r>
        <w:rPr>
          <w:lang w:val="fr-FR"/>
        </w:rPr>
        <w:t xml:space="preserve"> aux critères énoncés dans </w:t>
      </w:r>
      <w:r w:rsidRPr="00C62790">
        <w:rPr>
          <w:lang w:val="fr-FR"/>
        </w:rPr>
        <w:t>l</w:t>
      </w:r>
      <w:r>
        <w:rPr>
          <w:lang w:val="fr-FR"/>
        </w:rPr>
        <w:t>’</w:t>
      </w:r>
      <w:r w:rsidRPr="00C62790">
        <w:rPr>
          <w:lang w:val="fr-FR"/>
        </w:rPr>
        <w:t>Annexe</w:t>
      </w:r>
      <w:r>
        <w:rPr>
          <w:lang w:val="fr-FR"/>
        </w:rPr>
        <w:t> II de</w:t>
      </w:r>
      <w:r w:rsidRPr="00C62790">
        <w:rPr>
          <w:lang w:val="fr-FR"/>
        </w:rPr>
        <w:t xml:space="preserve"> la Convention</w:t>
      </w:r>
      <w:r>
        <w:rPr>
          <w:lang w:val="fr-FR"/>
        </w:rPr>
        <w:t> </w:t>
      </w:r>
      <w:r w:rsidRPr="00C62790">
        <w:rPr>
          <w:lang w:val="fr-FR"/>
        </w:rPr>
        <w:t>;</w:t>
      </w:r>
    </w:p>
    <w:p w:rsidR="005A25CC" w:rsidRPr="00C62790" w:rsidRDefault="005A25CC" w:rsidP="005A25CC">
      <w:pPr>
        <w:pStyle w:val="Normalnumber"/>
        <w:numPr>
          <w:ilvl w:val="0"/>
          <w:numId w:val="1"/>
        </w:numPr>
        <w:tabs>
          <w:tab w:val="clear" w:pos="567"/>
        </w:tabs>
        <w:ind w:firstLine="624"/>
        <w:rPr>
          <w:lang w:val="fr-FR"/>
        </w:rPr>
      </w:pPr>
      <w:r w:rsidRPr="00C62790">
        <w:rPr>
          <w:i/>
          <w:lang w:val="fr-FR"/>
        </w:rPr>
        <w:t xml:space="preserve">Adopte </w:t>
      </w:r>
      <w:r w:rsidRPr="00C62790">
        <w:rPr>
          <w:lang w:val="fr-FR"/>
        </w:rPr>
        <w:t>la justification de la conclusion du Comité relative à la notificati</w:t>
      </w:r>
      <w:r>
        <w:rPr>
          <w:lang w:val="fr-FR"/>
        </w:rPr>
        <w:t xml:space="preserve">on concernant le </w:t>
      </w:r>
      <w:proofErr w:type="spellStart"/>
      <w:r>
        <w:rPr>
          <w:lang w:val="fr-FR"/>
        </w:rPr>
        <w:t>mirex</w:t>
      </w:r>
      <w:proofErr w:type="spellEnd"/>
      <w:r>
        <w:rPr>
          <w:lang w:val="fr-FR"/>
        </w:rPr>
        <w:t xml:space="preserve"> soumise par le Canada, figurant </w:t>
      </w:r>
      <w:r w:rsidRPr="00C62790">
        <w:rPr>
          <w:lang w:val="fr-FR"/>
        </w:rPr>
        <w:t>dans l</w:t>
      </w:r>
      <w:r>
        <w:rPr>
          <w:lang w:val="fr-FR"/>
        </w:rPr>
        <w:t>’</w:t>
      </w:r>
      <w:r w:rsidRPr="00C62790">
        <w:rPr>
          <w:lang w:val="fr-FR"/>
        </w:rPr>
        <w:t>annexe à la présente décision</w:t>
      </w:r>
      <w:r w:rsidRPr="00C62790">
        <w:rPr>
          <w:vertAlign w:val="superscript"/>
          <w:lang w:val="fr-FR"/>
        </w:rPr>
        <w:footnoteReference w:id="2"/>
      </w:r>
      <w:r>
        <w:rPr>
          <w:lang w:val="fr-FR"/>
        </w:rPr>
        <w:t> </w:t>
      </w:r>
      <w:r w:rsidRPr="00C62790">
        <w:rPr>
          <w:lang w:val="fr-FR"/>
        </w:rPr>
        <w:t>;</w:t>
      </w:r>
    </w:p>
    <w:p w:rsidR="005A25CC" w:rsidRPr="00C62790" w:rsidRDefault="005A25CC" w:rsidP="005A25CC">
      <w:pPr>
        <w:pStyle w:val="Normalnumber"/>
        <w:numPr>
          <w:ilvl w:val="0"/>
          <w:numId w:val="1"/>
        </w:numPr>
        <w:tabs>
          <w:tab w:val="clear" w:pos="567"/>
        </w:tabs>
        <w:ind w:firstLine="624"/>
        <w:rPr>
          <w:lang w:val="fr-FR"/>
        </w:rPr>
      </w:pPr>
      <w:r w:rsidRPr="00C62790">
        <w:rPr>
          <w:i/>
          <w:lang w:val="fr-FR"/>
        </w:rPr>
        <w:t>Note</w:t>
      </w:r>
      <w:r w:rsidRPr="00C62790">
        <w:rPr>
          <w:lang w:val="fr-FR"/>
        </w:rPr>
        <w:t xml:space="preserve"> que, puisque seule une notification de mesure de réglementation finale concernant le </w:t>
      </w:r>
      <w:proofErr w:type="spellStart"/>
      <w:r w:rsidRPr="00C62790">
        <w:rPr>
          <w:lang w:val="fr-FR"/>
        </w:rPr>
        <w:t>mirex</w:t>
      </w:r>
      <w:proofErr w:type="spellEnd"/>
      <w:r w:rsidRPr="00C62790">
        <w:rPr>
          <w:lang w:val="fr-FR"/>
        </w:rPr>
        <w:t xml:space="preserve"> </w:t>
      </w:r>
      <w:r>
        <w:rPr>
          <w:lang w:val="fr-FR"/>
        </w:rPr>
        <w:t>satisfait aux critères énoncés dans l’Annexe II de</w:t>
      </w:r>
      <w:r w:rsidRPr="00C62790">
        <w:rPr>
          <w:lang w:val="fr-FR"/>
        </w:rPr>
        <w:t xml:space="preserve"> la Convention, aucune </w:t>
      </w:r>
      <w:r>
        <w:rPr>
          <w:lang w:val="fr-FR"/>
        </w:rPr>
        <w:t xml:space="preserve">suite </w:t>
      </w:r>
      <w:r w:rsidRPr="00C62790">
        <w:rPr>
          <w:lang w:val="fr-FR"/>
        </w:rPr>
        <w:t xml:space="preserve">ne sera </w:t>
      </w:r>
      <w:r>
        <w:rPr>
          <w:lang w:val="fr-FR"/>
        </w:rPr>
        <w:t>donnée dans l’immédiat</w:t>
      </w:r>
      <w:r w:rsidRPr="00C62790">
        <w:rPr>
          <w:lang w:val="fr-FR"/>
        </w:rPr>
        <w:t>.</w:t>
      </w:r>
    </w:p>
    <w:p w:rsidR="005A25CC" w:rsidRPr="00C62790" w:rsidRDefault="005A25CC" w:rsidP="005A25CC">
      <w:pPr>
        <w:pStyle w:val="CH1"/>
        <w:rPr>
          <w:lang w:val="fr-FR"/>
        </w:rPr>
      </w:pPr>
      <w:r w:rsidRPr="00C62790">
        <w:rPr>
          <w:lang w:val="fr-FR"/>
        </w:rPr>
        <w:tab/>
      </w:r>
      <w:r w:rsidRPr="00C62790">
        <w:rPr>
          <w:lang w:val="fr-FR"/>
        </w:rPr>
        <w:tab/>
        <w:t>Annexe à la dé</w:t>
      </w:r>
      <w:r>
        <w:rPr>
          <w:lang w:val="fr-FR"/>
        </w:rPr>
        <w:t>cision </w:t>
      </w:r>
      <w:r w:rsidRPr="00C62790">
        <w:rPr>
          <w:lang w:val="fr-FR"/>
        </w:rPr>
        <w:t>CRC</w:t>
      </w:r>
      <w:r w:rsidRPr="00C62790">
        <w:rPr>
          <w:lang w:val="fr-FR"/>
        </w:rPr>
        <w:noBreakHyphen/>
        <w:t>13/3</w:t>
      </w:r>
    </w:p>
    <w:p w:rsidR="005A25CC" w:rsidRPr="00C62790" w:rsidRDefault="005A25CC" w:rsidP="005A25CC">
      <w:pPr>
        <w:pStyle w:val="CH1"/>
        <w:rPr>
          <w:lang w:val="fr-FR"/>
        </w:rPr>
      </w:pPr>
      <w:r w:rsidRPr="00C62790">
        <w:rPr>
          <w:lang w:val="fr-FR"/>
        </w:rPr>
        <w:tab/>
      </w:r>
      <w:r w:rsidRPr="00C62790">
        <w:rPr>
          <w:lang w:val="fr-FR"/>
        </w:rPr>
        <w:tab/>
        <w:t>Justification de la conclusion du Comité d</w:t>
      </w:r>
      <w:r>
        <w:rPr>
          <w:lang w:val="fr-FR"/>
        </w:rPr>
        <w:t>’</w:t>
      </w:r>
      <w:r w:rsidRPr="00C62790">
        <w:rPr>
          <w:lang w:val="fr-FR"/>
        </w:rPr>
        <w:t>étude des produits chimiques selon laquel</w:t>
      </w:r>
      <w:r>
        <w:rPr>
          <w:lang w:val="fr-FR"/>
        </w:rPr>
        <w:t>le la notification de mesure de </w:t>
      </w:r>
      <w:r w:rsidRPr="00C62790">
        <w:rPr>
          <w:lang w:val="fr-FR"/>
        </w:rPr>
        <w:t xml:space="preserve">réglementation finale concernant le </w:t>
      </w:r>
      <w:proofErr w:type="spellStart"/>
      <w:r w:rsidRPr="00C62790">
        <w:rPr>
          <w:lang w:val="fr-FR"/>
        </w:rPr>
        <w:t>mirex</w:t>
      </w:r>
      <w:proofErr w:type="spellEnd"/>
      <w:r w:rsidRPr="00C62790">
        <w:rPr>
          <w:lang w:val="fr-FR"/>
        </w:rPr>
        <w:t xml:space="preserve"> dans la catégorie </w:t>
      </w:r>
      <w:r>
        <w:rPr>
          <w:lang w:val="fr-FR"/>
        </w:rPr>
        <w:t>des </w:t>
      </w:r>
      <w:r w:rsidRPr="00C62790">
        <w:rPr>
          <w:lang w:val="fr-FR"/>
        </w:rPr>
        <w:t xml:space="preserve">produits chimiques à usage industriel </w:t>
      </w:r>
      <w:r>
        <w:rPr>
          <w:lang w:val="fr-FR"/>
        </w:rPr>
        <w:t>soumise</w:t>
      </w:r>
      <w:r w:rsidRPr="00C62790">
        <w:rPr>
          <w:lang w:val="fr-FR"/>
        </w:rPr>
        <w:t xml:space="preserve"> par le Canada satisfait aux critères de l</w:t>
      </w:r>
      <w:r>
        <w:rPr>
          <w:lang w:val="fr-FR"/>
        </w:rPr>
        <w:t>’</w:t>
      </w:r>
      <w:r w:rsidRPr="00C62790">
        <w:rPr>
          <w:lang w:val="fr-FR"/>
        </w:rPr>
        <w:t xml:space="preserve">Annexe II </w:t>
      </w:r>
      <w:r>
        <w:rPr>
          <w:lang w:val="fr-FR"/>
        </w:rPr>
        <w:t>de la Convention de </w:t>
      </w:r>
      <w:r w:rsidRPr="00C62790">
        <w:rPr>
          <w:lang w:val="fr-FR"/>
        </w:rPr>
        <w:t>Rotterdam</w:t>
      </w:r>
    </w:p>
    <w:p w:rsidR="005A25CC" w:rsidRPr="00C62790" w:rsidRDefault="005A25CC" w:rsidP="005A25CC">
      <w:pPr>
        <w:tabs>
          <w:tab w:val="clear" w:pos="1247"/>
          <w:tab w:val="clear" w:pos="1814"/>
          <w:tab w:val="clear" w:pos="2381"/>
          <w:tab w:val="clear" w:pos="2948"/>
          <w:tab w:val="clear" w:pos="3515"/>
          <w:tab w:val="left" w:pos="624"/>
        </w:tabs>
        <w:spacing w:after="120"/>
        <w:ind w:left="1247"/>
      </w:pPr>
      <w:r w:rsidRPr="00C62790">
        <w:t>1.</w:t>
      </w:r>
      <w:r w:rsidRPr="00C62790">
        <w:tab/>
        <w:t xml:space="preserve">La notification de mesure de réglementation finale concernant le </w:t>
      </w:r>
      <w:proofErr w:type="spellStart"/>
      <w:r w:rsidRPr="00C62790">
        <w:t>mirex</w:t>
      </w:r>
      <w:proofErr w:type="spellEnd"/>
      <w:r w:rsidRPr="00C62790">
        <w:t xml:space="preserve"> dans la catégorie des produits chimiques à usage industriel soumise par le Canada a été vérifiée par le Secrétariat, qui s</w:t>
      </w:r>
      <w:r>
        <w:t>’</w:t>
      </w:r>
      <w:r w:rsidRPr="00C62790">
        <w:t>est assuré qu</w:t>
      </w:r>
      <w:r>
        <w:t>’</w:t>
      </w:r>
      <w:r w:rsidRPr="00C62790">
        <w:t>elle contenait les informations demandées dans l</w:t>
      </w:r>
      <w:r>
        <w:t>’</w:t>
      </w:r>
      <w:r w:rsidRPr="00C62790">
        <w:t xml:space="preserve">Annexe I </w:t>
      </w:r>
      <w:r>
        <w:t xml:space="preserve">de </w:t>
      </w:r>
      <w:proofErr w:type="spellStart"/>
      <w:r>
        <w:t>de</w:t>
      </w:r>
      <w:proofErr w:type="spellEnd"/>
      <w:r w:rsidRPr="00C62790">
        <w:t xml:space="preserve"> la Convention de Rotterdam. La notification et la documentation à l</w:t>
      </w:r>
      <w:r>
        <w:t>’</w:t>
      </w:r>
      <w:r w:rsidRPr="00C62790">
        <w:t>appui ont été mises à la disposition du Comité d</w:t>
      </w:r>
      <w:r>
        <w:t>’</w:t>
      </w:r>
      <w:r w:rsidRPr="00C62790">
        <w:t>étude des produits chimiques pour examen (voir les documents UNEP/FAO/RC/CRC.13/10 et UNEP/FAO/RC/CRC.13/INF/22).</w:t>
      </w:r>
    </w:p>
    <w:p w:rsidR="005A25CC" w:rsidRPr="00C62790" w:rsidRDefault="005A25CC" w:rsidP="005A25CC">
      <w:pPr>
        <w:tabs>
          <w:tab w:val="clear" w:pos="1247"/>
          <w:tab w:val="clear" w:pos="1814"/>
          <w:tab w:val="clear" w:pos="2381"/>
          <w:tab w:val="clear" w:pos="2948"/>
          <w:tab w:val="clear" w:pos="3515"/>
          <w:tab w:val="left" w:pos="624"/>
        </w:tabs>
        <w:spacing w:after="120"/>
        <w:ind w:left="1247"/>
      </w:pPr>
      <w:r w:rsidRPr="00C62790">
        <w:t>2.</w:t>
      </w:r>
      <w:r w:rsidRPr="00C62790">
        <w:tab/>
        <w:t>Après avoir examiné la notification de mesure de réglementation finale soumise par le Canada, ainsi que la documentation à l</w:t>
      </w:r>
      <w:r>
        <w:t>’</w:t>
      </w:r>
      <w:r w:rsidRPr="00C62790">
        <w:t>appui fournie par cette Partie, le Comité a pu confirmer que la mesure avait été prise pour protéger la santé humaine et l</w:t>
      </w:r>
      <w:r>
        <w:t>’</w:t>
      </w:r>
      <w:r w:rsidRPr="00C62790">
        <w:t xml:space="preserve">environnement. Le </w:t>
      </w:r>
      <w:proofErr w:type="spellStart"/>
      <w:r w:rsidRPr="00C62790">
        <w:t>mirex</w:t>
      </w:r>
      <w:proofErr w:type="spellEnd"/>
      <w:r w:rsidRPr="00C62790">
        <w:t xml:space="preserve"> est persistant et </w:t>
      </w:r>
      <w:proofErr w:type="spellStart"/>
      <w:r w:rsidRPr="00C62790">
        <w:t>bioaccumulable</w:t>
      </w:r>
      <w:proofErr w:type="spellEnd"/>
      <w:r w:rsidRPr="00C62790">
        <w:t xml:space="preserve"> (s</w:t>
      </w:r>
      <w:r>
        <w:t>’</w:t>
      </w:r>
      <w:r w:rsidRPr="00C62790">
        <w:t>accumulant principalement dans les tissus adipeux) et il peut se propager à longue distance dans l</w:t>
      </w:r>
      <w:r>
        <w:t>’</w:t>
      </w:r>
      <w:r w:rsidRPr="00C62790">
        <w:t xml:space="preserve">environnement. Sa cancérogénicité a été démontrée </w:t>
      </w:r>
      <w:r>
        <w:t xml:space="preserve">chez </w:t>
      </w:r>
      <w:r w:rsidRPr="00C62790">
        <w:t>des animaux de laboratoire et il se peut qu</w:t>
      </w:r>
      <w:r>
        <w:t>’</w:t>
      </w:r>
      <w:r w:rsidRPr="00C62790">
        <w:t>il soit cancérigène pour l</w:t>
      </w:r>
      <w:r>
        <w:t>’</w:t>
      </w:r>
      <w:r w:rsidRPr="00C62790">
        <w:t xml:space="preserve">homme. Le </w:t>
      </w:r>
      <w:proofErr w:type="spellStart"/>
      <w:r w:rsidRPr="00C62790">
        <w:t>mirex</w:t>
      </w:r>
      <w:proofErr w:type="spellEnd"/>
      <w:r w:rsidRPr="00C62790">
        <w:t xml:space="preserve"> n</w:t>
      </w:r>
      <w:r>
        <w:t>’</w:t>
      </w:r>
      <w:r w:rsidRPr="00C62790">
        <w:t>a jamais été homologué comme pesticide agricole au Canada. La notification porte sur ses utilisa</w:t>
      </w:r>
      <w:r>
        <w:t xml:space="preserve">tions à des fins industrielles. </w:t>
      </w:r>
      <w:r w:rsidRPr="00C62790">
        <w:t xml:space="preserve">Il est essentiellement utilisé comme retardateur de flamme dans les plastiques, le caoutchouc, les peintures, le papier et les équipements électriques. Il est aussi utilisé en pyrotechnie pour produire de la fumée blanche. Le </w:t>
      </w:r>
      <w:proofErr w:type="spellStart"/>
      <w:r w:rsidRPr="00C62790">
        <w:t>mirex</w:t>
      </w:r>
      <w:proofErr w:type="spellEnd"/>
      <w:r>
        <w:t xml:space="preserve"> est une source de contamination pour</w:t>
      </w:r>
      <w:r w:rsidRPr="00C62790">
        <w:t xml:space="preserve"> plusieurs écosystèmes</w:t>
      </w:r>
      <w:r>
        <w:t xml:space="preserve"> canadiens.</w:t>
      </w:r>
      <w:r w:rsidRPr="00C62790">
        <w:t xml:space="preserve"> L</w:t>
      </w:r>
      <w:r>
        <w:t>’</w:t>
      </w:r>
      <w:r w:rsidRPr="00C62790">
        <w:t>exposition de l</w:t>
      </w:r>
      <w:r>
        <w:t>’</w:t>
      </w:r>
      <w:r w:rsidRPr="00C62790">
        <w:t>homme par voie alimentaire est généralement faible, à l</w:t>
      </w:r>
      <w:r>
        <w:t>’</w:t>
      </w:r>
      <w:r w:rsidRPr="00C62790">
        <w:t>exception peut-être des populations dépendantes d</w:t>
      </w:r>
      <w:r>
        <w:t>’</w:t>
      </w:r>
      <w:r w:rsidRPr="00C62790">
        <w:t>un régime alimentaire composé de poissons ou d</w:t>
      </w:r>
      <w:r>
        <w:t>’</w:t>
      </w:r>
      <w:r w:rsidRPr="00C62790">
        <w:t xml:space="preserve">oiseaux se nourrissant </w:t>
      </w:r>
      <w:r w:rsidRPr="00C62790">
        <w:lastRenderedPageBreak/>
        <w:t>de poissons du lac Ontario et du fleuve Saint-Laurent et des chasseurs se nourrissant de gibier</w:t>
      </w:r>
      <w:r>
        <w:t xml:space="preserve"> à plumes.</w:t>
      </w:r>
    </w:p>
    <w:p w:rsidR="005A25CC" w:rsidRPr="00C62790" w:rsidRDefault="005A25CC" w:rsidP="005A25CC">
      <w:pPr>
        <w:tabs>
          <w:tab w:val="clear" w:pos="1247"/>
          <w:tab w:val="clear" w:pos="1814"/>
          <w:tab w:val="clear" w:pos="2381"/>
          <w:tab w:val="clear" w:pos="2948"/>
          <w:tab w:val="clear" w:pos="3515"/>
          <w:tab w:val="left" w:pos="624"/>
        </w:tabs>
        <w:spacing w:after="120"/>
        <w:ind w:left="1247"/>
      </w:pPr>
      <w:r w:rsidRPr="00C62790">
        <w:t>3.</w:t>
      </w:r>
      <w:r w:rsidRPr="00C62790">
        <w:tab/>
        <w:t>Le Comité a établi que la mesure de réglementation finale avait été prise après une évaluation des risques reposant sur un examen des données scientifiques. La documentation disponible</w:t>
      </w:r>
      <w:r>
        <w:t xml:space="preserve"> </w:t>
      </w:r>
      <w:r w:rsidRPr="00C62790">
        <w:t>démontrait que les données avaient été obtenues par des méthodes scientifiques reconnues et qu</w:t>
      </w:r>
      <w:r>
        <w:t>’</w:t>
      </w:r>
      <w:r w:rsidRPr="00C62790">
        <w:t>elles avaient été analysées et étayées en respectant des principes et des méthodes scientifiques généralement reconnus. Elle montrait en outre que la mesure de réglementation finale reposait sur une évaluation des risques spécifiquement associés à ce produit chimique, compte tenu des conditions d</w:t>
      </w:r>
      <w:r>
        <w:t>’</w:t>
      </w:r>
      <w:r w:rsidRPr="00C62790">
        <w:t>exposition sur le</w:t>
      </w:r>
      <w:r>
        <w:t> </w:t>
      </w:r>
      <w:r w:rsidRPr="00C62790">
        <w:t>territoire canadien. Une équipe spéciale avait procédé à une évaluation des risques en 1997. Ses</w:t>
      </w:r>
      <w:r>
        <w:t> </w:t>
      </w:r>
      <w:r w:rsidRPr="00C62790">
        <w:t>principales conclusions étaient les suivantes</w:t>
      </w:r>
      <w:r>
        <w:t> </w:t>
      </w:r>
      <w:r w:rsidRPr="00C62790">
        <w:t>:</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 xml:space="preserve">Le </w:t>
      </w:r>
      <w:proofErr w:type="spellStart"/>
      <w:r w:rsidRPr="00C62790">
        <w:t>mirex</w:t>
      </w:r>
      <w:proofErr w:type="spellEnd"/>
      <w:r w:rsidRPr="00C62790">
        <w:t xml:space="preserve"> </w:t>
      </w:r>
      <w:r>
        <w:t>est une source de contamination pour</w:t>
      </w:r>
      <w:r w:rsidRPr="00C62790">
        <w:t xml:space="preserve"> plusieurs écosystèmes au Canada ;</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 xml:space="preserve">Le </w:t>
      </w:r>
      <w:proofErr w:type="spellStart"/>
      <w:r w:rsidRPr="00C62790">
        <w:t>mirex</w:t>
      </w:r>
      <w:proofErr w:type="spellEnd"/>
      <w:r w:rsidRPr="00C62790">
        <w:t xml:space="preserve"> ne se trouve pas dans l</w:t>
      </w:r>
      <w:r>
        <w:t>’environnement à l’état naturel </w:t>
      </w:r>
      <w:r w:rsidRPr="00C62790">
        <w:t>;</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 xml:space="preserve">Les principales sources du </w:t>
      </w:r>
      <w:proofErr w:type="spellStart"/>
      <w:r w:rsidRPr="00C62790">
        <w:t>mirex</w:t>
      </w:r>
      <w:proofErr w:type="spellEnd"/>
      <w:r w:rsidRPr="00C62790">
        <w:t xml:space="preserve"> rencontré au Canada sont situées dans l</w:t>
      </w:r>
      <w:r>
        <w:t>’</w:t>
      </w:r>
      <w:r w:rsidRPr="00C62790">
        <w:t>État de New</w:t>
      </w:r>
      <w:r>
        <w:t> </w:t>
      </w:r>
      <w:r w:rsidRPr="00C62790">
        <w:t xml:space="preserve">York aux États-Unis, et le long des fleuves Niagara et Oswego, où étaient autrefois implantées des usines de produits chimiques, fabricant notamment du </w:t>
      </w:r>
      <w:proofErr w:type="spellStart"/>
      <w:r w:rsidRPr="00C62790">
        <w:t>mirex</w:t>
      </w:r>
      <w:proofErr w:type="spellEnd"/>
      <w:r w:rsidRPr="00C62790">
        <w:t xml:space="preserve"> utilisé comme retardateur de flamme</w:t>
      </w:r>
      <w:r>
        <w:t> </w:t>
      </w:r>
      <w:r w:rsidRPr="00C62790">
        <w:t>;</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 xml:space="preserve">Les mouvements transfrontières de </w:t>
      </w:r>
      <w:proofErr w:type="spellStart"/>
      <w:r w:rsidRPr="00C62790">
        <w:t>mirex</w:t>
      </w:r>
      <w:proofErr w:type="spellEnd"/>
      <w:r w:rsidRPr="00C62790">
        <w:t xml:space="preserve"> dans l</w:t>
      </w:r>
      <w:r>
        <w:t>’</w:t>
      </w:r>
      <w:r w:rsidRPr="00C62790">
        <w:t>écosystème du lac Ontario sont à l</w:t>
      </w:r>
      <w:r>
        <w:t>’</w:t>
      </w:r>
      <w:r w:rsidRPr="00C62790">
        <w:t>origine de la contamination des poissons et des oiseaux qui s</w:t>
      </w:r>
      <w:r>
        <w:t>’</w:t>
      </w:r>
      <w:r w:rsidRPr="00C62790">
        <w:t>en nourrissent au Canada</w:t>
      </w:r>
      <w:r>
        <w:t> </w:t>
      </w:r>
      <w:r w:rsidRPr="00C62790">
        <w:t>;</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L</w:t>
      </w:r>
      <w:r>
        <w:t>’</w:t>
      </w:r>
      <w:r w:rsidRPr="00C62790">
        <w:t>exposition de l</w:t>
      </w:r>
      <w:r>
        <w:t>’</w:t>
      </w:r>
      <w:r w:rsidRPr="00C62790">
        <w:t>homme par voie alimentaire au Canada est généralement très faible, à l</w:t>
      </w:r>
      <w:r>
        <w:t>’</w:t>
      </w:r>
      <w:r w:rsidRPr="00C62790">
        <w:t>exception peut-être d</w:t>
      </w:r>
      <w:r>
        <w:t>’</w:t>
      </w:r>
      <w:r w:rsidRPr="00C62790">
        <w:t>une sous-population critique partiellement ou entièrement dépendante d</w:t>
      </w:r>
      <w:r>
        <w:t>’</w:t>
      </w:r>
      <w:r w:rsidRPr="00C62790">
        <w:t>un régime alimentaire constitué de poissons ou d</w:t>
      </w:r>
      <w:r>
        <w:t>’</w:t>
      </w:r>
      <w:r w:rsidRPr="00C62790">
        <w:t>oiseaux se nourrissant de poissons du lac Ontario et du</w:t>
      </w:r>
      <w:r>
        <w:t> </w:t>
      </w:r>
      <w:r w:rsidRPr="00C62790">
        <w:t>fleuve Saint-Laurent</w:t>
      </w:r>
      <w:r>
        <w:t> </w:t>
      </w:r>
      <w:r w:rsidRPr="00C62790">
        <w:t>;</w:t>
      </w:r>
    </w:p>
    <w:p w:rsidR="005A25CC" w:rsidRPr="00C62790" w:rsidRDefault="005A25CC" w:rsidP="005A25CC">
      <w:pPr>
        <w:pStyle w:val="ListParagraph"/>
        <w:numPr>
          <w:ilvl w:val="0"/>
          <w:numId w:val="2"/>
        </w:numPr>
        <w:tabs>
          <w:tab w:val="clear" w:pos="1247"/>
          <w:tab w:val="clear" w:pos="1814"/>
          <w:tab w:val="clear" w:pos="2381"/>
          <w:tab w:val="clear" w:pos="2948"/>
          <w:tab w:val="clear" w:pos="3515"/>
          <w:tab w:val="left" w:pos="624"/>
        </w:tabs>
        <w:spacing w:after="120"/>
        <w:ind w:left="1247" w:firstLine="624"/>
        <w:contextualSpacing w:val="0"/>
      </w:pPr>
      <w:r w:rsidRPr="00C62790">
        <w:t xml:space="preserve">Le </w:t>
      </w:r>
      <w:proofErr w:type="spellStart"/>
      <w:r w:rsidRPr="00C62790">
        <w:t>mirex</w:t>
      </w:r>
      <w:proofErr w:type="spellEnd"/>
      <w:r w:rsidRPr="00C62790">
        <w:t xml:space="preserve"> est une substance biologiquement active qui s</w:t>
      </w:r>
      <w:r>
        <w:t>’</w:t>
      </w:r>
      <w:r w:rsidRPr="00C62790">
        <w:t>accumule dans les chaînes alimentaires ; il est ex</w:t>
      </w:r>
      <w:r>
        <w:t>trêmement persistant et dispersé</w:t>
      </w:r>
      <w:r w:rsidRPr="00C62790">
        <w:t xml:space="preserve"> dans l</w:t>
      </w:r>
      <w:r>
        <w:t>’</w:t>
      </w:r>
      <w:r w:rsidRPr="00C62790">
        <w:t xml:space="preserve">environnement. </w:t>
      </w:r>
    </w:p>
    <w:p w:rsidR="005A25CC" w:rsidRPr="00C62790" w:rsidRDefault="005A25CC" w:rsidP="005A25CC">
      <w:pPr>
        <w:spacing w:after="120"/>
        <w:ind w:left="1247"/>
      </w:pPr>
      <w:r w:rsidRPr="00C62790">
        <w:t>4.</w:t>
      </w:r>
      <w:r w:rsidRPr="00C62790">
        <w:tab/>
        <w:t xml:space="preserve">Le Comité a conclu que la mesure de réglementation finale fournissait des preuves suffisamment </w:t>
      </w:r>
      <w:r>
        <w:t>nombreuses</w:t>
      </w:r>
      <w:r w:rsidRPr="00C62790">
        <w:t xml:space="preserve"> pour justifier l</w:t>
      </w:r>
      <w:r>
        <w:t>’</w:t>
      </w:r>
      <w:r w:rsidRPr="00C62790">
        <w:t xml:space="preserve">inscription du </w:t>
      </w:r>
      <w:proofErr w:type="spellStart"/>
      <w:r w:rsidRPr="00C62790">
        <w:t>mirex</w:t>
      </w:r>
      <w:proofErr w:type="spellEnd"/>
      <w:r w:rsidRPr="00C62790">
        <w:t xml:space="preserve"> à l</w:t>
      </w:r>
      <w:r>
        <w:t>’</w:t>
      </w:r>
      <w:r w:rsidRPr="00C62790">
        <w:t>Annexe</w:t>
      </w:r>
      <w:r>
        <w:t> </w:t>
      </w:r>
      <w:r w:rsidRPr="00C62790">
        <w:t xml:space="preserve">III de la Convention de Rotterdam dans la catégorie des produits chimiques à usage industriel. Il a noté que la mesure prise avait conduit à une diminution sensible </w:t>
      </w:r>
      <w:r>
        <w:t>de la consommation de ce</w:t>
      </w:r>
      <w:r w:rsidRPr="00C62790">
        <w:t xml:space="preserve"> produit chimique dans la Partie </w:t>
      </w:r>
      <w:proofErr w:type="spellStart"/>
      <w:r w:rsidRPr="00C62790">
        <w:t>notifiante</w:t>
      </w:r>
      <w:proofErr w:type="spellEnd"/>
      <w:r w:rsidRPr="00C62790">
        <w:t xml:space="preserve">. Le </w:t>
      </w:r>
      <w:proofErr w:type="spellStart"/>
      <w:r w:rsidRPr="00C62790">
        <w:t>mirex</w:t>
      </w:r>
      <w:proofErr w:type="spellEnd"/>
      <w:r w:rsidRPr="00C62790">
        <w:t xml:space="preserve"> n</w:t>
      </w:r>
      <w:r>
        <w:t>’</w:t>
      </w:r>
      <w:r w:rsidRPr="00C62790">
        <w:t>avait jamais été homologué ni utilisé comme insecticide au Canada et n</w:t>
      </w:r>
      <w:r>
        <w:t>’</w:t>
      </w:r>
      <w:r w:rsidRPr="00C62790">
        <w:t>avait jamais été produit da</w:t>
      </w:r>
      <w:r>
        <w:t>ns le pays. La mesure de réglementation notifiée</w:t>
      </w:r>
      <w:r w:rsidRPr="00C62790">
        <w:t xml:space="preserve"> en interdisait toutes les autres utilisations. Sur la</w:t>
      </w:r>
      <w:r>
        <w:t xml:space="preserve"> période 1963-1973, près de 146 </w:t>
      </w:r>
      <w:r w:rsidRPr="00C62790">
        <w:t xml:space="preserve">tonnes de </w:t>
      </w:r>
      <w:proofErr w:type="spellStart"/>
      <w:r w:rsidRPr="00C62790">
        <w:t>mirex</w:t>
      </w:r>
      <w:proofErr w:type="spellEnd"/>
      <w:r w:rsidRPr="00C62790">
        <w:t xml:space="preserve"> avaient été importées au Canada </w:t>
      </w:r>
      <w:r>
        <w:t>à de</w:t>
      </w:r>
      <w:r w:rsidRPr="00C62790">
        <w:t>s fins industrielles. La Convention de Stockholm, à laquelle le Canada est Partie, interdit la production et l</w:t>
      </w:r>
      <w:r>
        <w:t>’</w:t>
      </w:r>
      <w:r w:rsidRPr="00C62790">
        <w:t>utilisation de cette substance. Par suite, les risques pour la santé humaine et l</w:t>
      </w:r>
      <w:r>
        <w:t>’</w:t>
      </w:r>
      <w:r w:rsidRPr="00C62790">
        <w:t xml:space="preserve">environnement avaient sensiblement diminué dans la Partie </w:t>
      </w:r>
      <w:proofErr w:type="spellStart"/>
      <w:r w:rsidRPr="00C62790">
        <w:t>notifiante</w:t>
      </w:r>
      <w:proofErr w:type="spellEnd"/>
      <w:r w:rsidRPr="00C62790">
        <w:t xml:space="preserve">. </w:t>
      </w:r>
    </w:p>
    <w:p w:rsidR="005A25CC" w:rsidRPr="00C62790" w:rsidRDefault="005A25CC" w:rsidP="005A25CC">
      <w:pPr>
        <w:pStyle w:val="Paralevel1"/>
        <w:rPr>
          <w:snapToGrid/>
          <w:lang w:val="fr-FR"/>
        </w:rPr>
      </w:pPr>
      <w:r w:rsidRPr="00C62790">
        <w:rPr>
          <w:snapToGrid/>
          <w:lang w:val="fr-FR"/>
        </w:rPr>
        <w:t>5.</w:t>
      </w:r>
      <w:r w:rsidRPr="00C62790">
        <w:rPr>
          <w:snapToGrid/>
          <w:lang w:val="fr-FR"/>
        </w:rPr>
        <w:tab/>
        <w:t xml:space="preserve">Le Comité a tenu compte du fait que les considérations sous-jacentes à la mesure de réglementation finale avaient une large portée puisque le </w:t>
      </w:r>
      <w:proofErr w:type="spellStart"/>
      <w:r w:rsidRPr="00C62790">
        <w:rPr>
          <w:snapToGrid/>
          <w:lang w:val="fr-FR"/>
        </w:rPr>
        <w:t>mirex</w:t>
      </w:r>
      <w:proofErr w:type="spellEnd"/>
      <w:r w:rsidRPr="00C62790">
        <w:rPr>
          <w:snapToGrid/>
          <w:lang w:val="fr-FR"/>
        </w:rPr>
        <w:t xml:space="preserve"> pouvait se propager à longue distance dans l</w:t>
      </w:r>
      <w:r>
        <w:rPr>
          <w:snapToGrid/>
          <w:lang w:val="fr-FR"/>
        </w:rPr>
        <w:t>’</w:t>
      </w:r>
      <w:r w:rsidRPr="00C62790">
        <w:rPr>
          <w:snapToGrid/>
          <w:lang w:val="fr-FR"/>
        </w:rPr>
        <w:t xml:space="preserve">environnement. Les données de </w:t>
      </w:r>
      <w:r>
        <w:rPr>
          <w:snapToGrid/>
          <w:lang w:val="fr-FR"/>
        </w:rPr>
        <w:t xml:space="preserve">surveillance avaient </w:t>
      </w:r>
      <w:r w:rsidRPr="00C62790">
        <w:rPr>
          <w:snapToGrid/>
          <w:lang w:val="fr-FR"/>
        </w:rPr>
        <w:t>mis en évidence sa présence dans des régions où il n</w:t>
      </w:r>
      <w:r>
        <w:rPr>
          <w:snapToGrid/>
          <w:lang w:val="fr-FR"/>
        </w:rPr>
        <w:t>’</w:t>
      </w:r>
      <w:r w:rsidRPr="00C62790">
        <w:rPr>
          <w:snapToGrid/>
          <w:lang w:val="fr-FR"/>
        </w:rPr>
        <w:t>avait jamais été utilisé. Bien qu</w:t>
      </w:r>
      <w:r>
        <w:rPr>
          <w:snapToGrid/>
          <w:lang w:val="fr-FR"/>
        </w:rPr>
        <w:t>’</w:t>
      </w:r>
      <w:r w:rsidRPr="00C62790">
        <w:rPr>
          <w:snapToGrid/>
          <w:lang w:val="fr-FR"/>
        </w:rPr>
        <w:t>aucune information ne vienne confirmer l</w:t>
      </w:r>
      <w:r>
        <w:rPr>
          <w:snapToGrid/>
          <w:lang w:val="fr-FR"/>
        </w:rPr>
        <w:t>’</w:t>
      </w:r>
      <w:r w:rsidRPr="00C62790">
        <w:rPr>
          <w:snapToGrid/>
          <w:lang w:val="fr-FR"/>
        </w:rPr>
        <w:t>existence d</w:t>
      </w:r>
      <w:r>
        <w:rPr>
          <w:snapToGrid/>
          <w:lang w:val="fr-FR"/>
        </w:rPr>
        <w:t>’</w:t>
      </w:r>
      <w:r w:rsidRPr="00C62790">
        <w:rPr>
          <w:snapToGrid/>
          <w:lang w:val="fr-FR"/>
        </w:rPr>
        <w:t>un commerce de la substance, la possibilité qu</w:t>
      </w:r>
      <w:r>
        <w:rPr>
          <w:snapToGrid/>
          <w:lang w:val="fr-FR"/>
        </w:rPr>
        <w:t>’</w:t>
      </w:r>
      <w:r w:rsidRPr="00C62790">
        <w:rPr>
          <w:snapToGrid/>
          <w:lang w:val="fr-FR"/>
        </w:rPr>
        <w:t>elle fasse l</w:t>
      </w:r>
      <w:r>
        <w:rPr>
          <w:snapToGrid/>
          <w:lang w:val="fr-FR"/>
        </w:rPr>
        <w:t>’</w:t>
      </w:r>
      <w:r w:rsidRPr="00C62790">
        <w:rPr>
          <w:snapToGrid/>
          <w:lang w:val="fr-FR"/>
        </w:rPr>
        <w:t>objet d</w:t>
      </w:r>
      <w:r>
        <w:rPr>
          <w:snapToGrid/>
          <w:lang w:val="fr-FR"/>
        </w:rPr>
        <w:t>’</w:t>
      </w:r>
      <w:r w:rsidRPr="00C62790">
        <w:rPr>
          <w:snapToGrid/>
          <w:lang w:val="fr-FR"/>
        </w:rPr>
        <w:t xml:space="preserve">un commerce international ne pouvait </w:t>
      </w:r>
      <w:r>
        <w:rPr>
          <w:snapToGrid/>
          <w:lang w:val="fr-FR"/>
        </w:rPr>
        <w:t xml:space="preserve">pas </w:t>
      </w:r>
      <w:r w:rsidRPr="00C62790">
        <w:rPr>
          <w:snapToGrid/>
          <w:lang w:val="fr-FR"/>
        </w:rPr>
        <w:t xml:space="preserve">être exclue. </w:t>
      </w:r>
    </w:p>
    <w:p w:rsidR="005A25CC" w:rsidRPr="00C62790" w:rsidRDefault="005A25CC" w:rsidP="005A25CC">
      <w:pPr>
        <w:spacing w:after="120"/>
        <w:ind w:left="1247"/>
      </w:pPr>
      <w:r w:rsidRPr="00C62790">
        <w:t>6.</w:t>
      </w:r>
      <w:r w:rsidRPr="00C62790">
        <w:tab/>
        <w:t>Le Comité a noté que la mesure de réglementation finale n</w:t>
      </w:r>
      <w:r>
        <w:t>’</w:t>
      </w:r>
      <w:r w:rsidRPr="00C62790">
        <w:t>avait pas été motivée par des préoccupations concernant l</w:t>
      </w:r>
      <w:r>
        <w:t>’</w:t>
      </w:r>
      <w:r w:rsidRPr="00C62790">
        <w:t xml:space="preserve">abus intentionnel de </w:t>
      </w:r>
      <w:proofErr w:type="spellStart"/>
      <w:r w:rsidRPr="00C62790">
        <w:t>mirex</w:t>
      </w:r>
      <w:proofErr w:type="spellEnd"/>
      <w:r w:rsidRPr="00C62790">
        <w:t>.</w:t>
      </w:r>
    </w:p>
    <w:p w:rsidR="004B0315" w:rsidRDefault="005A25CC" w:rsidP="005A25CC">
      <w:pPr>
        <w:spacing w:after="120"/>
        <w:ind w:left="1247"/>
      </w:pPr>
      <w:r w:rsidRPr="00C62790">
        <w:t>7.</w:t>
      </w:r>
      <w:r w:rsidRPr="00C62790">
        <w:tab/>
        <w:t>À sa treizième réunion, le Comité a conclu que la notification de mesure de réglementation finale soumise par le Canada contenait les informations demandées dans l</w:t>
      </w:r>
      <w:r>
        <w:t>’</w:t>
      </w:r>
      <w:r w:rsidRPr="00C62790">
        <w:t>Annexe I et que les critères énoncés dans l</w:t>
      </w:r>
      <w:r>
        <w:t>’Annexe </w:t>
      </w:r>
      <w:r w:rsidRPr="00C62790">
        <w:t xml:space="preserve">II </w:t>
      </w:r>
      <w:r>
        <w:t>de</w:t>
      </w:r>
      <w:r w:rsidRPr="00C62790">
        <w:t xml:space="preserve"> la Convention étaient satisfaits. Lorsqu</w:t>
      </w:r>
      <w:r>
        <w:t>’</w:t>
      </w:r>
      <w:r w:rsidRPr="00C62790">
        <w:t>une deuxième notification portant sur le même produit chimique émanant d</w:t>
      </w:r>
      <w:r>
        <w:t>’</w:t>
      </w:r>
      <w:r w:rsidRPr="00C62790">
        <w:t>une Partie d</w:t>
      </w:r>
      <w:r>
        <w:t>’</w:t>
      </w:r>
      <w:r w:rsidRPr="00C62790">
        <w:t>une région autre que l</w:t>
      </w:r>
      <w:r>
        <w:t>’</w:t>
      </w:r>
      <w:r w:rsidRPr="00C62790">
        <w:t xml:space="preserve">Amérique du Nord </w:t>
      </w:r>
      <w:r>
        <w:t>aura été considérée</w:t>
      </w:r>
      <w:r w:rsidRPr="00C62790">
        <w:t xml:space="preserve"> par le Comité comme répondant aux critères de l</w:t>
      </w:r>
      <w:r>
        <w:t>’</w:t>
      </w:r>
      <w:r w:rsidRPr="00C62790">
        <w:t>Annexe</w:t>
      </w:r>
      <w:r>
        <w:t> </w:t>
      </w:r>
      <w:r w:rsidRPr="00C62790">
        <w:t>II, celui-ci recommandera à la Conférence des Parties l</w:t>
      </w:r>
      <w:r>
        <w:t>’</w:t>
      </w:r>
      <w:r w:rsidRPr="00C62790">
        <w:t xml:space="preserve">inscription du </w:t>
      </w:r>
      <w:proofErr w:type="spellStart"/>
      <w:r w:rsidRPr="00C62790">
        <w:t>mirex</w:t>
      </w:r>
      <w:proofErr w:type="spellEnd"/>
      <w:r w:rsidRPr="00C62790">
        <w:t xml:space="preserve"> à l</w:t>
      </w:r>
      <w:r>
        <w:t>’</w:t>
      </w:r>
      <w:r w:rsidRPr="00C62790">
        <w:t>Annexe</w:t>
      </w:r>
      <w:r>
        <w:t> </w:t>
      </w:r>
      <w:r w:rsidRPr="00C62790">
        <w:t>III de la Convention de Rotterdam.</w:t>
      </w:r>
    </w:p>
    <w:sectPr w:rsidR="004B0315" w:rsidSect="004B03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9F9" w:rsidRDefault="001849F9" w:rsidP="005A25CC">
      <w:r>
        <w:separator/>
      </w:r>
    </w:p>
  </w:endnote>
  <w:endnote w:type="continuationSeparator" w:id="0">
    <w:p w:rsidR="001849F9" w:rsidRDefault="001849F9" w:rsidP="005A25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9F9" w:rsidRDefault="001849F9" w:rsidP="005A25CC">
      <w:r>
        <w:separator/>
      </w:r>
    </w:p>
  </w:footnote>
  <w:footnote w:type="continuationSeparator" w:id="0">
    <w:p w:rsidR="001849F9" w:rsidRDefault="001849F9" w:rsidP="005A25CC">
      <w:r>
        <w:continuationSeparator/>
      </w:r>
    </w:p>
  </w:footnote>
  <w:footnote w:id="1">
    <w:p w:rsidR="005A25CC" w:rsidRPr="003A5E93" w:rsidRDefault="005A25CC" w:rsidP="005A25CC">
      <w:pPr>
        <w:pStyle w:val="FootnoteText"/>
        <w:rPr>
          <w:rFonts w:eastAsia="Calibri"/>
          <w:szCs w:val="18"/>
          <w:highlight w:val="yellow"/>
        </w:rPr>
      </w:pPr>
      <w:r>
        <w:rPr>
          <w:rStyle w:val="FootnoteReference"/>
          <w:rFonts w:eastAsia="SimSun"/>
        </w:rPr>
        <w:footnoteRef/>
      </w:r>
      <w:r w:rsidRPr="003A5E93">
        <w:rPr>
          <w:rStyle w:val="FootnoteReference"/>
          <w:rFonts w:eastAsia="SimSun"/>
        </w:rPr>
        <w:t xml:space="preserve"> </w:t>
      </w:r>
      <w:r w:rsidRPr="003A5E93">
        <w:rPr>
          <w:rFonts w:eastAsia="Calibri"/>
        </w:rPr>
        <w:t>Voir le document UNEP/FAO/RC/CRC.13/10.</w:t>
      </w:r>
    </w:p>
  </w:footnote>
  <w:footnote w:id="2">
    <w:p w:rsidR="005A25CC" w:rsidRPr="003A5E93" w:rsidRDefault="005A25CC" w:rsidP="005A25CC">
      <w:pPr>
        <w:pStyle w:val="FootnoteText"/>
        <w:rPr>
          <w:rFonts w:eastAsia="Calibri"/>
          <w:szCs w:val="18"/>
        </w:rPr>
      </w:pPr>
      <w:r>
        <w:rPr>
          <w:rStyle w:val="FootnoteReference"/>
          <w:rFonts w:eastAsia="Calibri"/>
        </w:rPr>
        <w:footnoteRef/>
      </w:r>
      <w:r w:rsidRPr="003A5E93">
        <w:rPr>
          <w:rFonts w:eastAsia="Calibri"/>
          <w:szCs w:val="18"/>
        </w:rPr>
        <w:t xml:space="preserve"> La justification figurant dans l</w:t>
      </w:r>
      <w:r>
        <w:rPr>
          <w:rFonts w:eastAsia="Calibri"/>
          <w:szCs w:val="18"/>
        </w:rPr>
        <w:t>’</w:t>
      </w:r>
      <w:r w:rsidRPr="003A5E93">
        <w:rPr>
          <w:rFonts w:eastAsia="Calibri"/>
          <w:szCs w:val="18"/>
        </w:rPr>
        <w:t xml:space="preserve">annexe à la présente </w:t>
      </w:r>
      <w:r>
        <w:rPr>
          <w:rFonts w:eastAsia="Calibri"/>
          <w:szCs w:val="18"/>
        </w:rPr>
        <w:t>dé</w:t>
      </w:r>
      <w:r w:rsidRPr="003A5E93">
        <w:rPr>
          <w:rFonts w:eastAsia="Calibri"/>
          <w:szCs w:val="18"/>
        </w:rPr>
        <w:t xml:space="preserve">cision remplace la justification </w:t>
      </w:r>
      <w:r>
        <w:rPr>
          <w:rFonts w:eastAsia="Calibri"/>
          <w:szCs w:val="18"/>
        </w:rPr>
        <w:t xml:space="preserve">élaborée par le Comité à sa deuxième réunion </w:t>
      </w:r>
      <w:r w:rsidRPr="003A5E93">
        <w:rPr>
          <w:rFonts w:eastAsia="Calibri"/>
          <w:szCs w:val="18"/>
        </w:rPr>
        <w:t>(</w:t>
      </w:r>
      <w:r>
        <w:rPr>
          <w:rFonts w:eastAsia="Calibri"/>
          <w:szCs w:val="18"/>
        </w:rPr>
        <w:t xml:space="preserve">voir le document </w:t>
      </w:r>
      <w:r w:rsidRPr="003A5E93">
        <w:rPr>
          <w:rFonts w:eastAsia="Calibri"/>
          <w:szCs w:val="18"/>
        </w:rPr>
        <w:t>UNEP/FAO/RC/CRC.2/20, annex</w:t>
      </w:r>
      <w:r>
        <w:rPr>
          <w:rFonts w:eastAsia="Calibri"/>
          <w:szCs w:val="18"/>
        </w:rPr>
        <w:t>e </w:t>
      </w:r>
      <w:r w:rsidRPr="003A5E93">
        <w:rPr>
          <w:rFonts w:eastAsia="Calibri"/>
          <w:szCs w:val="18"/>
        </w:rPr>
        <w:t>III, sect</w:t>
      </w:r>
      <w:r>
        <w:rPr>
          <w:rFonts w:eastAsia="Calibri"/>
          <w:szCs w:val="18"/>
        </w:rPr>
        <w:t>ion </w:t>
      </w:r>
      <w:r w:rsidRPr="003A5E93">
        <w:rPr>
          <w:rFonts w:eastAsia="Calibri"/>
          <w:szCs w:val="18"/>
        </w:rPr>
        <w:t xml:space="preserve">D).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7BB"/>
    <w:multiLevelType w:val="hybridMultilevel"/>
    <w:tmpl w:val="DDB8842E"/>
    <w:lvl w:ilvl="0" w:tplc="36D60914">
      <w:start w:val="1"/>
      <w:numFmt w:val="lowerLetter"/>
      <w:lvlText w:val="%1)"/>
      <w:lvlJc w:val="left"/>
      <w:pPr>
        <w:ind w:left="2579" w:hanging="360"/>
      </w:pPr>
      <w:rPr>
        <w:rFonts w:ascii="Times New Roman" w:eastAsia="Times New Roman" w:hAnsi="Times New Roman" w:cs="Times New Roman"/>
      </w:rPr>
    </w:lvl>
    <w:lvl w:ilvl="1" w:tplc="04090019" w:tentative="1">
      <w:start w:val="1"/>
      <w:numFmt w:val="lowerLetter"/>
      <w:lvlText w:val="%2."/>
      <w:lvlJc w:val="left"/>
      <w:pPr>
        <w:ind w:left="3299" w:hanging="360"/>
      </w:pPr>
    </w:lvl>
    <w:lvl w:ilvl="2" w:tplc="0409001B" w:tentative="1">
      <w:start w:val="1"/>
      <w:numFmt w:val="lowerRoman"/>
      <w:lvlText w:val="%3."/>
      <w:lvlJc w:val="right"/>
      <w:pPr>
        <w:ind w:left="4019" w:hanging="180"/>
      </w:pPr>
    </w:lvl>
    <w:lvl w:ilvl="3" w:tplc="0409000F" w:tentative="1">
      <w:start w:val="1"/>
      <w:numFmt w:val="decimal"/>
      <w:lvlText w:val="%4."/>
      <w:lvlJc w:val="left"/>
      <w:pPr>
        <w:ind w:left="4739" w:hanging="360"/>
      </w:pPr>
    </w:lvl>
    <w:lvl w:ilvl="4" w:tplc="04090019" w:tentative="1">
      <w:start w:val="1"/>
      <w:numFmt w:val="lowerLetter"/>
      <w:lvlText w:val="%5."/>
      <w:lvlJc w:val="left"/>
      <w:pPr>
        <w:ind w:left="5459" w:hanging="360"/>
      </w:pPr>
    </w:lvl>
    <w:lvl w:ilvl="5" w:tplc="0409001B" w:tentative="1">
      <w:start w:val="1"/>
      <w:numFmt w:val="lowerRoman"/>
      <w:lvlText w:val="%6."/>
      <w:lvlJc w:val="right"/>
      <w:pPr>
        <w:ind w:left="6179" w:hanging="180"/>
      </w:pPr>
    </w:lvl>
    <w:lvl w:ilvl="6" w:tplc="0409000F" w:tentative="1">
      <w:start w:val="1"/>
      <w:numFmt w:val="decimal"/>
      <w:lvlText w:val="%7."/>
      <w:lvlJc w:val="left"/>
      <w:pPr>
        <w:ind w:left="6899" w:hanging="360"/>
      </w:pPr>
    </w:lvl>
    <w:lvl w:ilvl="7" w:tplc="04090019" w:tentative="1">
      <w:start w:val="1"/>
      <w:numFmt w:val="lowerLetter"/>
      <w:lvlText w:val="%8."/>
      <w:lvlJc w:val="left"/>
      <w:pPr>
        <w:ind w:left="7619" w:hanging="360"/>
      </w:pPr>
    </w:lvl>
    <w:lvl w:ilvl="8" w:tplc="0409001B" w:tentative="1">
      <w:start w:val="1"/>
      <w:numFmt w:val="lowerRoman"/>
      <w:lvlText w:val="%9."/>
      <w:lvlJc w:val="right"/>
      <w:pPr>
        <w:ind w:left="8339"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706"/>
        </w:tabs>
        <w:ind w:left="3087"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nsid w:val="62291BF8"/>
    <w:multiLevelType w:val="multilevel"/>
    <w:tmpl w:val="F4ACF36E"/>
    <w:numStyleLink w:val="Normallist"/>
  </w:abstractNum>
  <w:num w:numId="1">
    <w:abstractNumId w:val="1"/>
    <w:lvlOverride w:ilvl="0">
      <w:lvl w:ilvl="0">
        <w:start w:val="1"/>
        <w:numFmt w:val="decimal"/>
        <w:lvlText w:val="%1."/>
        <w:lvlJc w:val="left"/>
        <w:pPr>
          <w:tabs>
            <w:tab w:val="num" w:pos="567"/>
          </w:tabs>
          <w:ind w:left="124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5A25CC"/>
    <w:rsid w:val="001849F9"/>
    <w:rsid w:val="004B0315"/>
    <w:rsid w:val="005A25CC"/>
    <w:rsid w:val="008777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5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A25CC"/>
    <w:pPr>
      <w:keepNext/>
      <w:keepLines/>
      <w:tabs>
        <w:tab w:val="right" w:pos="851"/>
        <w:tab w:val="left" w:pos="4082"/>
      </w:tabs>
      <w:suppressAutoHyphens/>
      <w:spacing w:before="240" w:after="120"/>
      <w:ind w:left="1247" w:right="284" w:hanging="1247"/>
    </w:pPr>
    <w:rPr>
      <w:b/>
      <w:sz w:val="28"/>
      <w:szCs w:val="28"/>
      <w:lang w:val="fr-CA"/>
    </w:rPr>
  </w:style>
  <w:style w:type="paragraph" w:customStyle="1" w:styleId="Normal-pool">
    <w:name w:val="Normal-pool"/>
    <w:link w:val="Normal-poolChar"/>
    <w:rsid w:val="005A25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styleId="FootnoteReference">
    <w:name w:val="footnote reference"/>
    <w:rsid w:val="005A25CC"/>
    <w:rPr>
      <w:rFonts w:ascii="Times New Roman" w:hAnsi="Times New Roman"/>
      <w:color w:val="auto"/>
      <w:sz w:val="20"/>
      <w:szCs w:val="18"/>
      <w:vertAlign w:val="superscript"/>
    </w:rPr>
  </w:style>
  <w:style w:type="paragraph" w:styleId="FootnoteText">
    <w:name w:val="footnote text"/>
    <w:basedOn w:val="Normal"/>
    <w:link w:val="FootnoteTextChar"/>
    <w:rsid w:val="005A25CC"/>
    <w:pPr>
      <w:tabs>
        <w:tab w:val="left" w:pos="4082"/>
      </w:tabs>
      <w:spacing w:before="20" w:after="40"/>
      <w:ind w:left="1247"/>
    </w:pPr>
    <w:rPr>
      <w:sz w:val="18"/>
      <w:lang w:val="fr-CA"/>
    </w:rPr>
  </w:style>
  <w:style w:type="character" w:customStyle="1" w:styleId="FootnoteTextChar">
    <w:name w:val="Footnote Text Char"/>
    <w:basedOn w:val="DefaultParagraphFont"/>
    <w:link w:val="FootnoteText"/>
    <w:rsid w:val="005A25CC"/>
    <w:rPr>
      <w:rFonts w:ascii="Times New Roman" w:eastAsia="Times New Roman" w:hAnsi="Times New Roman" w:cs="Times New Roman"/>
      <w:sz w:val="18"/>
      <w:szCs w:val="20"/>
      <w:lang w:val="fr-CA"/>
    </w:rPr>
  </w:style>
  <w:style w:type="numbering" w:customStyle="1" w:styleId="Normallist">
    <w:name w:val="Normal_list"/>
    <w:basedOn w:val="NoList"/>
    <w:rsid w:val="005A25CC"/>
    <w:pPr>
      <w:numPr>
        <w:numId w:val="3"/>
      </w:numPr>
    </w:pPr>
  </w:style>
  <w:style w:type="paragraph" w:customStyle="1" w:styleId="Normalnumber">
    <w:name w:val="Normal_number"/>
    <w:basedOn w:val="Normal"/>
    <w:link w:val="NormalnumberChar"/>
    <w:rsid w:val="005A25CC"/>
    <w:pPr>
      <w:numPr>
        <w:numId w:val="4"/>
      </w:numPr>
      <w:tabs>
        <w:tab w:val="left" w:pos="4082"/>
      </w:tabs>
      <w:spacing w:after="120"/>
    </w:pPr>
    <w:rPr>
      <w:lang w:val="fr-CA"/>
    </w:rPr>
  </w:style>
  <w:style w:type="character" w:customStyle="1" w:styleId="NormalnumberChar">
    <w:name w:val="Normal_number Char"/>
    <w:link w:val="Normalnumber"/>
    <w:locked/>
    <w:rsid w:val="005A25CC"/>
    <w:rPr>
      <w:rFonts w:ascii="Times New Roman" w:eastAsia="Times New Roman" w:hAnsi="Times New Roman" w:cs="Times New Roman"/>
      <w:sz w:val="20"/>
      <w:szCs w:val="20"/>
      <w:lang w:val="fr-CA"/>
    </w:rPr>
  </w:style>
  <w:style w:type="paragraph" w:styleId="ListParagraph">
    <w:name w:val="List Paragraph"/>
    <w:basedOn w:val="Normal"/>
    <w:uiPriority w:val="34"/>
    <w:qFormat/>
    <w:rsid w:val="005A25CC"/>
    <w:pPr>
      <w:ind w:left="720"/>
      <w:contextualSpacing/>
    </w:pPr>
  </w:style>
  <w:style w:type="character" w:customStyle="1" w:styleId="Normal-poolChar">
    <w:name w:val="Normal-pool Char"/>
    <w:link w:val="Normal-pool"/>
    <w:locked/>
    <w:rsid w:val="005A25CC"/>
    <w:rPr>
      <w:rFonts w:ascii="Times New Roman" w:eastAsia="Times New Roman" w:hAnsi="Times New Roman" w:cs="Times New Roman"/>
      <w:sz w:val="20"/>
      <w:szCs w:val="20"/>
      <w:lang w:val="fr-CA"/>
    </w:rPr>
  </w:style>
  <w:style w:type="paragraph" w:customStyle="1" w:styleId="Paralevel1">
    <w:name w:val="Para level1"/>
    <w:basedOn w:val="Normal"/>
    <w:autoRedefine/>
    <w:rsid w:val="005A25CC"/>
    <w:pPr>
      <w:tabs>
        <w:tab w:val="clear" w:pos="1247"/>
        <w:tab w:val="clear" w:pos="1814"/>
        <w:tab w:val="clear" w:pos="2381"/>
        <w:tab w:val="clear" w:pos="2948"/>
        <w:tab w:val="clear" w:pos="3515"/>
        <w:tab w:val="left" w:pos="1800"/>
      </w:tabs>
      <w:spacing w:after="120"/>
      <w:ind w:left="1247"/>
    </w:pPr>
    <w:rPr>
      <w:snapToGrid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1084</Words>
  <Characters>6182</Characters>
  <Application>Microsoft Office Word</Application>
  <DocSecurity>0</DocSecurity>
  <Lines>51</Lines>
  <Paragraphs>14</Paragraphs>
  <ScaleCrop>false</ScaleCrop>
  <Company>BRS</Company>
  <LinksUpToDate>false</LinksUpToDate>
  <CharactersWithSpaces>7252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2018-02-28T16:40:00Z</dcterms:created>
  <dcterms:modified xsi:type="dcterms:W3CDTF">2018-02-28T16:40:00Z</dcterms:modified>
</cp:coreProperties>
</file>