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6D7" w:rsidRPr="001E594A" w:rsidRDefault="008976D7" w:rsidP="008976D7">
      <w:pPr>
        <w:spacing w:after="120"/>
        <w:ind w:left="1247"/>
        <w:rPr>
          <w:b/>
          <w:sz w:val="28"/>
          <w:szCs w:val="28"/>
        </w:rPr>
      </w:pPr>
      <w:r>
        <w:rPr>
          <w:b/>
          <w:sz w:val="28"/>
          <w:szCs w:val="28"/>
        </w:rPr>
        <w:t>КРХВ</w:t>
      </w:r>
      <w:r w:rsidRPr="001E594A">
        <w:rPr>
          <w:b/>
          <w:sz w:val="28"/>
          <w:szCs w:val="28"/>
        </w:rPr>
        <w:t>-13/3: Мирекс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rPr>
          <w:i/>
        </w:rPr>
        <w:t>Комитет по рассмотрению химических веществ</w:t>
      </w:r>
      <w:r w:rsidRPr="001E594A">
        <w:t>,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rPr>
          <w:i/>
        </w:rPr>
        <w:t xml:space="preserve">ссылаясь </w:t>
      </w:r>
      <w:r w:rsidRPr="001E594A">
        <w:t>на статью 5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rPr>
          <w:i/>
        </w:rPr>
        <w:t>рассмотрев</w:t>
      </w:r>
      <w:r w:rsidRPr="001E594A">
        <w:t xml:space="preserve"> уведомление об окончательном регламентационном постановлении в отношении мирекса, направленное Колумбией, и новое уведомление об окончательном регламентационном постановлении в отношении мирекса, направленное Канадой вместо предыдущего уведомления от этой Стороны</w:t>
      </w:r>
      <w:r w:rsidRPr="001E594A">
        <w:rPr>
          <w:vertAlign w:val="superscript"/>
        </w:rPr>
        <w:footnoteReference w:id="1"/>
      </w:r>
      <w:r w:rsidRPr="001E594A">
        <w:t>,</w:t>
      </w:r>
    </w:p>
    <w:p w:rsidR="008976D7" w:rsidRPr="001E594A" w:rsidRDefault="008976D7" w:rsidP="008976D7">
      <w:pPr>
        <w:spacing w:after="120"/>
        <w:ind w:left="1247" w:firstLine="624"/>
      </w:pPr>
      <w:r>
        <w:t>1</w:t>
      </w:r>
      <w:r w:rsidRPr="001E594A">
        <w:t>.</w:t>
      </w:r>
      <w:r w:rsidRPr="001E594A">
        <w:tab/>
      </w:r>
      <w:r w:rsidRPr="001E594A">
        <w:rPr>
          <w:i/>
        </w:rPr>
        <w:t>делает заключение</w:t>
      </w:r>
      <w:r w:rsidRPr="001E594A">
        <w:t>, что представленное Канадой новое уведомление об окончательном регламентационном постановлении в отношении мирекса соответствует критериям, изложенным в приложении II к Конвенции;</w:t>
      </w:r>
    </w:p>
    <w:p w:rsidR="008976D7" w:rsidRPr="001E594A" w:rsidRDefault="008976D7" w:rsidP="008976D7">
      <w:pPr>
        <w:spacing w:after="120"/>
        <w:ind w:left="1247" w:firstLine="624"/>
      </w:pPr>
      <w:r>
        <w:t>2</w:t>
      </w:r>
      <w:r w:rsidRPr="001E594A">
        <w:t>.</w:t>
      </w:r>
      <w:r w:rsidRPr="001E594A">
        <w:tab/>
      </w:r>
      <w:r w:rsidRPr="001E594A">
        <w:rPr>
          <w:i/>
        </w:rPr>
        <w:t>принимает</w:t>
      </w:r>
      <w:r w:rsidRPr="001E594A">
        <w:t xml:space="preserve"> обоснование для заключения Комитета о представленном Канадой уведомлении в отношении мирекса, изложенное в приложении к настоящему решению</w:t>
      </w:r>
      <w:r w:rsidRPr="00070BB3">
        <w:rPr>
          <w:vertAlign w:val="superscript"/>
        </w:rPr>
        <w:footnoteReference w:id="2"/>
      </w:r>
      <w:r w:rsidRPr="001E594A">
        <w:t>;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t>3.</w:t>
      </w:r>
      <w:r w:rsidRPr="001E594A">
        <w:tab/>
      </w:r>
      <w:r w:rsidRPr="001E594A">
        <w:rPr>
          <w:i/>
        </w:rPr>
        <w:t>отмечает</w:t>
      </w:r>
      <w:r w:rsidRPr="001E594A">
        <w:t>, что, поскольку только одно уведомление об окончательном регламентационном постановлении в отношении мирекса соответствует критериям, изложенным в приложении II к Конвенции, Комитетом в настоящее время не будут приниматься дополнительные меры в отношении этого химического вещества.</w:t>
      </w:r>
    </w:p>
    <w:p w:rsidR="008976D7" w:rsidRPr="00C616C6" w:rsidRDefault="008976D7" w:rsidP="008976D7">
      <w:pPr>
        <w:spacing w:after="120"/>
        <w:ind w:left="1247"/>
        <w:rPr>
          <w:b/>
          <w:sz w:val="24"/>
          <w:szCs w:val="24"/>
        </w:rPr>
      </w:pPr>
      <w:r w:rsidRPr="00C616C6">
        <w:rPr>
          <w:b/>
          <w:sz w:val="24"/>
          <w:szCs w:val="24"/>
        </w:rPr>
        <w:t>Приложение к решению КРХВ</w:t>
      </w:r>
      <w:r w:rsidRPr="00C616C6">
        <w:rPr>
          <w:b/>
          <w:sz w:val="24"/>
          <w:szCs w:val="24"/>
        </w:rPr>
        <w:noBreakHyphen/>
        <w:t>13/3</w:t>
      </w:r>
    </w:p>
    <w:p w:rsidR="008976D7" w:rsidRPr="00C616C6" w:rsidRDefault="008976D7" w:rsidP="008976D7">
      <w:pPr>
        <w:spacing w:after="120"/>
        <w:ind w:left="1247"/>
        <w:rPr>
          <w:b/>
          <w:sz w:val="24"/>
          <w:szCs w:val="24"/>
        </w:rPr>
      </w:pPr>
      <w:r w:rsidRPr="00C616C6">
        <w:rPr>
          <w:b/>
          <w:sz w:val="24"/>
          <w:szCs w:val="24"/>
        </w:rPr>
        <w:t>Обоснование для заключения Комитета по рассмотрению химических веществ о том, что представленное Канадой уведомление об окончательном регламентационном постановлении в отношении мирекса (в рамках категории «промышленные химикаты») соответствует критериям, изложенным в приложении II к Роттердамской конвенции</w:t>
      </w:r>
    </w:p>
    <w:p w:rsidR="008976D7" w:rsidRPr="001E594A" w:rsidRDefault="008976D7" w:rsidP="008976D7">
      <w:pPr>
        <w:spacing w:after="120"/>
        <w:ind w:left="1247"/>
      </w:pPr>
      <w:r w:rsidRPr="001E594A">
        <w:t>1.</w:t>
      </w:r>
      <w:r w:rsidRPr="001E594A">
        <w:tab/>
        <w:t xml:space="preserve">Проверка секретариатом показала, что в направленном Канадой уведомлении о мирексе (в рамках категории </w:t>
      </w:r>
      <w:r>
        <w:t>«промышленные химикаты»</w:t>
      </w:r>
      <w:r w:rsidRPr="001E594A">
        <w:t>) содержится информация, требуемая в соответствии с приложением I к Роттердамской конвенции. Уведомление и вспомогательная документация были представлены на рассмотрение Комитета по рассмотрению химических веществ (UNEP/FAO/RC/CRC.13/10, UNEP/FAO/RC/CRC.13/INF/22).</w:t>
      </w:r>
    </w:p>
    <w:p w:rsidR="008976D7" w:rsidRPr="001E594A" w:rsidRDefault="008976D7" w:rsidP="008976D7">
      <w:pPr>
        <w:spacing w:after="120"/>
        <w:ind w:left="1247"/>
      </w:pPr>
      <w:r w:rsidRPr="001E594A">
        <w:t>2.</w:t>
      </w:r>
      <w:r w:rsidRPr="001E594A">
        <w:tab/>
        <w:t>При рассмотрении полученного от Канады уведомления об окончательном регламентационном постановлении вместе с представленной этой Стороной вспомогательной документацией, Комитет смог подтвердить, что регламентационное постановление было принято в целях охраны здоровья человека и окружающей среды. Мирекс является стойким и способным к биоаккумуляции химическим веществом (откладывается главным образом в жировых тканях), которое подвергается переносу на большие расстояния. Как было доказано, мирекс вызывает заболевания раком у подопытных животных и, возможно, оказывает канцерогенное воздействие на человека. В Канаде мирекс никогда не регистрировался для применения в качестве сельскохозяйственного пестицида. Решение, о котором направлено уведомление, касается промышленных видов применения. Он</w:t>
      </w:r>
      <w:r>
        <w:t>,</w:t>
      </w:r>
      <w:r w:rsidRPr="001E594A">
        <w:t xml:space="preserve"> главным образом</w:t>
      </w:r>
      <w:r>
        <w:t>,</w:t>
      </w:r>
      <w:r w:rsidRPr="001E594A">
        <w:t xml:space="preserve"> используется в качестве антипирена в пластмассах, резине, красках, бумаге и электротоварах. Он также используется в пиротехнике для получения белого дыма. В Канаде загрязнению мирексом подвергается несколько экосистем. Мирекс, в целом, оказывает малое воздействие на человека через пищу, за возможным исключением той группы населения, пищевой рацион </w:t>
      </w:r>
      <w:r w:rsidRPr="001E594A">
        <w:lastRenderedPageBreak/>
        <w:t xml:space="preserve">которых в основном состоит из рыбы или птиц, питающихся рыбой, из оз. Онтарио или р. Святого Лаврентия, а также охотников, которые питаются охотничье-промысловой птицей. </w:t>
      </w:r>
    </w:p>
    <w:p w:rsidR="008976D7" w:rsidRPr="001E594A" w:rsidRDefault="008976D7" w:rsidP="008976D7">
      <w:pPr>
        <w:spacing w:after="120"/>
        <w:ind w:left="1247"/>
      </w:pPr>
      <w:r w:rsidRPr="001E594A">
        <w:t>3.</w:t>
      </w:r>
      <w:r w:rsidRPr="001E594A">
        <w:tab/>
        <w:t>Комитетом установлено, что окончательное регламентационное постановление было принято исходя из оценки рисков и что эта оценка была проведена на основе анализа научных данных. Из имеющейся</w:t>
      </w:r>
      <w:r>
        <w:t xml:space="preserve"> документации</w:t>
      </w:r>
      <w:r w:rsidRPr="001E594A">
        <w:t xml:space="preserve"> явствует, что данные были получены с помощью научно обоснованных методов и что анализы данных были проведены и документально оформлены в соответствии с общепризнанными научными принципами и процедурами. В ней также показано, что окончательное регламентационное постановление было принято на основе оценок рисков для конкретного химического вещества с учетом условий воздействия на территории Канады. Оценка рисков была проведена целевой группой в 1997 году. Были сделаны следующие основные заключения:</w:t>
      </w:r>
    </w:p>
    <w:p w:rsidR="008976D7" w:rsidRPr="001E594A" w:rsidRDefault="008976D7" w:rsidP="008976D7">
      <w:pPr>
        <w:spacing w:after="120"/>
        <w:ind w:left="1247" w:firstLine="624"/>
      </w:pPr>
      <w:r>
        <w:rPr>
          <w:lang w:val="en-US"/>
        </w:rPr>
        <w:t>a</w:t>
      </w:r>
      <w:r w:rsidRPr="00070BB3">
        <w:t>)</w:t>
      </w:r>
      <w:r w:rsidRPr="00070BB3">
        <w:tab/>
      </w:r>
      <w:proofErr w:type="gramStart"/>
      <w:r w:rsidRPr="001E594A">
        <w:t>в</w:t>
      </w:r>
      <w:proofErr w:type="gramEnd"/>
      <w:r w:rsidRPr="001E594A">
        <w:t xml:space="preserve"> Канаде загрязнению мирексом подвергается несколько экосистем;</w:t>
      </w:r>
    </w:p>
    <w:p w:rsidR="008976D7" w:rsidRPr="001E594A" w:rsidRDefault="008976D7" w:rsidP="008976D7">
      <w:pPr>
        <w:spacing w:after="120"/>
        <w:ind w:left="1247" w:firstLine="624"/>
      </w:pPr>
      <w:r>
        <w:rPr>
          <w:lang w:val="en-US"/>
        </w:rPr>
        <w:t>b</w:t>
      </w:r>
      <w:r w:rsidRPr="00070BB3">
        <w:t>)</w:t>
      </w:r>
      <w:r w:rsidRPr="00070BB3">
        <w:tab/>
      </w:r>
      <w:proofErr w:type="gramStart"/>
      <w:r w:rsidRPr="001E594A">
        <w:t>отсутствуют</w:t>
      </w:r>
      <w:proofErr w:type="gramEnd"/>
      <w:r w:rsidRPr="001E594A">
        <w:t xml:space="preserve"> данные, свидетельствующие о том, что мирекс встречается в окружающей среде в естественном виде;</w:t>
      </w:r>
    </w:p>
    <w:p w:rsidR="008976D7" w:rsidRPr="001E594A" w:rsidRDefault="008976D7" w:rsidP="008976D7">
      <w:pPr>
        <w:spacing w:before="240" w:after="120"/>
        <w:ind w:left="1247" w:firstLine="624"/>
      </w:pPr>
      <w:r>
        <w:rPr>
          <w:lang w:val="en-US"/>
        </w:rPr>
        <w:t>c</w:t>
      </w:r>
      <w:r w:rsidRPr="00070BB3">
        <w:t>)</w:t>
      </w:r>
      <w:r w:rsidRPr="00070BB3">
        <w:tab/>
      </w:r>
      <w:proofErr w:type="gramStart"/>
      <w:r w:rsidRPr="001E594A">
        <w:t>основные</w:t>
      </w:r>
      <w:proofErr w:type="gramEnd"/>
      <w:r w:rsidRPr="001E594A">
        <w:t xml:space="preserve"> источники поступления мирекса на территорию Канады находятся в штате Нью-Йорк (США), в р. Ниагара и р. Освего, где размещены химические предприятия и предприятия по производству антипиренов;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t>d)</w:t>
      </w:r>
      <w:r w:rsidRPr="00167B9B">
        <w:tab/>
      </w:r>
      <w:r w:rsidRPr="001E594A">
        <w:t xml:space="preserve"> трансграничное перемещение мирекса в экосистеме оз. Онтарио привело к заражению рыбы и питающихся рыбой птиц в Канаде;</w:t>
      </w:r>
    </w:p>
    <w:p w:rsidR="008976D7" w:rsidRPr="001E594A" w:rsidRDefault="008976D7" w:rsidP="008976D7">
      <w:pPr>
        <w:spacing w:after="120"/>
        <w:ind w:left="1247" w:firstLine="624"/>
      </w:pPr>
      <w:r w:rsidRPr="001E594A">
        <w:t>е)</w:t>
      </w:r>
      <w:r w:rsidRPr="00167B9B">
        <w:tab/>
      </w:r>
      <w:r w:rsidRPr="001E594A">
        <w:t>в Канаде мирекс, в целом, оказывает крайне малое воздействие на человека через пищу, за возможным исключением тех подгрупп населения, рацион которых частично или полностью состоит из рыбы или питающихся рыбой птиц из оз. Онтарио и р. Святого Лаврентия;</w:t>
      </w:r>
    </w:p>
    <w:p w:rsidR="008976D7" w:rsidRPr="001E594A" w:rsidRDefault="008976D7" w:rsidP="008976D7">
      <w:pPr>
        <w:spacing w:after="120"/>
        <w:ind w:left="1247" w:firstLine="624"/>
      </w:pPr>
      <w:r>
        <w:t>f)</w:t>
      </w:r>
      <w:r w:rsidRPr="00167B9B">
        <w:tab/>
      </w:r>
      <w:r w:rsidRPr="001E594A">
        <w:t>мирекс представляет собой биологически активное вещество, которое накапливается в пищевых цепях, обладает исключительной стойкостью и способно рассеиваться в окружающей среде.</w:t>
      </w:r>
    </w:p>
    <w:p w:rsidR="008976D7" w:rsidRPr="001E594A" w:rsidRDefault="008976D7" w:rsidP="008976D7">
      <w:pPr>
        <w:spacing w:after="120"/>
        <w:ind w:left="1247"/>
      </w:pPr>
      <w:r w:rsidRPr="001E594A">
        <w:t>4.</w:t>
      </w:r>
      <w:r w:rsidRPr="001E594A">
        <w:tab/>
        <w:t>Комитетом сделано заключение, что окончательным регламентационным постановлением обеспечиваются достаточно убедительные основания для включения мирекса в приложение III к Роттердамско</w:t>
      </w:r>
      <w:r>
        <w:t>й конвенции в рамках категории «промышленные химикаты»</w:t>
      </w:r>
      <w:r w:rsidRPr="001E594A">
        <w:t>. Он отметил, что благодаря принятию постановления удалось уменьшить количество химических веществ, применяемых в направившей уведомление Стороне. В Канаде это химическое вещество не регистрировалось и не использовалось в качестве инсектицида и никогда не производилось в стране. Согласно решению, о котором направлено уведомление, все другие виды применения были запрещены. За период с 1963 года по 1973 год Канадой было импортировано около 146 тонн мирекса для применения в промышленных целях. Стокгольмской конвенцией, Стороной которой является Канада, запрещается и производство, и применение мирекса. Таким образом были в значительной степени уменьшены риски для здоровья человека или окружающей среды.</w:t>
      </w:r>
    </w:p>
    <w:p w:rsidR="008976D7" w:rsidRPr="001E594A" w:rsidRDefault="008976D7" w:rsidP="008976D7">
      <w:pPr>
        <w:spacing w:after="120"/>
        <w:ind w:left="1247"/>
      </w:pPr>
      <w:r w:rsidRPr="001E594A">
        <w:t>5.</w:t>
      </w:r>
      <w:r w:rsidRPr="001E594A">
        <w:tab/>
        <w:t xml:space="preserve">Комитетом принято во внимание, что соображения, лежащие в основе окончательного регламентационного постановления, актуальны не только для ограниченного числа случаев, ввиду способности мирекса к переносу на большие расстояния и его стойкости; по этой причине он выявлялся при мониторинге в тех районах, где никогда не применялся. Несмотря на отсутствие у Комитета информации о продолжающейся торговле химическими веществами, нельзя исключать возможность того, что международная торговля имеет место. </w:t>
      </w:r>
    </w:p>
    <w:p w:rsidR="008976D7" w:rsidRPr="001E594A" w:rsidRDefault="008976D7" w:rsidP="008976D7">
      <w:pPr>
        <w:spacing w:after="120"/>
        <w:ind w:left="1247"/>
      </w:pPr>
      <w:r w:rsidRPr="001E594A">
        <w:t>6.</w:t>
      </w:r>
      <w:r w:rsidRPr="001E594A">
        <w:tab/>
        <w:t>Комитетом отмечено, что основанием для принятия окончательного регламентационного постановления не являются опасения по поводу преднамеренного неправильного использования мирекса.</w:t>
      </w:r>
    </w:p>
    <w:p w:rsidR="008976D7" w:rsidRPr="001E594A" w:rsidRDefault="008976D7" w:rsidP="008976D7">
      <w:pPr>
        <w:spacing w:after="120"/>
        <w:ind w:left="1247"/>
      </w:pPr>
      <w:r w:rsidRPr="001E594A">
        <w:t>7.</w:t>
      </w:r>
      <w:r w:rsidRPr="001E594A">
        <w:tab/>
        <w:t xml:space="preserve">На его тринадцатом совещании Комитетом было сделано заключение, что направленное Канадой уведомление об окончательном регламентационном постановлении соответствует требованиям к информации, изложенным в приложении I, и всем критериям, </w:t>
      </w:r>
      <w:r w:rsidRPr="001E594A">
        <w:lastRenderedPageBreak/>
        <w:t>изложенным в приложении II к Конвенции. После того, как Комитетом будет установлено, что второе уведомление в отношении того же химического вещества, полученное от Стороны из региона, отличного от Северной Америки, соответствует критериям, изложенным в приложении II, Комитет предложит Конференции Сторон рекомендацию о</w:t>
      </w:r>
      <w:r>
        <w:t xml:space="preserve"> включении мирекса в приложение </w:t>
      </w:r>
      <w:r w:rsidRPr="001E594A">
        <w:t>III к Роттердамской конвенции.</w:t>
      </w:r>
    </w:p>
    <w:p w:rsidR="000C080E" w:rsidRDefault="000C080E"/>
    <w:sectPr w:rsidR="000C080E" w:rsidSect="000C0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E91" w:rsidRDefault="00682E91" w:rsidP="008976D7">
      <w:r>
        <w:separator/>
      </w:r>
    </w:p>
  </w:endnote>
  <w:endnote w:type="continuationSeparator" w:id="0">
    <w:p w:rsidR="00682E91" w:rsidRDefault="00682E91" w:rsidP="00897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E91" w:rsidRDefault="00682E91" w:rsidP="008976D7">
      <w:r>
        <w:separator/>
      </w:r>
    </w:p>
  </w:footnote>
  <w:footnote w:type="continuationSeparator" w:id="0">
    <w:p w:rsidR="00682E91" w:rsidRDefault="00682E91" w:rsidP="008976D7">
      <w:r>
        <w:continuationSeparator/>
      </w:r>
    </w:p>
  </w:footnote>
  <w:footnote w:id="1">
    <w:p w:rsidR="008976D7" w:rsidRPr="00EF5E86" w:rsidRDefault="008976D7" w:rsidP="008976D7">
      <w:pPr>
        <w:pStyle w:val="FootnoteText"/>
        <w:spacing w:before="20" w:after="40"/>
        <w:ind w:left="1247"/>
        <w:rPr>
          <w:rFonts w:eastAsia="Calibri"/>
          <w:sz w:val="18"/>
          <w:szCs w:val="18"/>
          <w:highlight w:val="yellow"/>
          <w:lang w:val="en-US"/>
        </w:rPr>
      </w:pPr>
      <w:r w:rsidRPr="00EF5E86">
        <w:rPr>
          <w:rStyle w:val="FootnoteReference"/>
          <w:rFonts w:eastAsia="SimSun"/>
          <w:sz w:val="18"/>
          <w:szCs w:val="18"/>
        </w:rPr>
        <w:footnoteRef/>
      </w:r>
      <w:bookmarkStart w:id="0" w:name="footnoteBookmark_267"/>
      <w:r w:rsidRPr="00EF5E86">
        <w:rPr>
          <w:sz w:val="18"/>
          <w:szCs w:val="18"/>
          <w:lang w:val="en-US"/>
        </w:rPr>
        <w:tab/>
      </w:r>
      <w:r w:rsidRPr="00EF5E86">
        <w:rPr>
          <w:sz w:val="18"/>
          <w:szCs w:val="18"/>
        </w:rPr>
        <w:t>См</w:t>
      </w:r>
      <w:r w:rsidRPr="00EF5E86">
        <w:rPr>
          <w:sz w:val="18"/>
          <w:szCs w:val="18"/>
          <w:lang w:val="en-US"/>
        </w:rPr>
        <w:t>. UNEP/FAO/RC/CRC.13/10.</w:t>
      </w:r>
      <w:bookmarkEnd w:id="0"/>
    </w:p>
  </w:footnote>
  <w:footnote w:id="2">
    <w:p w:rsidR="008976D7" w:rsidRPr="00EF5E86" w:rsidRDefault="008976D7" w:rsidP="008976D7">
      <w:pPr>
        <w:pStyle w:val="FootnoteText"/>
        <w:spacing w:before="20" w:after="40"/>
        <w:ind w:left="1247"/>
        <w:rPr>
          <w:rFonts w:eastAsia="Calibri"/>
          <w:sz w:val="18"/>
          <w:szCs w:val="18"/>
        </w:rPr>
      </w:pPr>
      <w:r w:rsidRPr="00EF5E86">
        <w:rPr>
          <w:rStyle w:val="FootnoteReference"/>
          <w:rFonts w:eastAsia="Calibri"/>
          <w:sz w:val="18"/>
          <w:szCs w:val="18"/>
        </w:rPr>
        <w:footnoteRef/>
      </w:r>
      <w:bookmarkStart w:id="1" w:name="footnoteBookmark_270"/>
      <w:r w:rsidRPr="00EF5E86">
        <w:rPr>
          <w:sz w:val="18"/>
          <w:szCs w:val="18"/>
        </w:rPr>
        <w:tab/>
      </w:r>
      <w:r w:rsidRPr="00EF5E86">
        <w:rPr>
          <w:sz w:val="18"/>
          <w:szCs w:val="18"/>
        </w:rPr>
        <w:t>Обоснованием, содержащимся в приложении к настоящему решению, заменяется обоснование, подготовленное Комитетом на его втором совещании (UNEP/FAO/RC/C</w:t>
      </w:r>
      <w:r>
        <w:rPr>
          <w:sz w:val="18"/>
          <w:szCs w:val="18"/>
        </w:rPr>
        <w:t>RC.2/20, приложение III, раздел </w:t>
      </w:r>
      <w:r w:rsidRPr="00EF5E86">
        <w:rPr>
          <w:sz w:val="18"/>
          <w:szCs w:val="18"/>
        </w:rPr>
        <w:t xml:space="preserve">D). </w:t>
      </w:r>
      <w:bookmarkEnd w:id="1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76D7"/>
    <w:rsid w:val="000C080E"/>
    <w:rsid w:val="00682E91"/>
    <w:rsid w:val="0089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93,single space,Footnote Text Rail EIS,ft,Char,footnote3,Footnotes,Footnote ak,fn cafc,Footnotes Char Char,Footnote Text Char Char,fn Char Char,Footnote Text Char Char Char Char,Footnote Text1,DNV-FT"/>
    <w:basedOn w:val="Normal"/>
    <w:link w:val="FootnoteTextChar"/>
    <w:uiPriority w:val="99"/>
    <w:rsid w:val="008976D7"/>
  </w:style>
  <w:style w:type="character" w:customStyle="1" w:styleId="FootnoteTextChar">
    <w:name w:val="Footnote Text Char"/>
    <w:aliases w:val="Geneva 9 Char,Font: Geneva 9 Char,Boston 10 Char,f Char,93 Char,single space Char,Footnote Text Rail EIS Char,ft Char,Char Char,footnote3 Char,Footnotes Char,Footnote ak Char,fn cafc Char,Footnotes Char Char Char,fn Char Char Char"/>
    <w:basedOn w:val="DefaultParagraphFont"/>
    <w:link w:val="FootnoteText"/>
    <w:uiPriority w:val="99"/>
    <w:rsid w:val="008976D7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rsid w:val="008976D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1067</Words>
  <Characters>6084</Characters>
  <Application>Microsoft Office Word</Application>
  <DocSecurity>0</DocSecurity>
  <Lines>50</Lines>
  <Paragraphs>14</Paragraphs>
  <ScaleCrop>false</ScaleCrop>
  <Company>BRS</Company>
  <LinksUpToDate>false</LinksUpToDate>
  <CharactersWithSpaces>7137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2018-02-28T16:11:00Z</dcterms:created>
  <dcterms:modified xsi:type="dcterms:W3CDTF">2018-02-28T16:11:00Z</dcterms:modified>
</cp:coreProperties>
</file>