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111F" w:rsidRPr="005B4476" w:rsidRDefault="0056111F" w:rsidP="0056111F">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2"/>
        <w:jc w:val="both"/>
        <w:textDirection w:val="tbRlV"/>
        <w:rPr>
          <w:rFonts w:cs="Traditional Arabic"/>
          <w:bCs/>
          <w:sz w:val="32"/>
          <w:szCs w:val="32"/>
          <w:rtl/>
          <w:lang w:eastAsia="zh-TW"/>
        </w:rPr>
      </w:pPr>
      <w:bookmarkStart w:id="0" w:name="bookmark_440"/>
      <w:r w:rsidRPr="005B4476">
        <w:rPr>
          <w:rFonts w:cs="Traditional Arabic"/>
          <w:bCs/>
          <w:sz w:val="32"/>
          <w:szCs w:val="32"/>
          <w:rtl/>
          <w:lang w:eastAsia="zh-TW"/>
        </w:rPr>
        <w:t>ل</w:t>
      </w:r>
      <w:r>
        <w:rPr>
          <w:rFonts w:cs="Traditional Arabic" w:hint="cs"/>
          <w:bCs/>
          <w:sz w:val="32"/>
          <w:szCs w:val="32"/>
          <w:rtl/>
          <w:lang w:eastAsia="zh-TW"/>
        </w:rPr>
        <w:t>.</w:t>
      </w:r>
      <w:r w:rsidRPr="005B4476">
        <w:rPr>
          <w:rFonts w:cs="Traditional Arabic"/>
          <w:bCs/>
          <w:sz w:val="32"/>
          <w:szCs w:val="32"/>
          <w:rtl/>
          <w:lang w:eastAsia="zh-TW"/>
        </w:rPr>
        <w:t>ا</w:t>
      </w:r>
      <w:r>
        <w:rPr>
          <w:rFonts w:cs="Traditional Arabic" w:hint="cs"/>
          <w:bCs/>
          <w:sz w:val="32"/>
          <w:szCs w:val="32"/>
          <w:rtl/>
          <w:lang w:eastAsia="zh-TW"/>
        </w:rPr>
        <w:t>.</w:t>
      </w:r>
      <w:r w:rsidRPr="005B4476">
        <w:rPr>
          <w:rFonts w:cs="Traditional Arabic"/>
          <w:bCs/>
          <w:sz w:val="32"/>
          <w:szCs w:val="32"/>
          <w:rtl/>
          <w:lang w:eastAsia="zh-TW"/>
        </w:rPr>
        <w:t>م -13/4: الفوريت</w:t>
      </w:r>
      <w:bookmarkEnd w:id="0"/>
    </w:p>
    <w:p w:rsidR="0056111F" w:rsidRPr="00277F93" w:rsidRDefault="0056111F" w:rsidP="0056111F">
      <w:pPr>
        <w:pStyle w:val="Normal-pool"/>
        <w:tabs>
          <w:tab w:val="clear" w:pos="1247"/>
          <w:tab w:val="clear" w:pos="1814"/>
          <w:tab w:val="clear" w:pos="2381"/>
          <w:tab w:val="clear" w:pos="2948"/>
          <w:tab w:val="clear" w:pos="3515"/>
          <w:tab w:val="left" w:pos="2408"/>
        </w:tabs>
        <w:bidi/>
        <w:spacing w:after="120" w:line="400" w:lineRule="exact"/>
        <w:ind w:left="1134" w:firstLine="707"/>
        <w:jc w:val="both"/>
        <w:textDirection w:val="tbRlV"/>
        <w:rPr>
          <w:rFonts w:cs="Traditional Arabic"/>
          <w:i/>
          <w:iCs/>
          <w:noProof/>
          <w:szCs w:val="30"/>
          <w:rtl/>
          <w:lang w:val="en-US" w:eastAsia="zh-TW"/>
        </w:rPr>
      </w:pPr>
      <w:bookmarkStart w:id="1" w:name="bookmark_441"/>
      <w:r w:rsidRPr="00277F93">
        <w:rPr>
          <w:rFonts w:cs="Traditional Arabic"/>
          <w:i/>
          <w:iCs/>
          <w:noProof/>
          <w:szCs w:val="30"/>
          <w:rtl/>
          <w:lang w:val="en-US" w:eastAsia="zh-TW"/>
        </w:rPr>
        <w:t>إن لجنة استعراض المواد الكيميائية،</w:t>
      </w:r>
      <w:bookmarkEnd w:id="1"/>
    </w:p>
    <w:p w:rsidR="0056111F" w:rsidRPr="00277F93" w:rsidRDefault="0056111F" w:rsidP="0056111F">
      <w:pPr>
        <w:pStyle w:val="Normal-pool"/>
        <w:tabs>
          <w:tab w:val="clear" w:pos="1247"/>
          <w:tab w:val="clear" w:pos="1814"/>
          <w:tab w:val="clear" w:pos="2381"/>
          <w:tab w:val="clear" w:pos="2948"/>
          <w:tab w:val="clear" w:pos="3515"/>
          <w:tab w:val="left" w:pos="2408"/>
        </w:tabs>
        <w:bidi/>
        <w:spacing w:after="120" w:line="400" w:lineRule="exact"/>
        <w:ind w:left="1134" w:firstLine="707"/>
        <w:jc w:val="both"/>
        <w:textDirection w:val="tbRlV"/>
        <w:rPr>
          <w:rFonts w:cs="Traditional Arabic"/>
          <w:i/>
          <w:iCs/>
          <w:noProof/>
          <w:szCs w:val="30"/>
          <w:rtl/>
          <w:lang w:val="en-US" w:eastAsia="zh-TW"/>
        </w:rPr>
      </w:pPr>
      <w:bookmarkStart w:id="2" w:name="bookmark_442"/>
      <w:r w:rsidRPr="00277F93">
        <w:rPr>
          <w:rFonts w:cs="Traditional Arabic"/>
          <w:i/>
          <w:iCs/>
          <w:noProof/>
          <w:szCs w:val="30"/>
          <w:rtl/>
          <w:lang w:val="en-US" w:eastAsia="zh-TW"/>
        </w:rPr>
        <w:t xml:space="preserve">إذ تشير </w:t>
      </w:r>
      <w:r w:rsidRPr="006204F3">
        <w:rPr>
          <w:rFonts w:cs="Traditional Arabic"/>
          <w:noProof/>
          <w:szCs w:val="30"/>
          <w:rtl/>
          <w:lang w:val="en-US" w:eastAsia="zh-TW"/>
        </w:rPr>
        <w:t>إلى المادة 5 من اتفاقية روتردام المتعلقة بتطبيق إجراء الموافقة المسبقة عن علم على مواد كيميائية ومبيدات آفات معينة خطرة متداولة في التجارة الدولية،</w:t>
      </w:r>
      <w:bookmarkEnd w:id="2"/>
    </w:p>
    <w:p w:rsidR="0056111F" w:rsidRPr="00EF0115" w:rsidRDefault="0056111F" w:rsidP="0056111F">
      <w:pPr>
        <w:pStyle w:val="Normal-pool"/>
        <w:tabs>
          <w:tab w:val="clear" w:pos="1247"/>
          <w:tab w:val="clear" w:pos="1814"/>
          <w:tab w:val="clear" w:pos="2381"/>
          <w:tab w:val="clear" w:pos="2948"/>
          <w:tab w:val="clear" w:pos="3515"/>
          <w:tab w:val="left" w:pos="2408"/>
        </w:tabs>
        <w:bidi/>
        <w:spacing w:after="120" w:line="400" w:lineRule="exact"/>
        <w:ind w:left="1134" w:firstLine="707"/>
        <w:jc w:val="both"/>
        <w:textDirection w:val="tbRlV"/>
        <w:rPr>
          <w:rFonts w:cs="Traditional Arabic"/>
          <w:szCs w:val="30"/>
          <w:rtl/>
          <w:lang w:eastAsia="zh-TW"/>
        </w:rPr>
      </w:pPr>
      <w:bookmarkStart w:id="3" w:name="bookmark_443"/>
      <w:r w:rsidRPr="003C27AD">
        <w:rPr>
          <w:rFonts w:cs="Traditional Arabic"/>
          <w:i/>
          <w:iCs/>
          <w:noProof/>
          <w:szCs w:val="30"/>
          <w:rtl/>
          <w:lang w:val="en-US" w:eastAsia="zh-TW"/>
        </w:rPr>
        <w:t>وإذ تشير أيضاً</w:t>
      </w:r>
      <w:r w:rsidRPr="00EF0115">
        <w:rPr>
          <w:rFonts w:cs="Traditional Arabic"/>
          <w:szCs w:val="30"/>
          <w:rtl/>
          <w:lang w:eastAsia="zh-TW"/>
        </w:rPr>
        <w:t xml:space="preserve"> إلى استنتاج لجنة استعراض المواد الكيميائية، الذي اعتمدته في اجتماعها الخامس، بأن الإخطار </w:t>
      </w:r>
      <w:r w:rsidRPr="00EF0115">
        <w:rPr>
          <w:rFonts w:cs="Traditional Arabic" w:hint="cs"/>
          <w:szCs w:val="30"/>
          <w:rtl/>
          <w:lang w:eastAsia="zh-TW"/>
        </w:rPr>
        <w:t>ب</w:t>
      </w:r>
      <w:r w:rsidRPr="00EF0115">
        <w:rPr>
          <w:rFonts w:cs="Traditional Arabic"/>
          <w:szCs w:val="30"/>
          <w:rtl/>
          <w:lang w:eastAsia="zh-TW"/>
        </w:rPr>
        <w:t>إجراء تنظيمي نهائي الذي قدمته كندا بشأن الفوريت يستوفي المعايير الواردة في المرفق الثاني للاتفاقية</w:t>
      </w:r>
      <w:r w:rsidRPr="00EF0115">
        <w:rPr>
          <w:rFonts w:cs="Traditional Arabic"/>
          <w:szCs w:val="30"/>
          <w:vertAlign w:val="superscript"/>
          <w:rtl/>
          <w:lang w:eastAsia="zh-TW"/>
        </w:rPr>
        <w:t>(</w:t>
      </w:r>
      <w:r w:rsidRPr="00EF0115">
        <w:rPr>
          <w:rStyle w:val="FootnoteReference"/>
          <w:rFonts w:cs="Traditional Arabic"/>
          <w:szCs w:val="30"/>
          <w:rtl/>
          <w:lang w:eastAsia="zh-TW"/>
        </w:rPr>
        <w:footnoteReference w:id="1"/>
      </w:r>
      <w:r w:rsidRPr="00EF0115">
        <w:rPr>
          <w:rFonts w:cs="Traditional Arabic"/>
          <w:szCs w:val="30"/>
          <w:vertAlign w:val="superscript"/>
          <w:rtl/>
          <w:lang w:eastAsia="zh-TW"/>
        </w:rPr>
        <w:t>)</w:t>
      </w:r>
      <w:r w:rsidRPr="00EF0115">
        <w:rPr>
          <w:rFonts w:cs="Traditional Arabic"/>
          <w:szCs w:val="30"/>
          <w:rtl/>
          <w:lang w:eastAsia="zh-TW"/>
        </w:rPr>
        <w:t>،</w:t>
      </w:r>
      <w:bookmarkEnd w:id="3"/>
    </w:p>
    <w:p w:rsidR="0056111F" w:rsidRPr="00EF0115" w:rsidRDefault="0056111F" w:rsidP="0056111F">
      <w:pPr>
        <w:tabs>
          <w:tab w:val="left" w:pos="2408"/>
          <w:tab w:val="left" w:pos="2520"/>
        </w:tabs>
        <w:spacing w:after="120" w:line="400" w:lineRule="exact"/>
        <w:ind w:left="1134" w:firstLine="707"/>
        <w:jc w:val="both"/>
        <w:textDirection w:val="tbRlV"/>
        <w:rPr>
          <w:rFonts w:ascii="Times New Roman" w:hAnsi="Times New Roman" w:cs="Traditional Arabic"/>
          <w:szCs w:val="30"/>
          <w:rtl/>
          <w:lang w:eastAsia="zh-TW"/>
        </w:rPr>
      </w:pPr>
      <w:bookmarkStart w:id="5" w:name="bookmark_445"/>
      <w:r w:rsidRPr="00EF0115">
        <w:rPr>
          <w:rFonts w:ascii="Times New Roman" w:hAnsi="Times New Roman" w:cs="Traditional Arabic"/>
          <w:szCs w:val="30"/>
          <w:rtl/>
          <w:lang w:eastAsia="zh-TW"/>
        </w:rPr>
        <w:t>١-</w:t>
      </w:r>
      <w:r>
        <w:rPr>
          <w:rFonts w:ascii="Times New Roman" w:hAnsi="Times New Roman" w:cs="Traditional Arabic"/>
          <w:szCs w:val="30"/>
          <w:rtl/>
          <w:lang w:eastAsia="zh-TW"/>
        </w:rPr>
        <w:tab/>
      </w:r>
      <w:r w:rsidRPr="003C27AD">
        <w:rPr>
          <w:rFonts w:ascii="Times New Roman" w:hAnsi="Times New Roman" w:cs="Traditional Arabic"/>
          <w:i/>
          <w:iCs/>
          <w:szCs w:val="30"/>
          <w:rtl/>
          <w:lang w:eastAsia="zh-TW"/>
        </w:rPr>
        <w:t>تستنتج</w:t>
      </w:r>
      <w:r w:rsidRPr="00EF0115">
        <w:rPr>
          <w:rFonts w:ascii="Times New Roman" w:hAnsi="Times New Roman" w:cs="Traditional Arabic"/>
          <w:szCs w:val="30"/>
          <w:rtl/>
          <w:lang w:eastAsia="zh-TW"/>
        </w:rPr>
        <w:t xml:space="preserve"> أن الإخطار بإجراء تنظيمي نهائي الذي قدمته البرازيل</w:t>
      </w:r>
      <w:r w:rsidRPr="00EF0115">
        <w:rPr>
          <w:rFonts w:ascii="Times New Roman" w:hAnsi="Times New Roman" w:cs="Traditional Arabic"/>
          <w:szCs w:val="30"/>
          <w:vertAlign w:val="superscript"/>
          <w:rtl/>
          <w:lang w:eastAsia="zh-TW"/>
        </w:rPr>
        <w:t>(</w:t>
      </w:r>
      <w:r w:rsidRPr="00EF0115">
        <w:rPr>
          <w:rStyle w:val="FootnoteReference"/>
          <w:rFonts w:ascii="Times New Roman" w:hAnsi="Times New Roman" w:cs="Traditional Arabic"/>
          <w:szCs w:val="30"/>
          <w:rtl/>
          <w:lang w:eastAsia="zh-TW"/>
        </w:rPr>
        <w:footnoteReference w:id="2"/>
      </w:r>
      <w:r w:rsidRPr="00EF0115">
        <w:rPr>
          <w:rFonts w:ascii="Times New Roman" w:hAnsi="Times New Roman" w:cs="Traditional Arabic"/>
          <w:szCs w:val="30"/>
          <w:vertAlign w:val="superscript"/>
          <w:rtl/>
          <w:lang w:eastAsia="zh-TW"/>
        </w:rPr>
        <w:t>)</w:t>
      </w:r>
      <w:r w:rsidRPr="00EF0115">
        <w:rPr>
          <w:rFonts w:ascii="Times New Roman" w:hAnsi="Times New Roman" w:cs="Traditional Arabic"/>
          <w:szCs w:val="30"/>
          <w:rtl/>
          <w:lang w:eastAsia="zh-TW"/>
        </w:rPr>
        <w:t xml:space="preserve"> بشأن الفوريت يستوفي المعايير المنصوص عليها في المرفق الثاني للاتفاقية؛</w:t>
      </w:r>
      <w:bookmarkEnd w:id="5"/>
    </w:p>
    <w:p w:rsidR="0056111F" w:rsidRPr="00EF0115" w:rsidRDefault="0056111F" w:rsidP="0056111F">
      <w:pPr>
        <w:pStyle w:val="Normal-pool"/>
        <w:tabs>
          <w:tab w:val="clear" w:pos="1247"/>
          <w:tab w:val="clear" w:pos="1814"/>
          <w:tab w:val="clear" w:pos="2381"/>
          <w:tab w:val="clear" w:pos="2948"/>
          <w:tab w:val="clear" w:pos="3515"/>
          <w:tab w:val="left" w:pos="2408"/>
          <w:tab w:val="left" w:pos="2520"/>
        </w:tabs>
        <w:bidi/>
        <w:spacing w:after="120" w:line="400" w:lineRule="exact"/>
        <w:ind w:left="1134" w:firstLine="707"/>
        <w:jc w:val="both"/>
        <w:textDirection w:val="tbRlV"/>
        <w:rPr>
          <w:rFonts w:cs="Traditional Arabic"/>
          <w:szCs w:val="30"/>
          <w:rtl/>
          <w:lang w:eastAsia="zh-TW"/>
        </w:rPr>
      </w:pPr>
      <w:r w:rsidRPr="00EF0115">
        <w:rPr>
          <w:rFonts w:cs="Traditional Arabic"/>
          <w:szCs w:val="30"/>
          <w:rtl/>
          <w:lang w:eastAsia="zh-TW"/>
        </w:rPr>
        <w:t>٢-</w:t>
      </w:r>
      <w:r>
        <w:rPr>
          <w:rFonts w:cs="Traditional Arabic"/>
          <w:szCs w:val="30"/>
          <w:rtl/>
          <w:lang w:eastAsia="zh-TW"/>
        </w:rPr>
        <w:tab/>
      </w:r>
      <w:bookmarkStart w:id="7" w:name="bookmark_447"/>
      <w:r w:rsidRPr="003C27AD">
        <w:rPr>
          <w:rFonts w:cs="Traditional Arabic"/>
          <w:i/>
          <w:iCs/>
          <w:noProof/>
          <w:szCs w:val="30"/>
          <w:rtl/>
          <w:lang w:val="en-US" w:eastAsia="zh-TW"/>
        </w:rPr>
        <w:t>تعتمد</w:t>
      </w:r>
      <w:r w:rsidRPr="00EF0115">
        <w:rPr>
          <w:rFonts w:cs="Traditional Arabic"/>
          <w:szCs w:val="30"/>
          <w:rtl/>
          <w:lang w:eastAsia="zh-TW"/>
        </w:rPr>
        <w:t xml:space="preserve"> الأساس النظري لاستنتاج اللجنة الوارد في مرفق هذا المقرر؛</w:t>
      </w:r>
      <w:bookmarkEnd w:id="7"/>
    </w:p>
    <w:p w:rsidR="0056111F" w:rsidRPr="00EF0115" w:rsidRDefault="0056111F" w:rsidP="0056111F">
      <w:pPr>
        <w:pStyle w:val="Normal-pool"/>
        <w:tabs>
          <w:tab w:val="clear" w:pos="1247"/>
          <w:tab w:val="clear" w:pos="1814"/>
          <w:tab w:val="clear" w:pos="2381"/>
          <w:tab w:val="clear" w:pos="2948"/>
          <w:tab w:val="clear" w:pos="3515"/>
          <w:tab w:val="left" w:pos="2408"/>
          <w:tab w:val="left" w:pos="2520"/>
        </w:tabs>
        <w:bidi/>
        <w:spacing w:after="120" w:line="400" w:lineRule="exact"/>
        <w:ind w:left="1134" w:firstLine="707"/>
        <w:jc w:val="both"/>
        <w:textDirection w:val="tbRlV"/>
        <w:rPr>
          <w:rFonts w:cs="Traditional Arabic"/>
          <w:szCs w:val="30"/>
          <w:rtl/>
          <w:lang w:eastAsia="zh-TW"/>
        </w:rPr>
      </w:pPr>
      <w:r w:rsidRPr="00EF0115">
        <w:rPr>
          <w:rFonts w:cs="Traditional Arabic"/>
          <w:szCs w:val="30"/>
          <w:rtl/>
          <w:lang w:eastAsia="zh-TW"/>
        </w:rPr>
        <w:t>٣-</w:t>
      </w:r>
      <w:r>
        <w:rPr>
          <w:rFonts w:cs="Traditional Arabic"/>
          <w:szCs w:val="30"/>
          <w:rtl/>
          <w:lang w:eastAsia="zh-TW"/>
        </w:rPr>
        <w:tab/>
      </w:r>
      <w:bookmarkStart w:id="8" w:name="bookmark_448"/>
      <w:r w:rsidRPr="003C27AD">
        <w:rPr>
          <w:rFonts w:cs="Traditional Arabic"/>
          <w:i/>
          <w:iCs/>
          <w:noProof/>
          <w:szCs w:val="30"/>
          <w:rtl/>
          <w:lang w:val="en-US" w:eastAsia="zh-TW"/>
        </w:rPr>
        <w:t>توصي</w:t>
      </w:r>
      <w:r w:rsidRPr="00EF0115">
        <w:rPr>
          <w:rFonts w:cs="Traditional Arabic"/>
          <w:szCs w:val="30"/>
          <w:rtl/>
          <w:lang w:eastAsia="zh-TW"/>
        </w:rPr>
        <w:t xml:space="preserve"> مؤتمر الأطراف، وفقاً للفقرة 6 من المادة 5 للاتفاقية، بإدراج الفوريت في المرفق الثالث للاتفاقية بوصفه مبيد آفات؛</w:t>
      </w:r>
      <w:bookmarkEnd w:id="8"/>
    </w:p>
    <w:p w:rsidR="0056111F" w:rsidRPr="00EF0115" w:rsidRDefault="0056111F" w:rsidP="0056111F">
      <w:pPr>
        <w:pStyle w:val="Normal-pool"/>
        <w:tabs>
          <w:tab w:val="clear" w:pos="1247"/>
          <w:tab w:val="clear" w:pos="1814"/>
          <w:tab w:val="clear" w:pos="2381"/>
          <w:tab w:val="clear" w:pos="2948"/>
          <w:tab w:val="clear" w:pos="3515"/>
          <w:tab w:val="left" w:pos="2408"/>
          <w:tab w:val="left" w:pos="2520"/>
        </w:tabs>
        <w:bidi/>
        <w:spacing w:after="120" w:line="400" w:lineRule="exact"/>
        <w:ind w:left="1134" w:firstLine="707"/>
        <w:jc w:val="both"/>
        <w:textDirection w:val="tbRlV"/>
        <w:rPr>
          <w:rFonts w:cs="Traditional Arabic"/>
          <w:szCs w:val="30"/>
          <w:rtl/>
          <w:lang w:eastAsia="zh-TW"/>
        </w:rPr>
      </w:pPr>
      <w:bookmarkStart w:id="9" w:name="bookmark_449"/>
      <w:r w:rsidRPr="00EF0115">
        <w:rPr>
          <w:rFonts w:cs="Traditional Arabic"/>
          <w:szCs w:val="30"/>
          <w:rtl/>
          <w:lang w:eastAsia="zh-TW"/>
        </w:rPr>
        <w:t>٤-</w:t>
      </w:r>
      <w:r>
        <w:rPr>
          <w:rFonts w:cs="Traditional Arabic"/>
          <w:szCs w:val="30"/>
          <w:rtl/>
          <w:lang w:eastAsia="zh-TW"/>
        </w:rPr>
        <w:tab/>
      </w:r>
      <w:r w:rsidRPr="003C27AD">
        <w:rPr>
          <w:rFonts w:cs="Traditional Arabic"/>
          <w:i/>
          <w:iCs/>
          <w:noProof/>
          <w:szCs w:val="30"/>
          <w:rtl/>
          <w:lang w:val="en-US" w:eastAsia="zh-TW"/>
        </w:rPr>
        <w:t>تقرر</w:t>
      </w:r>
      <w:r w:rsidRPr="00EF0115">
        <w:rPr>
          <w:rFonts w:cs="Traditional Arabic"/>
          <w:szCs w:val="30"/>
          <w:rtl/>
          <w:lang w:eastAsia="zh-TW"/>
        </w:rPr>
        <w:t>، وفقاً للفقرة 1 من المادة 7 للاتفاقية، إعداد مشروع وثيقة توجيه قرارات بشأن الفوريت؛</w:t>
      </w:r>
      <w:bookmarkEnd w:id="9"/>
    </w:p>
    <w:p w:rsidR="0056111F" w:rsidRPr="00EF0115" w:rsidRDefault="0056111F" w:rsidP="0056111F">
      <w:pPr>
        <w:pStyle w:val="Normal-pool"/>
        <w:tabs>
          <w:tab w:val="clear" w:pos="1247"/>
          <w:tab w:val="clear" w:pos="1814"/>
          <w:tab w:val="clear" w:pos="2381"/>
          <w:tab w:val="clear" w:pos="2948"/>
          <w:tab w:val="clear" w:pos="3515"/>
          <w:tab w:val="left" w:pos="2408"/>
          <w:tab w:val="left" w:pos="2520"/>
        </w:tabs>
        <w:bidi/>
        <w:spacing w:after="120" w:line="400" w:lineRule="exact"/>
        <w:ind w:left="1134" w:firstLine="707"/>
        <w:jc w:val="both"/>
        <w:textDirection w:val="tbRlV"/>
        <w:rPr>
          <w:rFonts w:cs="Traditional Arabic"/>
          <w:szCs w:val="30"/>
          <w:rtl/>
          <w:lang w:eastAsia="zh-TW"/>
        </w:rPr>
      </w:pPr>
      <w:bookmarkStart w:id="10" w:name="bookmark_450"/>
      <w:r w:rsidRPr="00EF0115">
        <w:rPr>
          <w:rFonts w:cs="Traditional Arabic"/>
          <w:szCs w:val="30"/>
          <w:rtl/>
          <w:lang w:eastAsia="zh-TW"/>
        </w:rPr>
        <w:t>٥-</w:t>
      </w:r>
      <w:r>
        <w:rPr>
          <w:rFonts w:cs="Traditional Arabic"/>
          <w:szCs w:val="30"/>
          <w:rtl/>
          <w:lang w:eastAsia="zh-TW"/>
        </w:rPr>
        <w:tab/>
      </w:r>
      <w:r w:rsidRPr="003C27AD">
        <w:rPr>
          <w:rFonts w:cs="Traditional Arabic"/>
          <w:i/>
          <w:iCs/>
          <w:noProof/>
          <w:szCs w:val="30"/>
          <w:rtl/>
          <w:lang w:val="en-US" w:eastAsia="zh-TW"/>
        </w:rPr>
        <w:t>تقرر أيضاً</w:t>
      </w:r>
      <w:r w:rsidRPr="00EF0115">
        <w:rPr>
          <w:rFonts w:cs="Traditional Arabic"/>
          <w:szCs w:val="30"/>
          <w:rtl/>
          <w:lang w:eastAsia="zh-TW"/>
        </w:rPr>
        <w:t xml:space="preserve">، وفقاً لعملية صياغة توجيهات القرارات المبينة في المقرر ار- 2/2، والمنقحة بموجب المقرر ار-6/3، أن يتم تشكيل فريق الصياغة لما بين الدورات المكلف بإعداد وثيقة توجيه القرارات </w:t>
      </w:r>
      <w:r w:rsidRPr="00EF0115">
        <w:rPr>
          <w:rFonts w:cs="Traditional Arabic" w:hint="cs"/>
          <w:szCs w:val="30"/>
          <w:rtl/>
          <w:lang w:eastAsia="zh-TW"/>
        </w:rPr>
        <w:t>بشأن</w:t>
      </w:r>
      <w:r w:rsidRPr="00EF0115">
        <w:rPr>
          <w:rFonts w:cs="Traditional Arabic"/>
          <w:szCs w:val="30"/>
          <w:rtl/>
          <w:lang w:eastAsia="zh-TW"/>
        </w:rPr>
        <w:t xml:space="preserve"> الفوريت على النحو الوارد في المرفق الثاني لتقرير اللجنة عن أعمال اجتماعها الثالث عشر</w:t>
      </w:r>
      <w:r w:rsidRPr="00EF0115">
        <w:rPr>
          <w:rFonts w:cs="Traditional Arabic" w:hint="cs"/>
          <w:szCs w:val="30"/>
          <w:rtl/>
          <w:lang w:eastAsia="zh-TW"/>
        </w:rPr>
        <w:t>،</w:t>
      </w:r>
      <w:r w:rsidRPr="00EF0115">
        <w:rPr>
          <w:rFonts w:cs="Traditional Arabic"/>
          <w:szCs w:val="30"/>
          <w:rtl/>
          <w:lang w:eastAsia="zh-TW"/>
        </w:rPr>
        <w:t xml:space="preserve"> وخطة عمل الفريق على النحو الوارد في مرفق</w:t>
      </w:r>
      <w:r w:rsidRPr="00EF0115">
        <w:rPr>
          <w:rFonts w:cs="Traditional Arabic" w:hint="cs"/>
          <w:szCs w:val="30"/>
          <w:rtl/>
          <w:lang w:eastAsia="zh-TW"/>
        </w:rPr>
        <w:t>ه</w:t>
      </w:r>
      <w:r w:rsidRPr="00EF0115">
        <w:rPr>
          <w:rFonts w:cs="Traditional Arabic"/>
          <w:szCs w:val="30"/>
          <w:rtl/>
          <w:lang w:eastAsia="zh-TW"/>
        </w:rPr>
        <w:t xml:space="preserve"> الثالث.</w:t>
      </w:r>
      <w:bookmarkEnd w:id="10"/>
    </w:p>
    <w:p w:rsidR="0056111F" w:rsidRPr="005B4476" w:rsidRDefault="0056111F" w:rsidP="0056111F">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2"/>
        <w:jc w:val="both"/>
        <w:textDirection w:val="tbRlV"/>
        <w:rPr>
          <w:rFonts w:cs="Traditional Arabic"/>
          <w:bCs/>
          <w:sz w:val="32"/>
          <w:szCs w:val="32"/>
          <w:rtl/>
          <w:lang w:eastAsia="zh-TW"/>
        </w:rPr>
      </w:pPr>
      <w:bookmarkStart w:id="11" w:name="bookmark_451"/>
      <w:r w:rsidRPr="005B4476">
        <w:rPr>
          <w:rFonts w:cs="Traditional Arabic"/>
          <w:bCs/>
          <w:sz w:val="32"/>
          <w:szCs w:val="32"/>
          <w:rtl/>
          <w:lang w:eastAsia="zh-TW"/>
        </w:rPr>
        <w:t>مرفق المقرر ل</w:t>
      </w:r>
      <w:r>
        <w:rPr>
          <w:rFonts w:cs="Traditional Arabic" w:hint="cs"/>
          <w:bCs/>
          <w:sz w:val="32"/>
          <w:szCs w:val="32"/>
          <w:rtl/>
          <w:lang w:eastAsia="zh-TW"/>
        </w:rPr>
        <w:t>.</w:t>
      </w:r>
      <w:r w:rsidRPr="005B4476">
        <w:rPr>
          <w:rFonts w:cs="Traditional Arabic"/>
          <w:bCs/>
          <w:sz w:val="32"/>
          <w:szCs w:val="32"/>
          <w:rtl/>
          <w:lang w:eastAsia="zh-TW"/>
        </w:rPr>
        <w:t>ا</w:t>
      </w:r>
      <w:r>
        <w:rPr>
          <w:rFonts w:cs="Traditional Arabic" w:hint="cs"/>
          <w:bCs/>
          <w:sz w:val="32"/>
          <w:szCs w:val="32"/>
          <w:rtl/>
          <w:lang w:eastAsia="zh-TW"/>
        </w:rPr>
        <w:t>.</w:t>
      </w:r>
      <w:r w:rsidRPr="005B4476">
        <w:rPr>
          <w:rFonts w:cs="Traditional Arabic"/>
          <w:bCs/>
          <w:sz w:val="32"/>
          <w:szCs w:val="32"/>
          <w:rtl/>
          <w:lang w:eastAsia="zh-TW"/>
        </w:rPr>
        <w:t>م - 13/4</w:t>
      </w:r>
      <w:bookmarkEnd w:id="11"/>
    </w:p>
    <w:p w:rsidR="0056111F" w:rsidRPr="00EF0115" w:rsidRDefault="0056111F" w:rsidP="0056111F">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2"/>
        <w:jc w:val="both"/>
        <w:textDirection w:val="tbRlV"/>
        <w:rPr>
          <w:rFonts w:cs="Traditional Arabic"/>
          <w:b w:val="0"/>
          <w:sz w:val="20"/>
          <w:szCs w:val="30"/>
          <w:rtl/>
          <w:lang w:eastAsia="zh-TW"/>
        </w:rPr>
      </w:pPr>
      <w:bookmarkStart w:id="12" w:name="bookmark_452"/>
      <w:r w:rsidRPr="005B4476">
        <w:rPr>
          <w:rFonts w:cs="Traditional Arabic"/>
          <w:bCs/>
          <w:sz w:val="32"/>
          <w:szCs w:val="32"/>
          <w:rtl/>
          <w:lang w:eastAsia="zh-TW"/>
        </w:rPr>
        <w:t>الأساس النظري الذي استندت إليه لجنة استعراض المواد الكيميائية في استنتاج</w:t>
      </w:r>
      <w:r w:rsidRPr="005B4476">
        <w:rPr>
          <w:rFonts w:cs="Traditional Arabic" w:hint="cs"/>
          <w:bCs/>
          <w:sz w:val="32"/>
          <w:szCs w:val="32"/>
          <w:rtl/>
          <w:lang w:eastAsia="zh-TW"/>
        </w:rPr>
        <w:t>ها</w:t>
      </w:r>
      <w:r w:rsidRPr="005B4476">
        <w:rPr>
          <w:rFonts w:cs="Traditional Arabic"/>
          <w:bCs/>
          <w:sz w:val="32"/>
          <w:szCs w:val="32"/>
          <w:rtl/>
          <w:lang w:eastAsia="zh-TW"/>
        </w:rPr>
        <w:t xml:space="preserve"> بأن الإخطار </w:t>
      </w:r>
      <w:r w:rsidRPr="005B4476">
        <w:rPr>
          <w:rFonts w:cs="Traditional Arabic" w:hint="cs"/>
          <w:bCs/>
          <w:sz w:val="32"/>
          <w:szCs w:val="32"/>
          <w:rtl/>
          <w:lang w:eastAsia="zh-TW"/>
        </w:rPr>
        <w:t>ب</w:t>
      </w:r>
      <w:r w:rsidRPr="005B4476">
        <w:rPr>
          <w:rFonts w:cs="Traditional Arabic"/>
          <w:bCs/>
          <w:sz w:val="32"/>
          <w:szCs w:val="32"/>
          <w:rtl/>
          <w:lang w:eastAsia="zh-TW"/>
        </w:rPr>
        <w:t>إجراء تنظيمي نهائي الذي قدمته البرازيل بشأن الفوريت ضمن فئة مبيدات الآفات يستوفي معايير المرفق الثاني لاتفاقية روتردام</w:t>
      </w:r>
      <w:bookmarkEnd w:id="12"/>
    </w:p>
    <w:p w:rsidR="0056111F" w:rsidRPr="00EF0115" w:rsidRDefault="0056111F" w:rsidP="0056111F">
      <w:pPr>
        <w:pStyle w:val="Normalnumber"/>
        <w:numPr>
          <w:ilvl w:val="0"/>
          <w:numId w:val="2"/>
        </w:numPr>
        <w:tabs>
          <w:tab w:val="clear" w:pos="624"/>
          <w:tab w:val="left" w:pos="1846"/>
        </w:tabs>
        <w:bidi/>
        <w:spacing w:line="400" w:lineRule="exact"/>
        <w:ind w:left="1134" w:firstLine="0"/>
        <w:jc w:val="both"/>
        <w:textDirection w:val="tbRlV"/>
        <w:rPr>
          <w:rFonts w:cs="Traditional Arabic"/>
          <w:szCs w:val="30"/>
          <w:rtl/>
          <w:lang w:eastAsia="zh-TW"/>
        </w:rPr>
      </w:pPr>
      <w:bookmarkStart w:id="13" w:name="bookmark_453"/>
      <w:r w:rsidRPr="00EF0115">
        <w:rPr>
          <w:rFonts w:cs="Traditional Arabic"/>
          <w:szCs w:val="30"/>
          <w:rtl/>
          <w:lang w:eastAsia="zh-TW"/>
        </w:rPr>
        <w:t xml:space="preserve">لدى استعراض الإخطار </w:t>
      </w:r>
      <w:r w:rsidRPr="00EF0115">
        <w:rPr>
          <w:rFonts w:cs="Traditional Arabic" w:hint="cs"/>
          <w:szCs w:val="30"/>
          <w:rtl/>
          <w:lang w:eastAsia="zh-TW"/>
        </w:rPr>
        <w:t>ب</w:t>
      </w:r>
      <w:r w:rsidRPr="00EF0115">
        <w:rPr>
          <w:rFonts w:cs="Traditional Arabic"/>
          <w:szCs w:val="30"/>
          <w:rtl/>
          <w:lang w:eastAsia="zh-TW"/>
        </w:rPr>
        <w:t>إجراء تنظيمي نهائي الذي قدمته البرازيل لحظر استخدام الفوريت كمبيد آفات، بالإضاف</w:t>
      </w:r>
      <w:r w:rsidRPr="00EF0115">
        <w:rPr>
          <w:rFonts w:cs="Traditional Arabic" w:hint="cs"/>
          <w:szCs w:val="30"/>
          <w:rtl/>
          <w:lang w:eastAsia="zh-TW"/>
        </w:rPr>
        <w:t>ة</w:t>
      </w:r>
      <w:r w:rsidRPr="00EF0115">
        <w:rPr>
          <w:rFonts w:cs="Traditional Arabic"/>
          <w:szCs w:val="30"/>
          <w:rtl/>
          <w:lang w:eastAsia="zh-TW"/>
        </w:rPr>
        <w:t xml:space="preserve"> إلى الوثائق الداعمة التي قدمها الطرف، أكدت اللجنة أن ذلك الإجراء اتُّخذ لحماية صحة البشر. ووُجد أن الإخطار يستوفي المتطلبات المتعلقة بتقديم المعلومات بموجب المرفق الأول لاتفاقية روتردام، والمعايير المبينة في المرفق الثاني.</w:t>
      </w:r>
      <w:bookmarkEnd w:id="13"/>
    </w:p>
    <w:p w:rsidR="0056111F" w:rsidRPr="00EF0115" w:rsidRDefault="0056111F" w:rsidP="0056111F">
      <w:pPr>
        <w:pStyle w:val="Normalnumber"/>
        <w:numPr>
          <w:ilvl w:val="0"/>
          <w:numId w:val="2"/>
        </w:numPr>
        <w:tabs>
          <w:tab w:val="clear" w:pos="624"/>
          <w:tab w:val="left" w:pos="1841"/>
          <w:tab w:val="left" w:pos="9070"/>
        </w:tabs>
        <w:bidi/>
        <w:spacing w:line="400" w:lineRule="exact"/>
        <w:ind w:left="1134" w:firstLine="0"/>
        <w:jc w:val="lowKashida"/>
        <w:textDirection w:val="tbRlV"/>
        <w:rPr>
          <w:rFonts w:cs="Traditional Arabic"/>
          <w:szCs w:val="30"/>
          <w:rtl/>
          <w:lang w:eastAsia="zh-TW"/>
        </w:rPr>
      </w:pPr>
      <w:bookmarkStart w:id="14" w:name="bookmark_454"/>
      <w:r w:rsidRPr="00EF0115">
        <w:rPr>
          <w:rFonts w:cs="Traditional Arabic"/>
          <w:szCs w:val="30"/>
          <w:rtl/>
          <w:lang w:eastAsia="zh-TW"/>
        </w:rPr>
        <w:lastRenderedPageBreak/>
        <w:t xml:space="preserve">وقد أتيح الإخطار والوثائق الداعمة له للجنة استعراض المواد الكيميائية للنظر فيها </w:t>
      </w:r>
      <w:r w:rsidRPr="00493C2E">
        <w:rPr>
          <w:rFonts w:asciiTheme="majorBidi" w:hAnsiTheme="majorBidi" w:cstheme="majorBidi"/>
          <w:rtl/>
          <w:lang w:eastAsia="zh-TW"/>
        </w:rPr>
        <w:t>(</w:t>
      </w:r>
      <w:r w:rsidRPr="00493C2E">
        <w:rPr>
          <w:rFonts w:asciiTheme="majorBidi" w:hAnsiTheme="majorBidi" w:cstheme="majorBidi"/>
          <w:lang w:eastAsia="zh-TW"/>
        </w:rPr>
        <w:t>UNEP/FAO/RC/CRC.13/13</w:t>
      </w:r>
      <w:r w:rsidRPr="00EF0115">
        <w:rPr>
          <w:rFonts w:cs="Traditional Arabic"/>
          <w:szCs w:val="30"/>
          <w:rtl/>
          <w:lang w:eastAsia="zh-TW"/>
        </w:rPr>
        <w:t xml:space="preserve"> و</w:t>
      </w:r>
      <w:r w:rsidRPr="00EF0115">
        <w:rPr>
          <w:rFonts w:cs="Traditional Arabic"/>
          <w:szCs w:val="30"/>
          <w:lang w:eastAsia="zh-TW"/>
        </w:rPr>
        <w:t>UNEP/FAO/RC/CRC.13/INF/29</w:t>
      </w:r>
      <w:r w:rsidRPr="00493C2E">
        <w:rPr>
          <w:rFonts w:asciiTheme="majorBidi" w:hAnsiTheme="majorBidi" w:cstheme="majorBidi"/>
          <w:rtl/>
          <w:lang w:eastAsia="zh-TW"/>
        </w:rPr>
        <w:t>)</w:t>
      </w:r>
      <w:r w:rsidRPr="00EF0115">
        <w:rPr>
          <w:rFonts w:cs="Traditional Arabic"/>
          <w:szCs w:val="30"/>
          <w:rtl/>
          <w:lang w:eastAsia="zh-TW"/>
        </w:rPr>
        <w:t>.</w:t>
      </w:r>
      <w:bookmarkEnd w:id="14"/>
    </w:p>
    <w:p w:rsidR="0056111F" w:rsidRPr="00EF0115" w:rsidRDefault="0056111F" w:rsidP="0056111F">
      <w:pPr>
        <w:pStyle w:val="Normalnumber"/>
        <w:numPr>
          <w:ilvl w:val="0"/>
          <w:numId w:val="2"/>
        </w:numPr>
        <w:tabs>
          <w:tab w:val="clear" w:pos="624"/>
          <w:tab w:val="left" w:pos="1841"/>
          <w:tab w:val="left" w:pos="9070"/>
        </w:tabs>
        <w:bidi/>
        <w:spacing w:line="400" w:lineRule="exact"/>
        <w:ind w:left="1134" w:firstLine="0"/>
        <w:jc w:val="both"/>
        <w:textDirection w:val="tbRlV"/>
        <w:rPr>
          <w:rFonts w:cs="Traditional Arabic"/>
          <w:szCs w:val="30"/>
          <w:rtl/>
          <w:lang w:eastAsia="zh-TW"/>
        </w:rPr>
      </w:pPr>
      <w:bookmarkStart w:id="15" w:name="bookmark_455"/>
      <w:r w:rsidRPr="00EF0115">
        <w:rPr>
          <w:rFonts w:cs="Traditional Arabic"/>
          <w:szCs w:val="30"/>
          <w:rtl/>
          <w:lang w:eastAsia="zh-TW"/>
        </w:rPr>
        <w:t xml:space="preserve">ولدى استعراض الإخطار </w:t>
      </w:r>
      <w:r w:rsidRPr="00EF0115">
        <w:rPr>
          <w:rFonts w:cs="Traditional Arabic" w:hint="cs"/>
          <w:szCs w:val="30"/>
          <w:rtl/>
          <w:lang w:eastAsia="zh-TW"/>
        </w:rPr>
        <w:t>ب</w:t>
      </w:r>
      <w:r w:rsidRPr="00EF0115">
        <w:rPr>
          <w:rFonts w:cs="Traditional Arabic"/>
          <w:szCs w:val="30"/>
          <w:rtl/>
          <w:lang w:eastAsia="zh-TW"/>
        </w:rPr>
        <w:t>إجراء تنظيمي نهائي</w:t>
      </w:r>
      <w:r w:rsidRPr="00EF0115">
        <w:rPr>
          <w:rFonts w:cs="Traditional Arabic" w:hint="cs"/>
          <w:szCs w:val="30"/>
          <w:rtl/>
          <w:lang w:eastAsia="zh-TW"/>
        </w:rPr>
        <w:t xml:space="preserve"> </w:t>
      </w:r>
      <w:r w:rsidRPr="00EF0115">
        <w:rPr>
          <w:rFonts w:cs="Traditional Arabic"/>
          <w:szCs w:val="30"/>
          <w:rtl/>
          <w:lang w:eastAsia="zh-TW"/>
        </w:rPr>
        <w:t>الذي قدمته البرازيل، بالإضاف</w:t>
      </w:r>
      <w:r w:rsidRPr="00EF0115">
        <w:rPr>
          <w:rFonts w:cs="Traditional Arabic" w:hint="cs"/>
          <w:szCs w:val="30"/>
          <w:rtl/>
          <w:lang w:eastAsia="zh-TW"/>
        </w:rPr>
        <w:t>ة</w:t>
      </w:r>
      <w:r w:rsidRPr="00EF0115">
        <w:rPr>
          <w:rFonts w:cs="Traditional Arabic"/>
          <w:szCs w:val="30"/>
          <w:rtl/>
          <w:lang w:eastAsia="zh-TW"/>
        </w:rPr>
        <w:t xml:space="preserve"> إلى الوثائق الداعمة التي قدمها الطرف، تمكنت اللجنة من التأكد من أن ذلك الإجراء اتُّخذ لحماية صحة البشر.</w:t>
      </w:r>
      <w:bookmarkEnd w:id="15"/>
    </w:p>
    <w:p w:rsidR="0056111F" w:rsidRPr="0085112A" w:rsidRDefault="0056111F" w:rsidP="0056111F">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 w:val="30"/>
          <w:szCs w:val="30"/>
          <w:rtl/>
          <w:lang w:eastAsia="zh-TW"/>
        </w:rPr>
      </w:pPr>
      <w:bookmarkStart w:id="16" w:name="bookmark_456"/>
      <w:r w:rsidRPr="0085112A">
        <w:rPr>
          <w:rFonts w:cs="Traditional Arabic"/>
          <w:bCs/>
          <w:sz w:val="30"/>
          <w:szCs w:val="30"/>
          <w:rtl/>
          <w:lang w:eastAsia="zh-TW"/>
        </w:rPr>
        <w:t>(أ)</w:t>
      </w:r>
      <w:r w:rsidRPr="0085112A">
        <w:rPr>
          <w:rFonts w:cs="Traditional Arabic"/>
          <w:bCs/>
          <w:sz w:val="30"/>
          <w:szCs w:val="30"/>
          <w:rtl/>
          <w:lang w:eastAsia="zh-TW"/>
        </w:rPr>
        <w:tab/>
        <w:t>نطاق الإجراء التنظيمي الذي قُدم الإخطار بشأنه</w:t>
      </w:r>
      <w:bookmarkEnd w:id="16"/>
    </w:p>
    <w:p w:rsidR="0056111F" w:rsidRPr="00EF0115" w:rsidRDefault="0056111F" w:rsidP="0056111F">
      <w:pPr>
        <w:pStyle w:val="Normalnumber"/>
        <w:numPr>
          <w:ilvl w:val="0"/>
          <w:numId w:val="2"/>
        </w:numPr>
        <w:tabs>
          <w:tab w:val="clear" w:pos="624"/>
          <w:tab w:val="left" w:pos="1841"/>
          <w:tab w:val="left" w:pos="9070"/>
        </w:tabs>
        <w:bidi/>
        <w:spacing w:line="400" w:lineRule="exact"/>
        <w:ind w:left="1134" w:firstLine="0"/>
        <w:jc w:val="both"/>
        <w:textDirection w:val="tbRlV"/>
        <w:rPr>
          <w:rFonts w:cs="Traditional Arabic"/>
          <w:snapToGrid w:val="0"/>
          <w:szCs w:val="30"/>
          <w:rtl/>
          <w:lang w:eastAsia="zh-TW"/>
        </w:rPr>
      </w:pPr>
      <w:bookmarkStart w:id="17" w:name="bookmark_457"/>
      <w:r w:rsidRPr="00EF0115">
        <w:rPr>
          <w:rFonts w:cs="Traditional Arabic"/>
          <w:szCs w:val="30"/>
          <w:rtl/>
          <w:lang w:eastAsia="zh-TW"/>
        </w:rPr>
        <w:t xml:space="preserve">يتعلق الإجراء التنظيمي الذي قُدم الإخطار بشأنه بالفوريت (الرقم في سجل دائرة المستخلصات الكيميائية 298-02-2) المستخدم كمبيد للآفات. </w:t>
      </w:r>
      <w:bookmarkEnd w:id="17"/>
    </w:p>
    <w:p w:rsidR="0056111F" w:rsidRPr="00EF0115" w:rsidRDefault="0056111F" w:rsidP="0056111F">
      <w:pPr>
        <w:pStyle w:val="Normalnumber"/>
        <w:numPr>
          <w:ilvl w:val="0"/>
          <w:numId w:val="2"/>
        </w:numPr>
        <w:tabs>
          <w:tab w:val="clear" w:pos="624"/>
          <w:tab w:val="left" w:pos="1841"/>
          <w:tab w:val="left" w:pos="9070"/>
        </w:tabs>
        <w:bidi/>
        <w:spacing w:line="400" w:lineRule="exact"/>
        <w:ind w:left="1134" w:firstLine="0"/>
        <w:jc w:val="both"/>
        <w:textDirection w:val="tbRlV"/>
        <w:rPr>
          <w:rFonts w:cs="Traditional Arabic"/>
          <w:snapToGrid w:val="0"/>
          <w:szCs w:val="30"/>
          <w:rtl/>
          <w:lang w:eastAsia="zh-TW"/>
        </w:rPr>
      </w:pPr>
      <w:bookmarkStart w:id="18" w:name="bookmark_458"/>
      <w:r w:rsidRPr="00EF0115">
        <w:rPr>
          <w:rFonts w:cs="Traditional Arabic"/>
          <w:szCs w:val="30"/>
          <w:rtl/>
          <w:lang w:eastAsia="zh-TW"/>
        </w:rPr>
        <w:t xml:space="preserve">ونتيجة لقيام الوكالة الوطنية لمراقبة الصحة </w:t>
      </w:r>
      <w:r w:rsidRPr="003C27AD">
        <w:rPr>
          <w:rFonts w:asciiTheme="majorBidi" w:hAnsiTheme="majorBidi" w:cstheme="majorBidi"/>
          <w:rtl/>
          <w:lang w:eastAsia="zh-TW"/>
        </w:rPr>
        <w:t>(ANVISA)</w:t>
      </w:r>
      <w:r w:rsidRPr="00EF0115">
        <w:rPr>
          <w:rFonts w:cs="Traditional Arabic"/>
          <w:szCs w:val="30"/>
          <w:rtl/>
          <w:lang w:eastAsia="zh-TW"/>
        </w:rPr>
        <w:t xml:space="preserve"> بإعادة تقييم درجة سمية الفوريت كمكون نشط في</w:t>
      </w:r>
      <w:r>
        <w:rPr>
          <w:rFonts w:cs="Traditional Arabic" w:hint="cs"/>
          <w:szCs w:val="30"/>
          <w:rtl/>
          <w:lang w:eastAsia="zh-TW"/>
        </w:rPr>
        <w:t xml:space="preserve"> 13</w:t>
      </w:r>
      <w:r w:rsidRPr="00EF0115">
        <w:rPr>
          <w:rFonts w:cs="Traditional Arabic"/>
          <w:szCs w:val="30"/>
          <w:rtl/>
          <w:lang w:eastAsia="zh-TW"/>
        </w:rPr>
        <w:t xml:space="preserve"> آذار/مارس ٢٠١٥، أصدرت الوكالة القرار </w:t>
      </w:r>
      <w:r w:rsidRPr="00EF0115">
        <w:rPr>
          <w:rFonts w:cs="Traditional Arabic"/>
          <w:szCs w:val="30"/>
          <w:lang w:eastAsia="zh-TW"/>
        </w:rPr>
        <w:t>RDC No.12</w:t>
      </w:r>
      <w:r w:rsidRPr="00EF0115">
        <w:rPr>
          <w:rFonts w:cs="Traditional Arabic"/>
          <w:szCs w:val="30"/>
          <w:rtl/>
          <w:lang w:eastAsia="zh-TW"/>
        </w:rPr>
        <w:t>. وعملا</w:t>
      </w:r>
      <w:r>
        <w:rPr>
          <w:rFonts w:cs="Traditional Arabic" w:hint="cs"/>
          <w:szCs w:val="30"/>
          <w:rtl/>
          <w:lang w:eastAsia="zh-TW"/>
        </w:rPr>
        <w:t>ً</w:t>
      </w:r>
      <w:r w:rsidRPr="00EF0115">
        <w:rPr>
          <w:rFonts w:cs="Traditional Arabic"/>
          <w:szCs w:val="30"/>
          <w:rtl/>
          <w:lang w:eastAsia="zh-TW"/>
        </w:rPr>
        <w:t xml:space="preserve"> بذلك القرار، ح</w:t>
      </w:r>
      <w:r w:rsidRPr="00EF0115">
        <w:rPr>
          <w:rFonts w:cs="Traditional Arabic" w:hint="cs"/>
          <w:szCs w:val="30"/>
          <w:rtl/>
          <w:lang w:eastAsia="zh-TW"/>
        </w:rPr>
        <w:t>ُ</w:t>
      </w:r>
      <w:r w:rsidRPr="00EF0115">
        <w:rPr>
          <w:rFonts w:cs="Traditional Arabic"/>
          <w:szCs w:val="30"/>
          <w:rtl/>
          <w:lang w:eastAsia="zh-TW"/>
        </w:rPr>
        <w:t>ظرت جميع المنتجات التقنية والمستحضرات القائمة على الفوريت كمكون نشط. و</w:t>
      </w:r>
      <w:r w:rsidRPr="00EF0115">
        <w:rPr>
          <w:rFonts w:cs="Traditional Arabic" w:hint="cs"/>
          <w:szCs w:val="30"/>
          <w:rtl/>
          <w:lang w:eastAsia="zh-TW"/>
        </w:rPr>
        <w:t>لذلك</w:t>
      </w:r>
      <w:r w:rsidRPr="00EF0115">
        <w:rPr>
          <w:rFonts w:cs="Traditional Arabic" w:hint="cs"/>
          <w:szCs w:val="30"/>
          <w:lang w:eastAsia="zh-TW"/>
        </w:rPr>
        <w:t xml:space="preserve"> </w:t>
      </w:r>
      <w:r w:rsidRPr="00EF0115">
        <w:rPr>
          <w:rFonts w:cs="Traditional Arabic" w:hint="cs"/>
          <w:szCs w:val="30"/>
          <w:rtl/>
          <w:lang w:eastAsia="zh-TW"/>
        </w:rPr>
        <w:t>السبب</w:t>
      </w:r>
      <w:r w:rsidRPr="00EF0115">
        <w:rPr>
          <w:rFonts w:cs="Traditional Arabic"/>
          <w:szCs w:val="30"/>
          <w:rtl/>
          <w:lang w:eastAsia="zh-TW"/>
        </w:rPr>
        <w:t xml:space="preserve"> حُظر إنتاج الفوريت واستخدامه والتجارة </w:t>
      </w:r>
      <w:r w:rsidRPr="00EF0115">
        <w:rPr>
          <w:rFonts w:cs="Traditional Arabic" w:hint="cs"/>
          <w:szCs w:val="30"/>
          <w:rtl/>
          <w:lang w:eastAsia="zh-TW"/>
        </w:rPr>
        <w:t>في</w:t>
      </w:r>
      <w:r w:rsidRPr="00EF0115">
        <w:rPr>
          <w:rFonts w:cs="Traditional Arabic"/>
          <w:szCs w:val="30"/>
          <w:rtl/>
          <w:lang w:eastAsia="zh-TW"/>
        </w:rPr>
        <w:t>ه واستيراده وتصديره.</w:t>
      </w:r>
      <w:bookmarkEnd w:id="18"/>
    </w:p>
    <w:p w:rsidR="0056111F" w:rsidRPr="00EF0115" w:rsidRDefault="0056111F" w:rsidP="0056111F">
      <w:pPr>
        <w:pStyle w:val="Normalnumber"/>
        <w:numPr>
          <w:ilvl w:val="0"/>
          <w:numId w:val="2"/>
        </w:numPr>
        <w:tabs>
          <w:tab w:val="clear" w:pos="624"/>
          <w:tab w:val="left" w:pos="1841"/>
          <w:tab w:val="left" w:pos="9070"/>
        </w:tabs>
        <w:bidi/>
        <w:spacing w:line="400" w:lineRule="exact"/>
        <w:ind w:left="1134" w:firstLine="0"/>
        <w:jc w:val="both"/>
        <w:textDirection w:val="tbRlV"/>
        <w:rPr>
          <w:rFonts w:cs="Traditional Arabic"/>
          <w:snapToGrid w:val="0"/>
          <w:szCs w:val="30"/>
          <w:rtl/>
          <w:lang w:eastAsia="zh-TW"/>
        </w:rPr>
      </w:pPr>
      <w:bookmarkStart w:id="19" w:name="bookmark_459"/>
      <w:r w:rsidRPr="00EF0115">
        <w:rPr>
          <w:rFonts w:cs="Traditional Arabic"/>
          <w:szCs w:val="30"/>
          <w:rtl/>
          <w:lang w:eastAsia="zh-TW"/>
        </w:rPr>
        <w:t>وقبل اتخاذ الإجراء التنظيمي النهائي، كان استخدام الفوريت مسموحا</w:t>
      </w:r>
      <w:r>
        <w:rPr>
          <w:rFonts w:cs="Traditional Arabic" w:hint="cs"/>
          <w:szCs w:val="30"/>
          <w:rtl/>
          <w:lang w:eastAsia="zh-TW"/>
        </w:rPr>
        <w:t>ً</w:t>
      </w:r>
      <w:r w:rsidRPr="00EF0115">
        <w:rPr>
          <w:rFonts w:cs="Traditional Arabic"/>
          <w:szCs w:val="30"/>
          <w:rtl/>
          <w:lang w:eastAsia="zh-TW"/>
        </w:rPr>
        <w:t xml:space="preserve"> به في البرازيل كمبيد حشرات مرخص به حصرا</w:t>
      </w:r>
      <w:r>
        <w:rPr>
          <w:rFonts w:cs="Traditional Arabic" w:hint="cs"/>
          <w:szCs w:val="30"/>
          <w:rtl/>
          <w:lang w:eastAsia="zh-TW"/>
        </w:rPr>
        <w:t>ً</w:t>
      </w:r>
      <w:r w:rsidRPr="00EF0115">
        <w:rPr>
          <w:rFonts w:cs="Traditional Arabic"/>
          <w:szCs w:val="30"/>
          <w:rtl/>
          <w:lang w:eastAsia="zh-TW"/>
        </w:rPr>
        <w:t xml:space="preserve"> للاستخدام الزراعي.</w:t>
      </w:r>
      <w:bookmarkEnd w:id="19"/>
    </w:p>
    <w:p w:rsidR="0056111F" w:rsidRPr="00EF0115" w:rsidRDefault="0056111F" w:rsidP="0056111F">
      <w:pPr>
        <w:pStyle w:val="Normalnumber"/>
        <w:numPr>
          <w:ilvl w:val="0"/>
          <w:numId w:val="2"/>
        </w:numPr>
        <w:tabs>
          <w:tab w:val="clear" w:pos="624"/>
          <w:tab w:val="left" w:pos="1841"/>
          <w:tab w:val="left" w:pos="9070"/>
        </w:tabs>
        <w:bidi/>
        <w:spacing w:line="400" w:lineRule="exact"/>
        <w:ind w:left="1134" w:firstLine="0"/>
        <w:jc w:val="both"/>
        <w:textDirection w:val="tbRlV"/>
        <w:rPr>
          <w:rFonts w:cs="Traditional Arabic"/>
          <w:snapToGrid w:val="0"/>
          <w:szCs w:val="30"/>
          <w:rtl/>
          <w:lang w:eastAsia="zh-TW"/>
        </w:rPr>
      </w:pPr>
      <w:bookmarkStart w:id="20" w:name="bookmark_460"/>
      <w:r w:rsidRPr="00EF0115">
        <w:rPr>
          <w:rFonts w:cs="Traditional Arabic"/>
          <w:szCs w:val="30"/>
          <w:rtl/>
          <w:lang w:eastAsia="zh-TW"/>
        </w:rPr>
        <w:t>وقد وُجد أن الإخطار يستوفي متطلبات تقديم المعلومات بموجب المرفق الأول.</w:t>
      </w:r>
      <w:bookmarkEnd w:id="20"/>
    </w:p>
    <w:p w:rsidR="0056111F" w:rsidRPr="0085112A" w:rsidRDefault="0056111F" w:rsidP="0056111F">
      <w:pPr>
        <w:pStyle w:val="CH1"/>
        <w:tabs>
          <w:tab w:val="clear" w:pos="851"/>
          <w:tab w:val="clear" w:pos="1247"/>
          <w:tab w:val="clear" w:pos="1814"/>
          <w:tab w:val="clear" w:pos="2381"/>
          <w:tab w:val="clear" w:pos="2948"/>
          <w:tab w:val="clear" w:pos="3515"/>
          <w:tab w:val="clear" w:pos="4082"/>
          <w:tab w:val="left" w:pos="1841"/>
          <w:tab w:val="left" w:pos="9070"/>
        </w:tabs>
        <w:bidi/>
        <w:spacing w:before="0" w:line="400" w:lineRule="exact"/>
        <w:ind w:left="1134" w:right="0" w:hanging="852"/>
        <w:jc w:val="both"/>
        <w:textDirection w:val="tbRlV"/>
        <w:rPr>
          <w:rFonts w:cs="Traditional Arabic"/>
          <w:bCs/>
          <w:sz w:val="30"/>
          <w:szCs w:val="30"/>
          <w:rtl/>
          <w:lang w:eastAsia="zh-TW"/>
        </w:rPr>
      </w:pPr>
      <w:bookmarkStart w:id="21" w:name="bookmark_461"/>
      <w:r w:rsidRPr="0085112A">
        <w:rPr>
          <w:rFonts w:cs="Traditional Arabic"/>
          <w:bCs/>
          <w:sz w:val="30"/>
          <w:szCs w:val="30"/>
          <w:rtl/>
          <w:lang w:eastAsia="zh-TW"/>
        </w:rPr>
        <w:t>(ب)</w:t>
      </w:r>
      <w:r w:rsidRPr="0085112A">
        <w:rPr>
          <w:rFonts w:cs="Traditional Arabic"/>
          <w:bCs/>
          <w:sz w:val="30"/>
          <w:szCs w:val="30"/>
          <w:rtl/>
          <w:lang w:eastAsia="zh-TW"/>
        </w:rPr>
        <w:tab/>
        <w:t>المعيار الوارد في الفقرة (أ) من المرفق الثاني</w:t>
      </w:r>
      <w:bookmarkEnd w:id="21"/>
    </w:p>
    <w:p w:rsidR="0056111F" w:rsidRPr="0028275F" w:rsidRDefault="0056111F" w:rsidP="0056111F">
      <w:pPr>
        <w:pStyle w:val="Normalnumber"/>
        <w:numPr>
          <w:ilvl w:val="0"/>
          <w:numId w:val="0"/>
        </w:numPr>
        <w:tabs>
          <w:tab w:val="clear" w:pos="624"/>
          <w:tab w:val="left" w:pos="2408"/>
        </w:tabs>
        <w:bidi/>
        <w:spacing w:line="400" w:lineRule="exact"/>
        <w:ind w:left="1132" w:firstLine="709"/>
        <w:jc w:val="both"/>
        <w:textDirection w:val="tbRlV"/>
        <w:rPr>
          <w:rFonts w:cs="Traditional Arabic"/>
          <w:i/>
          <w:iCs/>
          <w:szCs w:val="30"/>
          <w:rtl/>
          <w:lang w:eastAsia="zh-TW"/>
        </w:rPr>
      </w:pPr>
      <w:bookmarkStart w:id="22" w:name="bookmark_462"/>
      <w:r w:rsidRPr="0028275F">
        <w:rPr>
          <w:rFonts w:cs="Traditional Arabic"/>
          <w:i/>
          <w:iCs/>
          <w:szCs w:val="30"/>
          <w:rtl/>
          <w:lang w:eastAsia="zh-TW"/>
        </w:rPr>
        <w:t>(أ)</w:t>
      </w:r>
      <w:r w:rsidRPr="0028275F">
        <w:rPr>
          <w:rFonts w:cs="Traditional Arabic"/>
          <w:i/>
          <w:iCs/>
          <w:szCs w:val="30"/>
          <w:rtl/>
          <w:lang w:eastAsia="zh-TW"/>
        </w:rPr>
        <w:tab/>
        <w:t>التأكّد من أن الإجراء التنظيمي النهائي قد اتُّخذ من أجل حماية صحة البشر، أو البيئة</w:t>
      </w:r>
      <w:bookmarkEnd w:id="22"/>
      <w:r>
        <w:rPr>
          <w:rFonts w:cs="Traditional Arabic" w:hint="cs"/>
          <w:i/>
          <w:iCs/>
          <w:szCs w:val="30"/>
          <w:rtl/>
          <w:lang w:eastAsia="zh-TW"/>
        </w:rPr>
        <w:t>؛</w:t>
      </w:r>
    </w:p>
    <w:p w:rsidR="0056111F" w:rsidRPr="00EF0115" w:rsidRDefault="0056111F" w:rsidP="0056111F">
      <w:pPr>
        <w:pStyle w:val="Normalnumber"/>
        <w:numPr>
          <w:ilvl w:val="0"/>
          <w:numId w:val="2"/>
        </w:numPr>
        <w:tabs>
          <w:tab w:val="clear" w:pos="624"/>
          <w:tab w:val="left" w:pos="1841"/>
          <w:tab w:val="left" w:pos="9070"/>
        </w:tabs>
        <w:bidi/>
        <w:spacing w:line="400" w:lineRule="exact"/>
        <w:ind w:left="1134" w:firstLine="0"/>
        <w:jc w:val="both"/>
        <w:textDirection w:val="tbRlV"/>
        <w:rPr>
          <w:rFonts w:cs="Traditional Arabic"/>
          <w:snapToGrid w:val="0"/>
          <w:szCs w:val="30"/>
          <w:rtl/>
          <w:lang w:eastAsia="zh-TW"/>
        </w:rPr>
      </w:pPr>
      <w:bookmarkStart w:id="23" w:name="bookmark_463"/>
      <w:r w:rsidRPr="00EF0115">
        <w:rPr>
          <w:rFonts w:cs="Traditional Arabic"/>
          <w:szCs w:val="30"/>
          <w:rtl/>
          <w:lang w:eastAsia="zh-TW"/>
        </w:rPr>
        <w:t>كما ورد في الإخطار، حظر الإجراء التنظيمي النهائي الذي اتخذته البرازيل بخصوص الفوريت جميع المنتجات التقنية والمستحضرات القائمة على الفوريت كمكون نشط، ومنع إنتاج تلك المادة النشطة واستخدامها والتجارة بها واستيرادها وتصديرها (الفرعان 2-2-1 و2-3-3 من الإخطار). وقبل اعتماد الإجراء التنظيمي النهائي، كان الفوريت يُستخدم في البرازيل كمبيد حشرات مرخص به حصرا</w:t>
      </w:r>
      <w:r>
        <w:rPr>
          <w:rFonts w:cs="Traditional Arabic" w:hint="cs"/>
          <w:szCs w:val="30"/>
          <w:rtl/>
          <w:lang w:eastAsia="zh-TW"/>
        </w:rPr>
        <w:t>ً</w:t>
      </w:r>
      <w:r w:rsidRPr="00EF0115">
        <w:rPr>
          <w:rFonts w:cs="Traditional Arabic"/>
          <w:szCs w:val="30"/>
          <w:rtl/>
          <w:lang w:eastAsia="zh-TW"/>
        </w:rPr>
        <w:t xml:space="preserve"> للاستخدام الزراعي لمعالجة المحاصيل التالية: القطن والبطاطس والبن والفاصوليا والذرة </w:t>
      </w:r>
      <w:r w:rsidRPr="009421F7">
        <w:rPr>
          <w:rFonts w:asciiTheme="majorBidi" w:hAnsiTheme="majorBidi" w:cstheme="majorBidi"/>
          <w:rtl/>
          <w:lang w:eastAsia="zh-TW"/>
        </w:rPr>
        <w:t>(</w:t>
      </w:r>
      <w:r w:rsidRPr="009421F7">
        <w:rPr>
          <w:rFonts w:asciiTheme="majorBidi" w:hAnsiTheme="majorBidi" w:cstheme="majorBidi"/>
          <w:lang w:eastAsia="zh-TW"/>
        </w:rPr>
        <w:t>UNEP/FAO/RC/CRC.13/13</w:t>
      </w:r>
      <w:r w:rsidRPr="00EF0115">
        <w:rPr>
          <w:rFonts w:cs="Traditional Arabic"/>
          <w:szCs w:val="30"/>
          <w:rtl/>
          <w:lang w:eastAsia="zh-TW"/>
        </w:rPr>
        <w:t>، المرفق، الفرع 2-3-1).</w:t>
      </w:r>
      <w:bookmarkEnd w:id="23"/>
    </w:p>
    <w:p w:rsidR="0056111F" w:rsidRPr="00EF0115" w:rsidRDefault="0056111F" w:rsidP="0056111F">
      <w:pPr>
        <w:pStyle w:val="Normalnumber"/>
        <w:numPr>
          <w:ilvl w:val="0"/>
          <w:numId w:val="2"/>
        </w:numPr>
        <w:tabs>
          <w:tab w:val="clear" w:pos="624"/>
          <w:tab w:val="left" w:pos="1841"/>
          <w:tab w:val="left" w:pos="9070"/>
        </w:tabs>
        <w:bidi/>
        <w:spacing w:line="400" w:lineRule="exact"/>
        <w:ind w:left="1134" w:firstLine="0"/>
        <w:jc w:val="both"/>
        <w:textDirection w:val="tbRlV"/>
        <w:rPr>
          <w:rFonts w:cs="Traditional Arabic"/>
          <w:snapToGrid w:val="0"/>
          <w:szCs w:val="30"/>
          <w:rtl/>
          <w:lang w:eastAsia="zh-TW"/>
        </w:rPr>
      </w:pPr>
      <w:bookmarkStart w:id="24" w:name="bookmark_464"/>
      <w:r w:rsidRPr="00EF0115">
        <w:rPr>
          <w:rFonts w:cs="Traditional Arabic"/>
          <w:szCs w:val="30"/>
          <w:rtl/>
          <w:lang w:eastAsia="zh-TW"/>
        </w:rPr>
        <w:t xml:space="preserve">وقد اتُّخذ الإجراء التنظيمي النهائي، كما يفيد بذلك الإخطار، ليشمل فئة مبيدات الآفات </w:t>
      </w:r>
      <w:r w:rsidRPr="009421F7">
        <w:rPr>
          <w:rFonts w:asciiTheme="majorBidi" w:hAnsiTheme="majorBidi" w:cstheme="majorBidi"/>
          <w:rtl/>
          <w:lang w:eastAsia="zh-TW"/>
        </w:rPr>
        <w:t>(</w:t>
      </w:r>
      <w:r w:rsidRPr="009421F7">
        <w:rPr>
          <w:rFonts w:asciiTheme="majorBidi" w:hAnsiTheme="majorBidi" w:cstheme="majorBidi"/>
          <w:lang w:eastAsia="zh-TW"/>
        </w:rPr>
        <w:t>UNEP/FAO/RC/CRC.13/13</w:t>
      </w:r>
      <w:r w:rsidRPr="00EF0115">
        <w:rPr>
          <w:rFonts w:cs="Traditional Arabic"/>
          <w:szCs w:val="30"/>
          <w:rtl/>
          <w:lang w:eastAsia="zh-TW"/>
        </w:rPr>
        <w:t>، المرفق، الفرع 2-3-</w:t>
      </w:r>
      <w:r>
        <w:rPr>
          <w:rFonts w:cs="Traditional Arabic" w:hint="cs"/>
          <w:szCs w:val="30"/>
          <w:rtl/>
          <w:lang w:eastAsia="zh-TW"/>
        </w:rPr>
        <w:t>2</w:t>
      </w:r>
      <w:r w:rsidRPr="00EF0115">
        <w:rPr>
          <w:rFonts w:cs="Traditional Arabic"/>
          <w:szCs w:val="30"/>
          <w:rtl/>
          <w:lang w:eastAsia="zh-TW"/>
        </w:rPr>
        <w:t xml:space="preserve">)، ولحماية صحة البشر </w:t>
      </w:r>
      <w:r w:rsidRPr="009421F7">
        <w:rPr>
          <w:rFonts w:asciiTheme="majorBidi" w:hAnsiTheme="majorBidi" w:cstheme="majorBidi"/>
          <w:rtl/>
          <w:lang w:eastAsia="zh-TW"/>
        </w:rPr>
        <w:t>(</w:t>
      </w:r>
      <w:r w:rsidRPr="00EF0115">
        <w:rPr>
          <w:rFonts w:cs="Traditional Arabic"/>
          <w:szCs w:val="30"/>
          <w:lang w:eastAsia="zh-TW"/>
        </w:rPr>
        <w:t>UNEP/FAO/RC/CRC.13/13</w:t>
      </w:r>
      <w:r w:rsidRPr="00EF0115">
        <w:rPr>
          <w:rFonts w:cs="Traditional Arabic"/>
          <w:szCs w:val="30"/>
          <w:rtl/>
          <w:lang w:eastAsia="zh-TW"/>
        </w:rPr>
        <w:t>، المرفق، الفرع 2-4-2-1).</w:t>
      </w:r>
      <w:bookmarkEnd w:id="24"/>
    </w:p>
    <w:p w:rsidR="0056111F" w:rsidRPr="00EF0115" w:rsidRDefault="0056111F" w:rsidP="0056111F">
      <w:pPr>
        <w:pStyle w:val="Normalnumber"/>
        <w:numPr>
          <w:ilvl w:val="0"/>
          <w:numId w:val="2"/>
        </w:numPr>
        <w:tabs>
          <w:tab w:val="clear" w:pos="624"/>
          <w:tab w:val="left" w:pos="1841"/>
          <w:tab w:val="left" w:pos="9070"/>
        </w:tabs>
        <w:bidi/>
        <w:spacing w:line="400" w:lineRule="exact"/>
        <w:ind w:left="1134" w:firstLine="0"/>
        <w:jc w:val="both"/>
        <w:textDirection w:val="tbRlV"/>
        <w:rPr>
          <w:rFonts w:cs="Traditional Arabic"/>
          <w:snapToGrid w:val="0"/>
          <w:szCs w:val="30"/>
          <w:rtl/>
          <w:lang w:eastAsia="zh-TW"/>
        </w:rPr>
      </w:pPr>
      <w:bookmarkStart w:id="25" w:name="bookmark_465"/>
      <w:r w:rsidRPr="00EF0115">
        <w:rPr>
          <w:rFonts w:cs="Traditional Arabic"/>
          <w:szCs w:val="30"/>
          <w:rtl/>
          <w:lang w:eastAsia="zh-TW"/>
        </w:rPr>
        <w:t>و</w:t>
      </w:r>
      <w:r w:rsidRPr="00EF0115">
        <w:rPr>
          <w:rFonts w:cs="Traditional Arabic" w:hint="cs"/>
          <w:szCs w:val="30"/>
          <w:rtl/>
          <w:lang w:eastAsia="zh-TW"/>
        </w:rPr>
        <w:t>ل</w:t>
      </w:r>
      <w:r w:rsidRPr="00EF0115">
        <w:rPr>
          <w:rFonts w:cs="Traditional Arabic"/>
          <w:szCs w:val="30"/>
          <w:rtl/>
          <w:lang w:eastAsia="zh-TW"/>
        </w:rPr>
        <w:t>قد أجرت البرازيل، في إطار إعادة تقييم درجة سُمية المكون النشط، استعراضا</w:t>
      </w:r>
      <w:r>
        <w:rPr>
          <w:rFonts w:cs="Traditional Arabic" w:hint="cs"/>
          <w:szCs w:val="30"/>
          <w:rtl/>
          <w:lang w:eastAsia="zh-TW"/>
        </w:rPr>
        <w:t>ً</w:t>
      </w:r>
      <w:r w:rsidRPr="00EF0115">
        <w:rPr>
          <w:rFonts w:cs="Traditional Arabic"/>
          <w:szCs w:val="30"/>
          <w:rtl/>
          <w:lang w:eastAsia="zh-TW"/>
        </w:rPr>
        <w:t xml:space="preserve"> موسعا</w:t>
      </w:r>
      <w:r>
        <w:rPr>
          <w:rFonts w:cs="Traditional Arabic" w:hint="cs"/>
          <w:szCs w:val="30"/>
          <w:rtl/>
          <w:lang w:eastAsia="zh-TW"/>
        </w:rPr>
        <w:t>ً</w:t>
      </w:r>
      <w:r w:rsidRPr="00EF0115">
        <w:rPr>
          <w:rFonts w:cs="Traditional Arabic"/>
          <w:szCs w:val="30"/>
          <w:rtl/>
          <w:lang w:eastAsia="zh-TW"/>
        </w:rPr>
        <w:t xml:space="preserve"> للبيانات ذات الصلة بالمخاطر واحتمالات وقوع الضرر نتيجة استخدام الفوريت، بالاستعانة بوثائق خاضعة للاستعراض وتقارير منشورة وكتابات أخرى.</w:t>
      </w:r>
      <w:bookmarkEnd w:id="25"/>
    </w:p>
    <w:p w:rsidR="0056111F" w:rsidRPr="00EF0115" w:rsidRDefault="0056111F" w:rsidP="0056111F">
      <w:pPr>
        <w:pStyle w:val="Normalnumber"/>
        <w:numPr>
          <w:ilvl w:val="0"/>
          <w:numId w:val="2"/>
        </w:numPr>
        <w:tabs>
          <w:tab w:val="clear" w:pos="624"/>
          <w:tab w:val="left" w:pos="1841"/>
          <w:tab w:val="left" w:pos="9070"/>
        </w:tabs>
        <w:bidi/>
        <w:spacing w:line="400" w:lineRule="exact"/>
        <w:ind w:left="1134" w:firstLine="0"/>
        <w:jc w:val="both"/>
        <w:textDirection w:val="tbRlV"/>
        <w:rPr>
          <w:rFonts w:cs="Traditional Arabic"/>
          <w:snapToGrid w:val="0"/>
          <w:szCs w:val="30"/>
          <w:rtl/>
          <w:lang w:eastAsia="zh-TW"/>
        </w:rPr>
      </w:pPr>
      <w:bookmarkStart w:id="26" w:name="bookmark_466"/>
      <w:r w:rsidRPr="00EF0115">
        <w:rPr>
          <w:rFonts w:cs="Traditional Arabic"/>
          <w:szCs w:val="30"/>
          <w:rtl/>
          <w:lang w:eastAsia="zh-TW"/>
        </w:rPr>
        <w:lastRenderedPageBreak/>
        <w:t>و</w:t>
      </w:r>
      <w:r>
        <w:rPr>
          <w:rFonts w:cs="Traditional Arabic"/>
          <w:szCs w:val="30"/>
          <w:rtl/>
          <w:lang w:eastAsia="zh-TW"/>
        </w:rPr>
        <w:t>استناداً</w:t>
      </w:r>
      <w:r w:rsidRPr="00EF0115">
        <w:rPr>
          <w:rFonts w:cs="Traditional Arabic"/>
          <w:szCs w:val="30"/>
          <w:rtl/>
          <w:lang w:eastAsia="zh-TW"/>
        </w:rPr>
        <w:t xml:space="preserve"> إلى البيانات المتاحة، تم التوصل إلى أن الفوريت و</w:t>
      </w:r>
      <w:r w:rsidRPr="00EF0115">
        <w:rPr>
          <w:rFonts w:cs="Traditional Arabic" w:hint="cs"/>
          <w:szCs w:val="30"/>
          <w:rtl/>
          <w:lang w:eastAsia="zh-TW"/>
        </w:rPr>
        <w:t>مستقلباته</w:t>
      </w:r>
      <w:r w:rsidRPr="00EF0115">
        <w:rPr>
          <w:rFonts w:cs="Traditional Arabic"/>
          <w:szCs w:val="30"/>
          <w:rtl/>
          <w:lang w:eastAsia="zh-TW"/>
        </w:rPr>
        <w:t xml:space="preserve"> تُمتص بسهولة عبر الجلد والأغشية المخاطية، وأنه يُوقف بصورة لا رجعة عنها النشاط التحفيزي لأستيل استيراز الكولين </w:t>
      </w:r>
      <w:r w:rsidRPr="003C27AD">
        <w:rPr>
          <w:rFonts w:asciiTheme="majorBidi" w:hAnsiTheme="majorBidi" w:cstheme="majorBidi"/>
          <w:rtl/>
          <w:lang w:eastAsia="zh-TW"/>
        </w:rPr>
        <w:t>(AChE)</w:t>
      </w:r>
      <w:r w:rsidRPr="00EF0115">
        <w:rPr>
          <w:rFonts w:cs="Traditional Arabic"/>
          <w:szCs w:val="30"/>
          <w:rtl/>
          <w:lang w:eastAsia="zh-TW"/>
        </w:rPr>
        <w:t xml:space="preserve">، وهو الإنزيم الوسيط في التحلل المائي للأستيل كولين في الحمض الأسيتي وحمض الكولين. وبالتالي فإن هذه المواد تعطل انتقال النبضات العصبية عبر الوصلات العصبية الكولينية في الجهاز العصبي المركزي والجهاز العصبي الذاتي والوصلات بين العضلات والأعصاب. ويُسبب تعطيل أستيل استيراز الكولين الاستثارة الكولينية المفرطة بفعل تراكم الأستيل كولين في </w:t>
      </w:r>
      <w:r w:rsidRPr="00EF0115">
        <w:rPr>
          <w:rFonts w:cs="Traditional Arabic" w:hint="cs"/>
          <w:szCs w:val="30"/>
          <w:rtl/>
          <w:lang w:eastAsia="zh-TW"/>
        </w:rPr>
        <w:t>فراغات</w:t>
      </w:r>
      <w:r w:rsidRPr="00EF0115">
        <w:rPr>
          <w:rFonts w:cs="Traditional Arabic"/>
          <w:szCs w:val="30"/>
          <w:rtl/>
          <w:lang w:eastAsia="zh-TW"/>
        </w:rPr>
        <w:t xml:space="preserve"> الوصلات العصبية.</w:t>
      </w:r>
      <w:bookmarkEnd w:id="26"/>
    </w:p>
    <w:p w:rsidR="0056111F" w:rsidRPr="00EF0115" w:rsidRDefault="0056111F" w:rsidP="0056111F">
      <w:pPr>
        <w:pStyle w:val="Normalnumber"/>
        <w:numPr>
          <w:ilvl w:val="0"/>
          <w:numId w:val="2"/>
        </w:numPr>
        <w:tabs>
          <w:tab w:val="clear" w:pos="624"/>
          <w:tab w:val="left" w:pos="1841"/>
          <w:tab w:val="left" w:pos="9070"/>
        </w:tabs>
        <w:bidi/>
        <w:spacing w:line="400" w:lineRule="exact"/>
        <w:ind w:left="1134" w:firstLine="0"/>
        <w:jc w:val="both"/>
        <w:textDirection w:val="tbRlV"/>
        <w:rPr>
          <w:rFonts w:cs="Traditional Arabic"/>
          <w:snapToGrid w:val="0"/>
          <w:szCs w:val="30"/>
          <w:rtl/>
          <w:lang w:eastAsia="zh-TW"/>
        </w:rPr>
      </w:pPr>
      <w:bookmarkStart w:id="27" w:name="bookmark_467"/>
      <w:r w:rsidRPr="00EF0115">
        <w:rPr>
          <w:rFonts w:cs="Traditional Arabic"/>
          <w:szCs w:val="30"/>
          <w:rtl/>
          <w:lang w:eastAsia="zh-TW"/>
        </w:rPr>
        <w:t xml:space="preserve">ويُعتبر الفوريت أحد المركبات الفوسفاتية العضوية الأكثر سُمية التي تثبط أستيل استيراز الكولين، حيث تتراوح الجرعة الوسطية المميتة للفئران بين 1.4 و10 ملغ/كلغ من وزن الجسم </w:t>
      </w:r>
      <w:r w:rsidRPr="009421F7">
        <w:rPr>
          <w:rFonts w:asciiTheme="majorBidi" w:hAnsiTheme="majorBidi" w:cstheme="majorBidi"/>
          <w:rtl/>
          <w:lang w:eastAsia="zh-TW"/>
        </w:rPr>
        <w:t>(</w:t>
      </w:r>
      <w:r w:rsidRPr="009421F7">
        <w:rPr>
          <w:rFonts w:asciiTheme="majorBidi" w:hAnsiTheme="majorBidi" w:cstheme="majorBidi"/>
          <w:lang w:eastAsia="zh-TW"/>
        </w:rPr>
        <w:t>UNEP/FAO/RC/CRC.13/13</w:t>
      </w:r>
      <w:r w:rsidRPr="00EF0115">
        <w:rPr>
          <w:rFonts w:cs="Traditional Arabic"/>
          <w:szCs w:val="30"/>
          <w:rtl/>
          <w:lang w:eastAsia="zh-TW"/>
        </w:rPr>
        <w:t xml:space="preserve">، المرفق، الفرع 2-4-2-1) وتدل الدراسات التجريبية والوبائية للجهاز التنفسي على أن الفوريت سُميّ بدرجة عالية بالنسبة لهذا الجهاز </w:t>
      </w:r>
      <w:r w:rsidRPr="009421F7">
        <w:rPr>
          <w:rFonts w:asciiTheme="majorBidi" w:hAnsiTheme="majorBidi" w:cstheme="majorBidi"/>
          <w:rtl/>
          <w:lang w:eastAsia="zh-TW"/>
        </w:rPr>
        <w:t>(</w:t>
      </w:r>
      <w:r w:rsidRPr="00EF0115">
        <w:rPr>
          <w:rFonts w:cs="Traditional Arabic"/>
          <w:szCs w:val="30"/>
          <w:lang w:eastAsia="zh-TW"/>
        </w:rPr>
        <w:t>UNEP/FAO/RC/CRC.13/INF/29</w:t>
      </w:r>
      <w:r w:rsidRPr="00EF0115">
        <w:rPr>
          <w:rFonts w:cs="Traditional Arabic"/>
          <w:szCs w:val="30"/>
          <w:rtl/>
          <w:lang w:eastAsia="zh-TW"/>
        </w:rPr>
        <w:t>، الصفحة 21).</w:t>
      </w:r>
      <w:bookmarkEnd w:id="27"/>
    </w:p>
    <w:p w:rsidR="0056111F" w:rsidRPr="00277F93" w:rsidRDefault="0056111F" w:rsidP="0056111F">
      <w:pPr>
        <w:numPr>
          <w:ilvl w:val="0"/>
          <w:numId w:val="2"/>
        </w:numPr>
        <w:tabs>
          <w:tab w:val="left" w:pos="1841"/>
          <w:tab w:val="left" w:pos="9070"/>
        </w:tabs>
        <w:snapToGrid w:val="0"/>
        <w:spacing w:after="120" w:line="400" w:lineRule="exact"/>
        <w:ind w:left="1134" w:firstLine="0"/>
        <w:jc w:val="both"/>
        <w:rPr>
          <w:rFonts w:ascii="Times New Roman" w:hAnsi="Times New Roman" w:cs="Traditional Arabic"/>
          <w:szCs w:val="30"/>
          <w:rtl/>
          <w:lang w:eastAsia="zh-TW"/>
        </w:rPr>
      </w:pPr>
      <w:bookmarkStart w:id="28" w:name="bookmark_468"/>
      <w:r w:rsidRPr="00277F93">
        <w:rPr>
          <w:rFonts w:ascii="Times New Roman" w:hAnsi="Times New Roman" w:cs="Traditional Arabic"/>
          <w:szCs w:val="30"/>
          <w:rtl/>
          <w:lang w:eastAsia="zh-TW"/>
        </w:rPr>
        <w:t>وتؤكد البيانات أن الفوريت يمكنه أن يسبب أعراضا</w:t>
      </w:r>
      <w:r>
        <w:rPr>
          <w:rFonts w:ascii="Times New Roman" w:hAnsi="Times New Roman" w:cs="Traditional Arabic" w:hint="cs"/>
          <w:szCs w:val="30"/>
          <w:rtl/>
          <w:lang w:eastAsia="zh-TW"/>
        </w:rPr>
        <w:t>ً</w:t>
      </w:r>
      <w:r w:rsidRPr="00277F93">
        <w:rPr>
          <w:rFonts w:ascii="Times New Roman" w:hAnsi="Times New Roman" w:cs="Traditional Arabic"/>
          <w:szCs w:val="30"/>
          <w:rtl/>
          <w:lang w:eastAsia="zh-TW"/>
        </w:rPr>
        <w:t xml:space="preserve"> عصبية وسريرية لدى البشر، مثل التّلف الدّماغيّ، والمتلازمة الوسيطة، واعْتِلاَل الأَعْصاب المتأخر، وهي أعراض وصفها مختلف المؤلفين </w:t>
      </w:r>
      <w:r w:rsidRPr="009421F7">
        <w:rPr>
          <w:rFonts w:asciiTheme="majorBidi" w:hAnsiTheme="majorBidi" w:cstheme="majorBidi"/>
          <w:szCs w:val="20"/>
          <w:rtl/>
          <w:lang w:eastAsia="zh-TW"/>
        </w:rPr>
        <w:t>(</w:t>
      </w:r>
      <w:r w:rsidRPr="00277F93">
        <w:rPr>
          <w:rFonts w:ascii="Times New Roman" w:hAnsi="Times New Roman" w:cs="Traditional Arabic"/>
          <w:szCs w:val="30"/>
          <w:lang w:eastAsia="zh-TW"/>
        </w:rPr>
        <w:t>Young, Jung, Ayer, 1979</w:t>
      </w:r>
      <w:r w:rsidRPr="00277F93">
        <w:rPr>
          <w:rFonts w:ascii="Times New Roman" w:hAnsi="Times New Roman" w:cs="Traditional Arabic"/>
          <w:szCs w:val="30"/>
          <w:rtl/>
          <w:lang w:eastAsia="zh-TW"/>
        </w:rPr>
        <w:t xml:space="preserve"> و</w:t>
      </w:r>
      <w:r w:rsidRPr="00277F93">
        <w:rPr>
          <w:rFonts w:ascii="Times New Roman" w:hAnsi="Times New Roman" w:cs="Traditional Arabic"/>
          <w:szCs w:val="30"/>
          <w:lang w:eastAsia="zh-TW"/>
        </w:rPr>
        <w:t>Kashyap et al., 1984</w:t>
      </w:r>
      <w:r w:rsidRPr="00277F93">
        <w:rPr>
          <w:rFonts w:ascii="Times New Roman" w:hAnsi="Times New Roman" w:cs="Traditional Arabic"/>
          <w:szCs w:val="30"/>
          <w:rtl/>
          <w:lang w:eastAsia="zh-TW"/>
        </w:rPr>
        <w:t>؛ و</w:t>
      </w:r>
      <w:r w:rsidRPr="00277F93">
        <w:rPr>
          <w:rFonts w:ascii="Times New Roman" w:hAnsi="Times New Roman" w:cs="Traditional Arabic"/>
          <w:szCs w:val="30"/>
          <w:lang w:eastAsia="zh-TW"/>
        </w:rPr>
        <w:t>WHO/FAO, 1988</w:t>
      </w:r>
      <w:r w:rsidRPr="00277F93">
        <w:rPr>
          <w:rFonts w:ascii="Times New Roman" w:hAnsi="Times New Roman" w:cs="Traditional Arabic"/>
          <w:szCs w:val="30"/>
          <w:rtl/>
          <w:lang w:eastAsia="zh-TW"/>
        </w:rPr>
        <w:t xml:space="preserve"> و</w:t>
      </w:r>
      <w:r w:rsidRPr="00277F93">
        <w:rPr>
          <w:rFonts w:ascii="Times New Roman" w:hAnsi="Times New Roman" w:cs="Traditional Arabic"/>
          <w:szCs w:val="30"/>
          <w:lang w:eastAsia="zh-TW"/>
        </w:rPr>
        <w:t>Kusic et al., 1991</w:t>
      </w:r>
      <w:r w:rsidRPr="00277F93">
        <w:rPr>
          <w:rFonts w:ascii="Times New Roman" w:hAnsi="Times New Roman" w:cs="Traditional Arabic"/>
          <w:szCs w:val="30"/>
          <w:rtl/>
          <w:lang w:eastAsia="zh-TW"/>
        </w:rPr>
        <w:t xml:space="preserve"> و</w:t>
      </w:r>
      <w:r w:rsidRPr="00277F93">
        <w:rPr>
          <w:rFonts w:ascii="Times New Roman" w:hAnsi="Times New Roman" w:cs="Traditional Arabic"/>
          <w:szCs w:val="30"/>
          <w:lang w:eastAsia="zh-TW"/>
        </w:rPr>
        <w:t>Dobozy, 1998</w:t>
      </w:r>
      <w:r w:rsidRPr="00277F93">
        <w:rPr>
          <w:rFonts w:ascii="Times New Roman" w:hAnsi="Times New Roman" w:cs="Traditional Arabic"/>
          <w:szCs w:val="30"/>
          <w:rtl/>
          <w:lang w:eastAsia="zh-TW"/>
        </w:rPr>
        <w:t xml:space="preserve"> و </w:t>
      </w:r>
      <w:r w:rsidRPr="00277F93">
        <w:rPr>
          <w:rFonts w:ascii="Times New Roman" w:hAnsi="Times New Roman" w:cs="Traditional Arabic"/>
          <w:szCs w:val="30"/>
          <w:lang w:eastAsia="zh-TW"/>
        </w:rPr>
        <w:t>Das and Jena, 2000</w:t>
      </w:r>
      <w:r w:rsidRPr="00277F93">
        <w:rPr>
          <w:rFonts w:ascii="Times New Roman" w:hAnsi="Times New Roman" w:cs="Traditional Arabic"/>
          <w:szCs w:val="30"/>
          <w:rtl/>
          <w:lang w:eastAsia="zh-TW"/>
        </w:rPr>
        <w:t xml:space="preserve"> و</w:t>
      </w:r>
      <w:r w:rsidRPr="00277F93">
        <w:rPr>
          <w:rFonts w:ascii="Times New Roman" w:hAnsi="Times New Roman" w:cs="Traditional Arabic"/>
          <w:szCs w:val="30"/>
          <w:lang w:eastAsia="zh-TW"/>
        </w:rPr>
        <w:t>Thanal, 2001</w:t>
      </w:r>
      <w:r w:rsidRPr="00277F93">
        <w:rPr>
          <w:rFonts w:ascii="Times New Roman" w:hAnsi="Times New Roman" w:cs="Traditional Arabic"/>
          <w:szCs w:val="30"/>
          <w:rtl/>
          <w:lang w:eastAsia="zh-TW"/>
        </w:rPr>
        <w:t xml:space="preserve"> و</w:t>
      </w:r>
      <w:r w:rsidRPr="00277F93">
        <w:rPr>
          <w:rFonts w:ascii="Times New Roman" w:hAnsi="Times New Roman" w:cs="Traditional Arabic"/>
          <w:szCs w:val="30"/>
          <w:lang w:eastAsia="zh-TW"/>
        </w:rPr>
        <w:t>Jayakumar, 2002</w:t>
      </w:r>
      <w:r w:rsidRPr="00277F93">
        <w:rPr>
          <w:rFonts w:ascii="Times New Roman" w:hAnsi="Times New Roman" w:cs="Traditional Arabic"/>
          <w:szCs w:val="30"/>
          <w:rtl/>
          <w:lang w:eastAsia="zh-TW"/>
        </w:rPr>
        <w:t xml:space="preserve"> و</w:t>
      </w:r>
      <w:r w:rsidRPr="00277F93">
        <w:rPr>
          <w:rFonts w:ascii="Times New Roman" w:hAnsi="Times New Roman" w:cs="Traditional Arabic"/>
          <w:szCs w:val="30"/>
          <w:lang w:eastAsia="zh-TW"/>
        </w:rPr>
        <w:t>Mission, 2006</w:t>
      </w:r>
      <w:r w:rsidRPr="00277F93">
        <w:rPr>
          <w:rFonts w:ascii="Times New Roman" w:hAnsi="Times New Roman" w:cs="Traditional Arabic"/>
          <w:szCs w:val="30"/>
          <w:rtl/>
          <w:lang w:eastAsia="zh-TW"/>
        </w:rPr>
        <w:t xml:space="preserve"> و</w:t>
      </w:r>
      <w:r w:rsidRPr="00277F93">
        <w:rPr>
          <w:rFonts w:ascii="Times New Roman" w:hAnsi="Times New Roman" w:cs="Traditional Arabic"/>
          <w:szCs w:val="30"/>
          <w:lang w:eastAsia="zh-TW"/>
        </w:rPr>
        <w:t>Peter, Prabhakar, Pichamuthu, 2008a; 2008b</w:t>
      </w:r>
      <w:r w:rsidRPr="009421F7">
        <w:rPr>
          <w:rFonts w:asciiTheme="majorBidi" w:hAnsiTheme="majorBidi" w:cstheme="majorBidi"/>
          <w:szCs w:val="20"/>
          <w:rtl/>
          <w:lang w:eastAsia="zh-TW"/>
        </w:rPr>
        <w:t>)</w:t>
      </w:r>
      <w:r w:rsidRPr="00277F93">
        <w:rPr>
          <w:rFonts w:ascii="Times New Roman" w:hAnsi="Times New Roman" w:cs="Traditional Arabic"/>
          <w:szCs w:val="30"/>
          <w:rtl/>
          <w:lang w:eastAsia="zh-TW"/>
        </w:rPr>
        <w:t>. بيد أنه لم تظهر حالات من المتلازمة الوسيطة أو اعْتِلاَل الأَعْصاب المتأخر لدى الحيوانات المخبرية التي تلقت الفوريت، مما يدل على أن مبيد الآفات المعني أكثر سمية للبشر مما كشفت عنه التجارب المخ</w:t>
      </w:r>
      <w:r>
        <w:rPr>
          <w:rFonts w:ascii="Times New Roman" w:hAnsi="Times New Roman" w:cs="Traditional Arabic" w:hint="cs"/>
          <w:szCs w:val="30"/>
          <w:rtl/>
          <w:lang w:eastAsia="zh-TW"/>
        </w:rPr>
        <w:t>ت</w:t>
      </w:r>
      <w:r w:rsidRPr="00277F93">
        <w:rPr>
          <w:rFonts w:ascii="Times New Roman" w:hAnsi="Times New Roman" w:cs="Traditional Arabic"/>
          <w:szCs w:val="30"/>
          <w:rtl/>
          <w:lang w:eastAsia="zh-TW"/>
        </w:rPr>
        <w:t>برية على الحيوانات.</w:t>
      </w:r>
      <w:bookmarkEnd w:id="28"/>
    </w:p>
    <w:p w:rsidR="0056111F" w:rsidRPr="00EF0115" w:rsidRDefault="0056111F" w:rsidP="0056111F">
      <w:pPr>
        <w:numPr>
          <w:ilvl w:val="0"/>
          <w:numId w:val="2"/>
        </w:numPr>
        <w:tabs>
          <w:tab w:val="left" w:pos="1841"/>
          <w:tab w:val="left" w:pos="9070"/>
        </w:tabs>
        <w:snapToGrid w:val="0"/>
        <w:spacing w:after="120" w:line="400" w:lineRule="exact"/>
        <w:ind w:left="1134" w:firstLine="0"/>
        <w:jc w:val="both"/>
        <w:textDirection w:val="tbRlV"/>
        <w:rPr>
          <w:rFonts w:ascii="Times New Roman" w:hAnsi="Times New Roman" w:cs="Traditional Arabic"/>
          <w:snapToGrid w:val="0"/>
          <w:szCs w:val="30"/>
          <w:rtl/>
          <w:lang w:eastAsia="zh-TW"/>
        </w:rPr>
      </w:pPr>
      <w:bookmarkStart w:id="29" w:name="bookmark_469"/>
      <w:r w:rsidRPr="00EF0115">
        <w:rPr>
          <w:rFonts w:ascii="Times New Roman" w:hAnsi="Times New Roman" w:cs="Traditional Arabic"/>
          <w:szCs w:val="30"/>
          <w:rtl/>
          <w:lang w:eastAsia="zh-TW"/>
        </w:rPr>
        <w:t>وإلى جانب الآثار السمية العصبية للفوريت، وُجد أنه قد يُحدث آثارا</w:t>
      </w:r>
      <w:r>
        <w:rPr>
          <w:rFonts w:ascii="Times New Roman" w:hAnsi="Times New Roman" w:cs="Traditional Arabic" w:hint="cs"/>
          <w:szCs w:val="30"/>
          <w:rtl/>
          <w:lang w:eastAsia="zh-TW"/>
        </w:rPr>
        <w:t>ً</w:t>
      </w:r>
      <w:r w:rsidRPr="00EF0115">
        <w:rPr>
          <w:rFonts w:ascii="Times New Roman" w:hAnsi="Times New Roman" w:cs="Traditional Arabic"/>
          <w:szCs w:val="30"/>
          <w:rtl/>
          <w:lang w:eastAsia="zh-TW"/>
        </w:rPr>
        <w:t xml:space="preserve"> ضارة على عمليات تنظيم الغدد الصماء للهرمونات الستِيرُويدِيّة في البشر </w:t>
      </w:r>
      <w:r w:rsidRPr="0028275F">
        <w:rPr>
          <w:rFonts w:asciiTheme="majorBidi" w:hAnsiTheme="majorBidi" w:cstheme="majorBidi"/>
          <w:szCs w:val="20"/>
          <w:rtl/>
          <w:lang w:eastAsia="zh-TW"/>
        </w:rPr>
        <w:t>(</w:t>
      </w:r>
      <w:r w:rsidRPr="0028275F">
        <w:rPr>
          <w:rFonts w:asciiTheme="majorBidi" w:hAnsiTheme="majorBidi" w:cstheme="majorBidi"/>
          <w:szCs w:val="20"/>
          <w:lang w:eastAsia="zh-TW"/>
        </w:rPr>
        <w:t>Usmani, 2003</w:t>
      </w:r>
      <w:r w:rsidRPr="0028275F">
        <w:rPr>
          <w:rFonts w:asciiTheme="majorBidi" w:hAnsiTheme="majorBidi" w:cstheme="majorBidi"/>
          <w:szCs w:val="20"/>
          <w:rtl/>
          <w:lang w:eastAsia="zh-TW"/>
        </w:rPr>
        <w:t>)</w:t>
      </w:r>
      <w:r w:rsidRPr="00EF0115">
        <w:rPr>
          <w:rFonts w:ascii="Times New Roman" w:hAnsi="Times New Roman" w:cs="Traditional Arabic"/>
          <w:szCs w:val="30"/>
          <w:rtl/>
          <w:lang w:eastAsia="zh-TW"/>
        </w:rPr>
        <w:t xml:space="preserve">، مما قد يُسهم في زيادة حالات السرطان </w:t>
      </w:r>
      <w:r w:rsidRPr="0028275F">
        <w:rPr>
          <w:rFonts w:asciiTheme="majorBidi" w:hAnsiTheme="majorBidi" w:cstheme="majorBidi"/>
          <w:szCs w:val="20"/>
          <w:rtl/>
          <w:lang w:eastAsia="zh-TW"/>
        </w:rPr>
        <w:t>(</w:t>
      </w:r>
      <w:r w:rsidRPr="0028275F">
        <w:rPr>
          <w:rFonts w:asciiTheme="majorBidi" w:hAnsiTheme="majorBidi" w:cstheme="majorBidi"/>
          <w:szCs w:val="20"/>
          <w:lang w:eastAsia="zh-TW"/>
        </w:rPr>
        <w:t>Alavanja, et al., 2002</w:t>
      </w:r>
      <w:r w:rsidRPr="0028275F">
        <w:rPr>
          <w:rFonts w:asciiTheme="majorBidi" w:hAnsiTheme="majorBidi" w:cstheme="majorBidi"/>
          <w:szCs w:val="20"/>
          <w:rtl/>
          <w:lang w:eastAsia="zh-TW"/>
        </w:rPr>
        <w:t xml:space="preserve"> </w:t>
      </w:r>
      <w:r w:rsidRPr="00F13663">
        <w:rPr>
          <w:rFonts w:ascii="Traditional Arabic" w:hAnsi="Traditional Arabic" w:cs="Traditional Arabic" w:hint="cs"/>
          <w:sz w:val="30"/>
          <w:szCs w:val="30"/>
          <w:rtl/>
          <w:lang w:eastAsia="zh-TW"/>
        </w:rPr>
        <w:t>و</w:t>
      </w:r>
      <w:r w:rsidRPr="0028275F">
        <w:rPr>
          <w:rFonts w:asciiTheme="majorBidi" w:hAnsiTheme="majorBidi" w:cstheme="majorBidi"/>
          <w:szCs w:val="20"/>
          <w:lang w:eastAsia="zh-TW"/>
        </w:rPr>
        <w:t>Mahajan et al., 2006</w:t>
      </w:r>
      <w:r w:rsidRPr="00EF0115">
        <w:rPr>
          <w:rFonts w:ascii="Times New Roman" w:hAnsi="Times New Roman" w:cs="Traditional Arabic"/>
          <w:szCs w:val="30"/>
          <w:rtl/>
          <w:lang w:eastAsia="zh-TW"/>
        </w:rPr>
        <w:t xml:space="preserve"> و</w:t>
      </w:r>
      <w:r w:rsidRPr="00EF0115">
        <w:rPr>
          <w:rFonts w:ascii="Times New Roman" w:hAnsi="Times New Roman" w:cs="Traditional Arabic"/>
          <w:szCs w:val="30"/>
          <w:lang w:eastAsia="zh-TW"/>
        </w:rPr>
        <w:t>Koutros et al., 2010</w:t>
      </w:r>
      <w:r w:rsidRPr="0028275F">
        <w:rPr>
          <w:rFonts w:asciiTheme="majorBidi" w:hAnsiTheme="majorBidi" w:cstheme="majorBidi"/>
          <w:szCs w:val="20"/>
          <w:rtl/>
          <w:lang w:eastAsia="zh-TW"/>
        </w:rPr>
        <w:t>)</w:t>
      </w:r>
      <w:r w:rsidRPr="00EF0115">
        <w:rPr>
          <w:rFonts w:ascii="Times New Roman" w:hAnsi="Times New Roman" w:cs="Traditional Arabic"/>
          <w:szCs w:val="30"/>
          <w:rtl/>
          <w:lang w:eastAsia="zh-TW"/>
        </w:rPr>
        <w:t xml:space="preserve"> </w:t>
      </w:r>
      <w:r w:rsidRPr="0028275F">
        <w:rPr>
          <w:rFonts w:asciiTheme="majorBidi" w:hAnsiTheme="majorBidi" w:cstheme="majorBidi"/>
          <w:szCs w:val="20"/>
          <w:rtl/>
          <w:lang w:eastAsia="zh-TW"/>
        </w:rPr>
        <w:t>(</w:t>
      </w:r>
      <w:r w:rsidRPr="0028275F">
        <w:rPr>
          <w:rFonts w:asciiTheme="majorBidi" w:hAnsiTheme="majorBidi" w:cstheme="majorBidi"/>
          <w:szCs w:val="20"/>
          <w:lang w:eastAsia="zh-TW"/>
        </w:rPr>
        <w:t>UNEP/FAO/RC/CRC.13/13</w:t>
      </w:r>
      <w:r w:rsidRPr="00EF0115">
        <w:rPr>
          <w:rFonts w:ascii="Times New Roman" w:hAnsi="Times New Roman" w:cs="Traditional Arabic"/>
          <w:szCs w:val="30"/>
          <w:rtl/>
          <w:lang w:eastAsia="zh-TW"/>
        </w:rPr>
        <w:t>، المرفق، الفرع 2-4-2-1، و</w:t>
      </w:r>
      <w:r w:rsidRPr="0028275F">
        <w:rPr>
          <w:rFonts w:asciiTheme="majorBidi" w:hAnsiTheme="majorBidi" w:cstheme="majorBidi"/>
          <w:szCs w:val="20"/>
          <w:lang w:eastAsia="zh-TW"/>
        </w:rPr>
        <w:t>UNEP/FAO/RC/CRC.13/INF/29</w:t>
      </w:r>
      <w:r w:rsidRPr="0028275F">
        <w:rPr>
          <w:rFonts w:asciiTheme="majorBidi" w:hAnsiTheme="majorBidi" w:cstheme="majorBidi"/>
          <w:szCs w:val="20"/>
          <w:rtl/>
          <w:lang w:eastAsia="zh-TW"/>
        </w:rPr>
        <w:t>)</w:t>
      </w:r>
      <w:r w:rsidRPr="00EF0115">
        <w:rPr>
          <w:rFonts w:ascii="Times New Roman" w:hAnsi="Times New Roman" w:cs="Traditional Arabic"/>
          <w:szCs w:val="30"/>
          <w:rtl/>
          <w:lang w:eastAsia="zh-TW"/>
        </w:rPr>
        <w:t>.</w:t>
      </w:r>
      <w:bookmarkEnd w:id="29"/>
    </w:p>
    <w:p w:rsidR="0056111F" w:rsidRPr="00EF0115" w:rsidRDefault="0056111F" w:rsidP="0056111F">
      <w:pPr>
        <w:numPr>
          <w:ilvl w:val="0"/>
          <w:numId w:val="2"/>
        </w:numPr>
        <w:tabs>
          <w:tab w:val="left" w:pos="1841"/>
          <w:tab w:val="left" w:pos="9070"/>
        </w:tabs>
        <w:snapToGrid w:val="0"/>
        <w:spacing w:after="120" w:line="400" w:lineRule="exact"/>
        <w:ind w:left="1134" w:firstLine="0"/>
        <w:jc w:val="both"/>
        <w:textDirection w:val="tbRlV"/>
        <w:rPr>
          <w:rFonts w:ascii="Times New Roman" w:hAnsi="Times New Roman" w:cs="Traditional Arabic"/>
          <w:snapToGrid w:val="0"/>
          <w:szCs w:val="30"/>
          <w:rtl/>
          <w:lang w:eastAsia="zh-TW"/>
        </w:rPr>
      </w:pPr>
      <w:bookmarkStart w:id="30" w:name="bookmark_470"/>
      <w:r w:rsidRPr="00EF0115">
        <w:rPr>
          <w:rFonts w:ascii="Times New Roman" w:hAnsi="Times New Roman" w:cs="Traditional Arabic"/>
          <w:szCs w:val="30"/>
          <w:rtl/>
          <w:lang w:eastAsia="zh-TW"/>
        </w:rPr>
        <w:t xml:space="preserve">وأظهرت عدة دراسات حللتها البرازيل </w:t>
      </w:r>
      <w:r>
        <w:rPr>
          <w:rFonts w:ascii="Times New Roman" w:hAnsi="Times New Roman" w:cs="Traditional Arabic"/>
          <w:szCs w:val="30"/>
          <w:rtl/>
          <w:lang w:eastAsia="zh-TW"/>
        </w:rPr>
        <w:t>أيضاً</w:t>
      </w:r>
      <w:r w:rsidRPr="00EF0115">
        <w:rPr>
          <w:rFonts w:ascii="Times New Roman" w:hAnsi="Times New Roman" w:cs="Traditional Arabic"/>
          <w:szCs w:val="30"/>
          <w:rtl/>
          <w:lang w:eastAsia="zh-TW"/>
        </w:rPr>
        <w:t xml:space="preserve"> أن العمال الزراعيين المعرضين للفوريت كانوا ضحايا حالات التسمم والوفيات بسبب الخصائص السمية للمكون</w:t>
      </w:r>
      <w:r w:rsidRPr="00EF0115">
        <w:rPr>
          <w:rFonts w:ascii="Times New Roman" w:hAnsi="Times New Roman" w:cs="Traditional Arabic"/>
          <w:szCs w:val="30"/>
          <w:lang w:eastAsia="zh-TW"/>
        </w:rPr>
        <w:t xml:space="preserve"> </w:t>
      </w:r>
      <w:r w:rsidRPr="00EF0115">
        <w:rPr>
          <w:rFonts w:ascii="Times New Roman" w:hAnsi="Times New Roman" w:cs="Traditional Arabic"/>
          <w:szCs w:val="30"/>
          <w:rtl/>
          <w:lang w:eastAsia="zh-TW"/>
        </w:rPr>
        <w:t xml:space="preserve">النشط. وتزداد خطورة التعرض بسبب الصعوبات الناجمة عن عدم توافر معدات الوقاية الشخصية أو عدم كفاءتها </w:t>
      </w:r>
      <w:r w:rsidRPr="0028275F">
        <w:rPr>
          <w:rFonts w:asciiTheme="majorBidi" w:hAnsiTheme="majorBidi" w:cstheme="majorBidi"/>
          <w:szCs w:val="20"/>
          <w:rtl/>
          <w:lang w:eastAsia="zh-TW"/>
        </w:rPr>
        <w:t>(</w:t>
      </w:r>
      <w:r w:rsidRPr="00EF0115">
        <w:rPr>
          <w:rFonts w:ascii="Times New Roman" w:hAnsi="Times New Roman" w:cs="Traditional Arabic"/>
          <w:szCs w:val="30"/>
          <w:lang w:eastAsia="zh-TW"/>
        </w:rPr>
        <w:t>UNEP/FAO/RC/CRC.13/13</w:t>
      </w:r>
      <w:r w:rsidRPr="00EF0115">
        <w:rPr>
          <w:rFonts w:ascii="Times New Roman" w:hAnsi="Times New Roman" w:cs="Traditional Arabic"/>
          <w:szCs w:val="30"/>
          <w:rtl/>
          <w:lang w:eastAsia="zh-TW"/>
        </w:rPr>
        <w:t>، المرفق، الفرع 2-4-2-1؛ و</w:t>
      </w:r>
      <w:r w:rsidRPr="00EF0115">
        <w:rPr>
          <w:rFonts w:ascii="Times New Roman" w:hAnsi="Times New Roman" w:cs="Traditional Arabic"/>
          <w:szCs w:val="30"/>
          <w:lang w:eastAsia="zh-TW"/>
        </w:rPr>
        <w:t>UNEP/FAO/RC/CRC.13/INF/29</w:t>
      </w:r>
      <w:r w:rsidRPr="00EF0115">
        <w:rPr>
          <w:rFonts w:ascii="Times New Roman" w:hAnsi="Times New Roman" w:cs="Traditional Arabic"/>
          <w:szCs w:val="30"/>
          <w:rtl/>
          <w:lang w:eastAsia="zh-TW"/>
        </w:rPr>
        <w:t>، الصفحة 21</w:t>
      </w:r>
      <w:r w:rsidRPr="0028275F">
        <w:rPr>
          <w:rFonts w:asciiTheme="majorBidi" w:hAnsiTheme="majorBidi" w:cstheme="majorBidi"/>
          <w:szCs w:val="20"/>
          <w:rtl/>
          <w:lang w:eastAsia="zh-TW"/>
        </w:rPr>
        <w:t>)</w:t>
      </w:r>
      <w:r w:rsidRPr="00EF0115">
        <w:rPr>
          <w:rFonts w:ascii="Times New Roman" w:hAnsi="Times New Roman" w:cs="Traditional Arabic"/>
          <w:szCs w:val="30"/>
          <w:rtl/>
          <w:lang w:eastAsia="zh-TW"/>
        </w:rPr>
        <w:t>.</w:t>
      </w:r>
      <w:bookmarkEnd w:id="30"/>
    </w:p>
    <w:p w:rsidR="0056111F" w:rsidRPr="00EF0115" w:rsidRDefault="0056111F" w:rsidP="0056111F">
      <w:pPr>
        <w:numPr>
          <w:ilvl w:val="0"/>
          <w:numId w:val="2"/>
        </w:numPr>
        <w:tabs>
          <w:tab w:val="left" w:pos="1841"/>
          <w:tab w:val="left" w:pos="9070"/>
        </w:tabs>
        <w:snapToGrid w:val="0"/>
        <w:spacing w:after="120" w:line="400" w:lineRule="exact"/>
        <w:ind w:left="1134" w:firstLine="0"/>
        <w:jc w:val="both"/>
        <w:textDirection w:val="tbRlV"/>
        <w:rPr>
          <w:rFonts w:ascii="Times New Roman" w:hAnsi="Times New Roman" w:cs="Traditional Arabic"/>
          <w:snapToGrid w:val="0"/>
          <w:szCs w:val="30"/>
          <w:rtl/>
          <w:lang w:eastAsia="zh-TW"/>
        </w:rPr>
      </w:pPr>
      <w:bookmarkStart w:id="31" w:name="bookmark_471"/>
      <w:r w:rsidRPr="00EF0115">
        <w:rPr>
          <w:rFonts w:ascii="Times New Roman" w:hAnsi="Times New Roman" w:cs="Traditional Arabic"/>
          <w:szCs w:val="30"/>
          <w:rtl/>
          <w:lang w:eastAsia="zh-TW"/>
        </w:rPr>
        <w:t xml:space="preserve">ومن المنظور البرازيلي، ثمة دراسة شاملة عن ظروف استخدام مبيدات الآفات، أجراها وايشمان </w:t>
      </w:r>
      <w:r w:rsidRPr="003C27AD">
        <w:rPr>
          <w:rFonts w:asciiTheme="majorBidi" w:hAnsiTheme="majorBidi" w:cstheme="majorBidi"/>
          <w:szCs w:val="20"/>
          <w:rtl/>
          <w:lang w:eastAsia="zh-TW"/>
        </w:rPr>
        <w:t>(Waichman)</w:t>
      </w:r>
      <w:r w:rsidRPr="00EF0115">
        <w:rPr>
          <w:rFonts w:ascii="Times New Roman" w:hAnsi="Times New Roman" w:cs="Traditional Arabic"/>
          <w:szCs w:val="30"/>
          <w:rtl/>
          <w:lang w:eastAsia="zh-TW"/>
        </w:rPr>
        <w:t xml:space="preserve"> في عام ٠٠٨ ٢ في بلديات ولاية الأمازون البرازيلي (مناوس،</w:t>
      </w:r>
      <w:r w:rsidRPr="00EF0115">
        <w:rPr>
          <w:rFonts w:ascii="Times New Roman" w:hAnsi="Times New Roman" w:cs="Traditional Arabic"/>
          <w:szCs w:val="30"/>
          <w:lang w:eastAsia="zh-TW"/>
        </w:rPr>
        <w:t xml:space="preserve"> </w:t>
      </w:r>
      <w:r w:rsidRPr="00EF0115">
        <w:rPr>
          <w:rFonts w:ascii="Times New Roman" w:hAnsi="Times New Roman" w:cs="Traditional Arabic"/>
          <w:szCs w:val="30"/>
          <w:rtl/>
          <w:lang w:eastAsia="zh-TW"/>
        </w:rPr>
        <w:t>وإيرندوبا،</w:t>
      </w:r>
      <w:r w:rsidRPr="00EF0115">
        <w:rPr>
          <w:rFonts w:ascii="Times New Roman" w:hAnsi="Times New Roman" w:cs="Traditional Arabic"/>
          <w:szCs w:val="30"/>
          <w:lang w:eastAsia="zh-TW"/>
        </w:rPr>
        <w:t xml:space="preserve"> </w:t>
      </w:r>
      <w:r w:rsidRPr="00EF0115">
        <w:rPr>
          <w:rFonts w:ascii="Times New Roman" w:hAnsi="Times New Roman" w:cs="Traditional Arabic"/>
          <w:szCs w:val="30"/>
          <w:rtl/>
          <w:lang w:eastAsia="zh-TW"/>
        </w:rPr>
        <w:t>وكاريرو</w:t>
      </w:r>
      <w:r w:rsidRPr="00EF0115">
        <w:rPr>
          <w:rFonts w:ascii="Times New Roman" w:hAnsi="Times New Roman" w:cs="Traditional Arabic"/>
          <w:szCs w:val="30"/>
          <w:lang w:eastAsia="zh-TW"/>
        </w:rPr>
        <w:t xml:space="preserve"> </w:t>
      </w:r>
      <w:r w:rsidRPr="00EF0115">
        <w:rPr>
          <w:rFonts w:ascii="Times New Roman" w:hAnsi="Times New Roman" w:cs="Traditional Arabic"/>
          <w:szCs w:val="30"/>
          <w:rtl/>
          <w:lang w:eastAsia="zh-TW"/>
        </w:rPr>
        <w:t>دا</w:t>
      </w:r>
      <w:r w:rsidRPr="00EF0115">
        <w:rPr>
          <w:rFonts w:ascii="Times New Roman" w:hAnsi="Times New Roman" w:cs="Traditional Arabic"/>
          <w:szCs w:val="30"/>
          <w:lang w:eastAsia="zh-TW"/>
        </w:rPr>
        <w:t xml:space="preserve"> </w:t>
      </w:r>
      <w:r w:rsidRPr="00EF0115">
        <w:rPr>
          <w:rFonts w:ascii="Times New Roman" w:hAnsi="Times New Roman" w:cs="Traditional Arabic"/>
          <w:szCs w:val="30"/>
          <w:rtl/>
          <w:lang w:eastAsia="zh-TW"/>
        </w:rPr>
        <w:t>فارسيا،</w:t>
      </w:r>
      <w:r w:rsidRPr="00EF0115">
        <w:rPr>
          <w:rFonts w:ascii="Times New Roman" w:hAnsi="Times New Roman" w:cs="Traditional Arabic"/>
          <w:szCs w:val="30"/>
          <w:lang w:eastAsia="zh-TW"/>
        </w:rPr>
        <w:t xml:space="preserve"> </w:t>
      </w:r>
      <w:r w:rsidRPr="00EF0115">
        <w:rPr>
          <w:rFonts w:ascii="Times New Roman" w:hAnsi="Times New Roman" w:cs="Traditional Arabic"/>
          <w:szCs w:val="30"/>
          <w:rtl/>
          <w:lang w:eastAsia="zh-TW"/>
        </w:rPr>
        <w:t>وماناكابورو). وقد خلصت الدراسة إلى أن المزارعين لم يكونوا مستعدين لاستخدام مبيدات الآفات استخداما</w:t>
      </w:r>
      <w:r>
        <w:rPr>
          <w:rFonts w:ascii="Times New Roman" w:hAnsi="Times New Roman" w:cs="Traditional Arabic" w:hint="cs"/>
          <w:szCs w:val="30"/>
          <w:rtl/>
          <w:lang w:eastAsia="zh-TW"/>
        </w:rPr>
        <w:t>ً</w:t>
      </w:r>
      <w:r w:rsidRPr="00EF0115">
        <w:rPr>
          <w:rFonts w:ascii="Times New Roman" w:hAnsi="Times New Roman" w:cs="Traditional Arabic"/>
          <w:szCs w:val="30"/>
          <w:rtl/>
          <w:lang w:eastAsia="zh-TW"/>
        </w:rPr>
        <w:t xml:space="preserve"> رشيدا</w:t>
      </w:r>
      <w:r>
        <w:rPr>
          <w:rFonts w:ascii="Times New Roman" w:hAnsi="Times New Roman" w:cs="Traditional Arabic" w:hint="cs"/>
          <w:szCs w:val="30"/>
          <w:rtl/>
          <w:lang w:eastAsia="zh-TW"/>
        </w:rPr>
        <w:t>ً</w:t>
      </w:r>
      <w:r w:rsidRPr="00EF0115">
        <w:rPr>
          <w:rFonts w:ascii="Times New Roman" w:hAnsi="Times New Roman" w:cs="Traditional Arabic"/>
          <w:szCs w:val="30"/>
          <w:rtl/>
          <w:lang w:eastAsia="zh-TW"/>
        </w:rPr>
        <w:t xml:space="preserve">، حيث يتجاهلون مخاطر هذه المنتجات على صحة البشر والبيئة. ولا تُستخدم معدات الحماية </w:t>
      </w:r>
      <w:r w:rsidRPr="00EF0115">
        <w:rPr>
          <w:rFonts w:ascii="Times New Roman" w:hAnsi="Times New Roman" w:cs="Traditional Arabic"/>
          <w:szCs w:val="30"/>
          <w:rtl/>
          <w:lang w:eastAsia="zh-TW"/>
        </w:rPr>
        <w:lastRenderedPageBreak/>
        <w:t>الشخصية لأنها باهظة الثمن وغير مريحة وغير ملائمة للمناخ الحار في المنطقة. وتُسهم قلة التدريب وقلة الاطلاع على مخاطر مبيدات الآفات في تناول هذه المبيدات بشكل غير صحيح أثناء تحضيرها واستخدامها والتخلص من العبوات الفارغة. ويشتد في ظل هذه الظروف تعرض المزارعين وأسرهم والمستهلكين والبيئة.</w:t>
      </w:r>
      <w:bookmarkEnd w:id="31"/>
    </w:p>
    <w:p w:rsidR="0056111F" w:rsidRPr="00EF0115" w:rsidRDefault="0056111F" w:rsidP="0056111F">
      <w:pPr>
        <w:numPr>
          <w:ilvl w:val="0"/>
          <w:numId w:val="2"/>
        </w:numPr>
        <w:tabs>
          <w:tab w:val="left" w:pos="1841"/>
          <w:tab w:val="left" w:pos="9070"/>
        </w:tabs>
        <w:snapToGrid w:val="0"/>
        <w:spacing w:after="120" w:line="400" w:lineRule="exact"/>
        <w:ind w:left="1134" w:firstLine="0"/>
        <w:jc w:val="both"/>
        <w:textDirection w:val="tbRlV"/>
        <w:rPr>
          <w:rFonts w:ascii="Times New Roman" w:hAnsi="Times New Roman" w:cs="Traditional Arabic"/>
          <w:snapToGrid w:val="0"/>
          <w:szCs w:val="30"/>
          <w:rtl/>
          <w:lang w:eastAsia="zh-TW"/>
        </w:rPr>
      </w:pPr>
      <w:bookmarkStart w:id="32" w:name="bookmark_472"/>
      <w:r w:rsidRPr="00EF0115">
        <w:rPr>
          <w:rFonts w:ascii="Times New Roman" w:hAnsi="Times New Roman" w:cs="Traditional Arabic"/>
          <w:szCs w:val="30"/>
          <w:rtl/>
          <w:lang w:eastAsia="zh-TW"/>
        </w:rPr>
        <w:t>وقد لاحظت اللجنة أن ’’القانون البرازيلي ينص على إمكانية إلغاء تسجيل مبيدات الآفات في البلد عندما تنطبق عليها الشروط التالية المتصلة بصحة البشر: عندما لا يتوافر ترياق أو علاج ناجع لها في البرازيل؛ أو إذا تبين أنها تسبب التشوّهات الجنينية أو الطفرات الوراثية أو السرطان؛ أو إذا سببت اضطرابات هرمونية أو إلحاق الضرر بالجهاز التناسلي أو إذا كانت تشكل خطرا</w:t>
      </w:r>
      <w:r>
        <w:rPr>
          <w:rFonts w:ascii="Times New Roman" w:hAnsi="Times New Roman" w:cs="Traditional Arabic" w:hint="cs"/>
          <w:szCs w:val="30"/>
          <w:rtl/>
          <w:lang w:eastAsia="zh-TW"/>
        </w:rPr>
        <w:t>ً</w:t>
      </w:r>
      <w:r w:rsidRPr="00EF0115">
        <w:rPr>
          <w:rFonts w:ascii="Times New Roman" w:hAnsi="Times New Roman" w:cs="Traditional Arabic"/>
          <w:szCs w:val="30"/>
          <w:rtl/>
          <w:lang w:eastAsia="zh-TW"/>
        </w:rPr>
        <w:t xml:space="preserve"> للبشر أكبر مما أثبتته التجارب على الحيوانات المخبرية </w:t>
      </w:r>
      <w:r w:rsidRPr="009421F7">
        <w:rPr>
          <w:rFonts w:asciiTheme="majorBidi" w:hAnsiTheme="majorBidi" w:cstheme="majorBidi"/>
          <w:szCs w:val="20"/>
          <w:rtl/>
          <w:lang w:eastAsia="zh-TW"/>
        </w:rPr>
        <w:t>(</w:t>
      </w:r>
      <w:r w:rsidRPr="009421F7">
        <w:rPr>
          <w:rFonts w:asciiTheme="majorBidi" w:hAnsiTheme="majorBidi" w:cstheme="majorBidi"/>
          <w:szCs w:val="20"/>
          <w:lang w:eastAsia="zh-TW"/>
        </w:rPr>
        <w:t>UNEP/FAO/RC/CRC.13/1</w:t>
      </w:r>
      <w:r w:rsidRPr="00EF0115">
        <w:rPr>
          <w:rFonts w:ascii="Times New Roman" w:hAnsi="Times New Roman" w:cs="Traditional Arabic"/>
          <w:szCs w:val="30"/>
          <w:lang w:eastAsia="zh-TW"/>
        </w:rPr>
        <w:t>3</w:t>
      </w:r>
      <w:r w:rsidRPr="00EF0115">
        <w:rPr>
          <w:rFonts w:ascii="Times New Roman" w:hAnsi="Times New Roman" w:cs="Traditional Arabic"/>
          <w:szCs w:val="30"/>
          <w:rtl/>
          <w:lang w:eastAsia="zh-TW"/>
        </w:rPr>
        <w:t>، المرفق، الفرع 2-4-2-1).</w:t>
      </w:r>
      <w:bookmarkEnd w:id="32"/>
    </w:p>
    <w:p w:rsidR="0056111F" w:rsidRPr="00EF0115" w:rsidRDefault="0056111F" w:rsidP="0056111F">
      <w:pPr>
        <w:numPr>
          <w:ilvl w:val="0"/>
          <w:numId w:val="2"/>
        </w:numPr>
        <w:tabs>
          <w:tab w:val="left" w:pos="1841"/>
          <w:tab w:val="left" w:pos="9070"/>
        </w:tabs>
        <w:snapToGrid w:val="0"/>
        <w:spacing w:after="120" w:line="400" w:lineRule="exact"/>
        <w:ind w:left="1134" w:firstLine="0"/>
        <w:jc w:val="both"/>
        <w:textDirection w:val="tbRlV"/>
        <w:rPr>
          <w:rFonts w:ascii="Times New Roman" w:hAnsi="Times New Roman" w:cs="Traditional Arabic"/>
          <w:snapToGrid w:val="0"/>
          <w:szCs w:val="30"/>
          <w:rtl/>
          <w:lang w:eastAsia="zh-TW"/>
        </w:rPr>
      </w:pPr>
      <w:bookmarkStart w:id="33" w:name="bookmark_473"/>
      <w:r w:rsidRPr="00EF0115">
        <w:rPr>
          <w:rFonts w:ascii="Times New Roman" w:hAnsi="Times New Roman" w:cs="Traditional Arabic"/>
          <w:szCs w:val="30"/>
          <w:rtl/>
          <w:lang w:eastAsia="zh-TW"/>
        </w:rPr>
        <w:t xml:space="preserve">وأدت إعادة تقييم السمية التي أجرتها البرازيل إلى استنتاج مفاده أنه، بالنظر إلى جميع الآثار السمية للفوريت كمكون نشط وبالنظر إلى خصائصه، فقد وُجد أن سُميته أشد لدى البشر منها لدى الحيوانات. ولذلك يجب حظر استخدام الفوريت كمكون نشط في البرازيل من أجل حماية صحة العمال المعرضين والمستهلكين والسكان بوجه عام </w:t>
      </w:r>
      <w:r w:rsidRPr="009421F7">
        <w:rPr>
          <w:rFonts w:asciiTheme="majorBidi" w:hAnsiTheme="majorBidi" w:cstheme="majorBidi"/>
          <w:szCs w:val="20"/>
          <w:rtl/>
          <w:lang w:eastAsia="zh-TW"/>
        </w:rPr>
        <w:t>(</w:t>
      </w:r>
      <w:r w:rsidRPr="00EF0115">
        <w:rPr>
          <w:rFonts w:ascii="Times New Roman" w:hAnsi="Times New Roman" w:cs="Traditional Arabic"/>
          <w:szCs w:val="30"/>
          <w:lang w:eastAsia="zh-TW"/>
        </w:rPr>
        <w:t>UNEP/FAO/RC/CRC.13/13</w:t>
      </w:r>
      <w:r w:rsidRPr="00EF0115">
        <w:rPr>
          <w:rFonts w:ascii="Times New Roman" w:hAnsi="Times New Roman" w:cs="Traditional Arabic"/>
          <w:szCs w:val="30"/>
          <w:rtl/>
          <w:lang w:eastAsia="zh-TW"/>
        </w:rPr>
        <w:t>، المرفق، الفرع 2-4-2-1).</w:t>
      </w:r>
      <w:bookmarkEnd w:id="33"/>
    </w:p>
    <w:p w:rsidR="0056111F" w:rsidRPr="00EF0115" w:rsidRDefault="0056111F" w:rsidP="0056111F">
      <w:pPr>
        <w:numPr>
          <w:ilvl w:val="0"/>
          <w:numId w:val="2"/>
        </w:numPr>
        <w:tabs>
          <w:tab w:val="left" w:pos="1841"/>
          <w:tab w:val="left" w:pos="9070"/>
        </w:tabs>
        <w:snapToGrid w:val="0"/>
        <w:spacing w:after="120" w:line="400" w:lineRule="exact"/>
        <w:ind w:left="1134" w:firstLine="0"/>
        <w:jc w:val="both"/>
        <w:textDirection w:val="tbRlV"/>
        <w:rPr>
          <w:rFonts w:ascii="Times New Roman" w:hAnsi="Times New Roman" w:cs="Traditional Arabic"/>
          <w:snapToGrid w:val="0"/>
          <w:szCs w:val="30"/>
          <w:rtl/>
          <w:lang w:eastAsia="zh-TW"/>
        </w:rPr>
      </w:pPr>
      <w:bookmarkStart w:id="34" w:name="bookmark_474"/>
      <w:r w:rsidRPr="00EF0115">
        <w:rPr>
          <w:rFonts w:ascii="Times New Roman" w:hAnsi="Times New Roman" w:cs="Traditional Arabic"/>
          <w:szCs w:val="30"/>
          <w:rtl/>
          <w:lang w:eastAsia="zh-TW"/>
        </w:rPr>
        <w:t xml:space="preserve">وبعد تحليل الإخطار بالإجراء التنظيمي النهائي </w:t>
      </w:r>
      <w:r w:rsidRPr="009421F7">
        <w:rPr>
          <w:rFonts w:asciiTheme="majorBidi" w:hAnsiTheme="majorBidi" w:cstheme="majorBidi"/>
          <w:szCs w:val="20"/>
          <w:rtl/>
          <w:lang w:eastAsia="zh-TW"/>
        </w:rPr>
        <w:t>(</w:t>
      </w:r>
      <w:r w:rsidRPr="009421F7">
        <w:rPr>
          <w:rFonts w:asciiTheme="majorBidi" w:hAnsiTheme="majorBidi" w:cstheme="majorBidi"/>
          <w:szCs w:val="20"/>
          <w:lang w:eastAsia="zh-TW"/>
        </w:rPr>
        <w:t>UNEP/FAO/RC/CRC.13/13</w:t>
      </w:r>
      <w:r w:rsidRPr="00EF0115">
        <w:rPr>
          <w:rFonts w:ascii="Times New Roman" w:hAnsi="Times New Roman" w:cs="Traditional Arabic"/>
          <w:szCs w:val="30"/>
          <w:rtl/>
          <w:lang w:eastAsia="zh-TW"/>
        </w:rPr>
        <w:t xml:space="preserve">، المرفق، الفرع 2-4-2)، والوثائق الداعمة التي قدمتها البرازيل </w:t>
      </w:r>
      <w:r w:rsidRPr="0028275F">
        <w:rPr>
          <w:rFonts w:asciiTheme="majorBidi" w:hAnsiTheme="majorBidi" w:cstheme="majorBidi"/>
          <w:szCs w:val="20"/>
          <w:rtl/>
          <w:lang w:eastAsia="zh-TW"/>
        </w:rPr>
        <w:t>(</w:t>
      </w:r>
      <w:r w:rsidRPr="0028275F">
        <w:rPr>
          <w:rFonts w:asciiTheme="majorBidi" w:hAnsiTheme="majorBidi" w:cstheme="majorBidi"/>
          <w:szCs w:val="20"/>
          <w:lang w:eastAsia="zh-TW"/>
        </w:rPr>
        <w:t>UNEP/FAO/RC/CRC.13/INF/29</w:t>
      </w:r>
      <w:r w:rsidRPr="0028275F">
        <w:rPr>
          <w:rFonts w:asciiTheme="majorBidi" w:hAnsiTheme="majorBidi" w:cstheme="majorBidi"/>
          <w:szCs w:val="20"/>
          <w:rtl/>
          <w:lang w:eastAsia="zh-TW"/>
        </w:rPr>
        <w:t>)</w:t>
      </w:r>
      <w:r w:rsidRPr="00EF0115">
        <w:rPr>
          <w:rFonts w:ascii="Times New Roman" w:hAnsi="Times New Roman" w:cs="Traditional Arabic"/>
          <w:szCs w:val="30"/>
          <w:rtl/>
          <w:lang w:eastAsia="zh-TW"/>
        </w:rPr>
        <w:t>، تؤكد اللجنة أن الإجراء التنظيمي اتُّخذ لحماية صحة البشر.</w:t>
      </w:r>
      <w:bookmarkEnd w:id="34"/>
    </w:p>
    <w:p w:rsidR="0056111F" w:rsidRPr="00EF0115" w:rsidRDefault="0056111F" w:rsidP="0056111F">
      <w:pPr>
        <w:numPr>
          <w:ilvl w:val="0"/>
          <w:numId w:val="2"/>
        </w:numPr>
        <w:tabs>
          <w:tab w:val="left" w:pos="1841"/>
          <w:tab w:val="left" w:pos="9070"/>
        </w:tabs>
        <w:snapToGrid w:val="0"/>
        <w:spacing w:after="120" w:line="400" w:lineRule="exact"/>
        <w:ind w:left="1134" w:firstLine="0"/>
        <w:jc w:val="both"/>
        <w:textDirection w:val="tbRlV"/>
        <w:rPr>
          <w:rFonts w:ascii="Times New Roman" w:hAnsi="Times New Roman" w:cs="Traditional Arabic"/>
          <w:snapToGrid w:val="0"/>
          <w:szCs w:val="30"/>
          <w:rtl/>
          <w:lang w:eastAsia="zh-TW"/>
        </w:rPr>
      </w:pPr>
      <w:bookmarkStart w:id="35" w:name="bookmark_475"/>
      <w:r w:rsidRPr="00EF0115">
        <w:rPr>
          <w:rFonts w:ascii="Times New Roman" w:hAnsi="Times New Roman" w:cs="Traditional Arabic"/>
          <w:szCs w:val="30"/>
          <w:rtl/>
          <w:lang w:eastAsia="zh-TW"/>
        </w:rPr>
        <w:t>وعليه تؤكّد اللجنة أن المعيار الوارد في الفقرة (أ) قد استُوفي.</w:t>
      </w:r>
      <w:bookmarkEnd w:id="35"/>
    </w:p>
    <w:p w:rsidR="0056111F" w:rsidRPr="005B4476" w:rsidRDefault="0056111F" w:rsidP="0056111F">
      <w:pPr>
        <w:pStyle w:val="CH1"/>
        <w:tabs>
          <w:tab w:val="clear" w:pos="851"/>
          <w:tab w:val="clear" w:pos="1247"/>
          <w:tab w:val="clear" w:pos="1814"/>
          <w:tab w:val="clear" w:pos="2381"/>
          <w:tab w:val="clear" w:pos="2948"/>
          <w:tab w:val="clear" w:pos="3515"/>
          <w:tab w:val="clear" w:pos="4082"/>
        </w:tabs>
        <w:bidi/>
        <w:spacing w:before="0" w:line="400" w:lineRule="exact"/>
        <w:ind w:left="1134" w:right="0" w:hanging="852"/>
        <w:jc w:val="both"/>
        <w:textDirection w:val="tbRlV"/>
        <w:rPr>
          <w:rFonts w:cs="Traditional Arabic"/>
          <w:bCs/>
          <w:szCs w:val="30"/>
          <w:rtl/>
          <w:lang w:eastAsia="zh-TW"/>
        </w:rPr>
      </w:pPr>
      <w:bookmarkStart w:id="36" w:name="bookmark_476"/>
      <w:r w:rsidRPr="005B4476">
        <w:rPr>
          <w:rFonts w:cs="Traditional Arabic"/>
          <w:bCs/>
          <w:szCs w:val="30"/>
          <w:rtl/>
          <w:lang w:eastAsia="zh-TW"/>
        </w:rPr>
        <w:t>(ج)</w:t>
      </w:r>
      <w:r w:rsidRPr="005B4476">
        <w:rPr>
          <w:rFonts w:cs="Traditional Arabic"/>
          <w:bCs/>
          <w:szCs w:val="30"/>
          <w:rtl/>
          <w:lang w:eastAsia="zh-TW"/>
        </w:rPr>
        <w:tab/>
        <w:t xml:space="preserve">المعايير </w:t>
      </w:r>
      <w:r w:rsidRPr="0085112A">
        <w:rPr>
          <w:rFonts w:cs="Traditional Arabic"/>
          <w:bCs/>
          <w:sz w:val="30"/>
          <w:szCs w:val="30"/>
          <w:rtl/>
          <w:lang w:eastAsia="zh-TW"/>
        </w:rPr>
        <w:t>الواردة</w:t>
      </w:r>
      <w:r w:rsidRPr="005B4476">
        <w:rPr>
          <w:rFonts w:cs="Traditional Arabic"/>
          <w:bCs/>
          <w:szCs w:val="30"/>
          <w:rtl/>
          <w:lang w:eastAsia="zh-TW"/>
        </w:rPr>
        <w:t xml:space="preserve"> في الفقرة (ب) من المرفق الثاني</w:t>
      </w:r>
      <w:bookmarkEnd w:id="36"/>
    </w:p>
    <w:p w:rsidR="0056111F" w:rsidRPr="00012EA5" w:rsidRDefault="0056111F" w:rsidP="0056111F">
      <w:pPr>
        <w:pStyle w:val="Normalnumber"/>
        <w:numPr>
          <w:ilvl w:val="0"/>
          <w:numId w:val="0"/>
        </w:numPr>
        <w:tabs>
          <w:tab w:val="clear" w:pos="624"/>
          <w:tab w:val="left" w:pos="2408"/>
        </w:tabs>
        <w:bidi/>
        <w:spacing w:after="0" w:line="400" w:lineRule="exact"/>
        <w:ind w:left="1134" w:firstLine="709"/>
        <w:jc w:val="both"/>
        <w:textDirection w:val="tbRlV"/>
        <w:rPr>
          <w:rFonts w:cs="Traditional Arabic"/>
          <w:i/>
          <w:iCs/>
          <w:szCs w:val="30"/>
          <w:rtl/>
          <w:lang w:eastAsia="zh-TW"/>
        </w:rPr>
      </w:pPr>
      <w:bookmarkStart w:id="37" w:name="bookmark_477"/>
      <w:r w:rsidRPr="00012EA5">
        <w:rPr>
          <w:rFonts w:cs="Traditional Arabic"/>
          <w:i/>
          <w:iCs/>
          <w:szCs w:val="30"/>
          <w:rtl/>
          <w:lang w:eastAsia="zh-TW"/>
        </w:rPr>
        <w:t>(ب)</w:t>
      </w:r>
      <w:r w:rsidRPr="00012EA5">
        <w:rPr>
          <w:rFonts w:cs="Traditional Arabic"/>
          <w:i/>
          <w:iCs/>
          <w:szCs w:val="30"/>
          <w:rtl/>
          <w:lang w:eastAsia="zh-TW"/>
        </w:rPr>
        <w:tab/>
        <w:t>التأكُّد من أن الإجراء التنظيمي النهائي قد اتخذ نتيجة تقييم للمخاطر. وأن ذلك التقييم يستند إلى استعراض للبيانات العلمية في إطار الظروف السائدة في الطرف المعني. ولهذا الغرض، تبيّن الوثائق المقدّمة ما يلي:</w:t>
      </w:r>
      <w:bookmarkEnd w:id="37"/>
    </w:p>
    <w:p w:rsidR="0056111F" w:rsidRPr="0049078E" w:rsidRDefault="0056111F" w:rsidP="0056111F">
      <w:pPr>
        <w:pStyle w:val="Normalnumber"/>
        <w:numPr>
          <w:ilvl w:val="0"/>
          <w:numId w:val="0"/>
        </w:numPr>
        <w:tabs>
          <w:tab w:val="clear" w:pos="624"/>
          <w:tab w:val="left" w:pos="3542"/>
        </w:tabs>
        <w:bidi/>
        <w:spacing w:line="400" w:lineRule="exact"/>
        <w:ind w:left="2975" w:hanging="567"/>
        <w:jc w:val="both"/>
        <w:textDirection w:val="tbRlV"/>
        <w:rPr>
          <w:rFonts w:cs="Traditional Arabic"/>
          <w:i/>
          <w:iCs/>
          <w:szCs w:val="30"/>
          <w:rtl/>
          <w:lang w:eastAsia="zh-TW"/>
        </w:rPr>
      </w:pPr>
      <w:bookmarkStart w:id="38" w:name="bookmark_478"/>
      <w:r w:rsidRPr="0049078E">
        <w:rPr>
          <w:rFonts w:cs="Traditional Arabic"/>
          <w:i/>
          <w:iCs/>
          <w:szCs w:val="30"/>
          <w:rtl/>
          <w:lang w:eastAsia="zh-TW"/>
        </w:rPr>
        <w:t>’١‘</w:t>
      </w:r>
      <w:r w:rsidRPr="0049078E">
        <w:rPr>
          <w:rFonts w:cs="Traditional Arabic"/>
          <w:i/>
          <w:iCs/>
          <w:szCs w:val="30"/>
          <w:rtl/>
          <w:lang w:eastAsia="zh-TW"/>
        </w:rPr>
        <w:tab/>
        <w:t>أن البيانات استُخلصت وفقاً للأساليب المتعارف عليها علمياً؛</w:t>
      </w:r>
      <w:bookmarkEnd w:id="38"/>
    </w:p>
    <w:p w:rsidR="0056111F" w:rsidRPr="0049078E" w:rsidRDefault="0056111F" w:rsidP="0056111F">
      <w:pPr>
        <w:pStyle w:val="Normalnumber"/>
        <w:numPr>
          <w:ilvl w:val="0"/>
          <w:numId w:val="0"/>
        </w:numPr>
        <w:tabs>
          <w:tab w:val="clear" w:pos="624"/>
          <w:tab w:val="left" w:pos="3542"/>
        </w:tabs>
        <w:bidi/>
        <w:spacing w:line="400" w:lineRule="exact"/>
        <w:ind w:left="2975" w:hanging="567"/>
        <w:jc w:val="both"/>
        <w:textDirection w:val="tbRlV"/>
        <w:rPr>
          <w:rFonts w:cs="Traditional Arabic"/>
          <w:i/>
          <w:iCs/>
          <w:szCs w:val="30"/>
          <w:rtl/>
          <w:lang w:eastAsia="zh-TW"/>
        </w:rPr>
      </w:pPr>
      <w:bookmarkStart w:id="39" w:name="bookmark_479"/>
      <w:r w:rsidRPr="0049078E">
        <w:rPr>
          <w:rFonts w:cs="Traditional Arabic"/>
          <w:i/>
          <w:iCs/>
          <w:szCs w:val="30"/>
          <w:rtl/>
          <w:lang w:eastAsia="zh-TW"/>
        </w:rPr>
        <w:t>’٢‘</w:t>
      </w:r>
      <w:r w:rsidRPr="0049078E">
        <w:rPr>
          <w:rFonts w:cs="Traditional Arabic"/>
          <w:i/>
          <w:iCs/>
          <w:szCs w:val="30"/>
          <w:rtl/>
          <w:lang w:eastAsia="zh-TW"/>
        </w:rPr>
        <w:tab/>
        <w:t>أن استعراض البيانات أُجري وتم وتوثيقه وفقاً للمبادئ والإجراءات العلمية المتعارف عليها عموما</w:t>
      </w:r>
      <w:r>
        <w:rPr>
          <w:rFonts w:cs="Traditional Arabic" w:hint="cs"/>
          <w:i/>
          <w:iCs/>
          <w:szCs w:val="30"/>
          <w:rtl/>
          <w:lang w:eastAsia="zh-TW"/>
        </w:rPr>
        <w:t>ً</w:t>
      </w:r>
      <w:r w:rsidRPr="0049078E">
        <w:rPr>
          <w:rFonts w:cs="Traditional Arabic"/>
          <w:i/>
          <w:iCs/>
          <w:szCs w:val="30"/>
          <w:rtl/>
          <w:lang w:eastAsia="zh-TW"/>
        </w:rPr>
        <w:t>؛</w:t>
      </w:r>
      <w:bookmarkEnd w:id="39"/>
    </w:p>
    <w:p w:rsidR="0056111F" w:rsidRPr="00EF0115" w:rsidRDefault="0056111F" w:rsidP="0056111F">
      <w:pPr>
        <w:numPr>
          <w:ilvl w:val="0"/>
          <w:numId w:val="2"/>
        </w:numPr>
        <w:tabs>
          <w:tab w:val="left" w:pos="1846"/>
        </w:tabs>
        <w:snapToGrid w:val="0"/>
        <w:spacing w:after="120" w:line="400" w:lineRule="exact"/>
        <w:ind w:left="1134" w:firstLine="0"/>
        <w:jc w:val="lowKashida"/>
        <w:textDirection w:val="tbRlV"/>
        <w:rPr>
          <w:rFonts w:ascii="Times New Roman" w:hAnsi="Times New Roman" w:cs="Traditional Arabic"/>
          <w:snapToGrid w:val="0"/>
          <w:szCs w:val="30"/>
          <w:rtl/>
          <w:lang w:eastAsia="zh-TW"/>
        </w:rPr>
      </w:pPr>
      <w:bookmarkStart w:id="40" w:name="bookmark_480"/>
      <w:r w:rsidRPr="00EF0115">
        <w:rPr>
          <w:rFonts w:ascii="Times New Roman" w:hAnsi="Times New Roman" w:cs="Traditional Arabic"/>
          <w:szCs w:val="30"/>
          <w:rtl/>
          <w:lang w:eastAsia="zh-TW"/>
        </w:rPr>
        <w:t xml:space="preserve">في كانون الثاني/يناير ٢٠١٢، قامت وكالة تنظيم شؤون الصحة في البرازيل، بالاشتراك مع خبراء من مؤسسة أوسفالدو كروز، بإعداد مذكرة فنية بشأن إعادة تقييم سمية الفوريت كمكون نشط </w:t>
      </w:r>
      <w:r w:rsidRPr="009421F7">
        <w:rPr>
          <w:rFonts w:asciiTheme="majorBidi" w:hAnsiTheme="majorBidi" w:cstheme="majorBidi"/>
          <w:szCs w:val="20"/>
          <w:rtl/>
          <w:lang w:eastAsia="zh-TW"/>
        </w:rPr>
        <w:t>(</w:t>
      </w:r>
      <w:r w:rsidRPr="009421F7">
        <w:rPr>
          <w:rFonts w:asciiTheme="majorBidi" w:hAnsiTheme="majorBidi" w:cstheme="majorBidi"/>
          <w:szCs w:val="20"/>
          <w:lang w:eastAsia="zh-TW"/>
        </w:rPr>
        <w:t>UNEP/FAO/RC/CRC.13/INF/29</w:t>
      </w:r>
      <w:r w:rsidRPr="00EF0115">
        <w:rPr>
          <w:rFonts w:ascii="Times New Roman" w:hAnsi="Times New Roman" w:cs="Traditional Arabic"/>
          <w:szCs w:val="30"/>
          <w:rtl/>
          <w:lang w:eastAsia="zh-TW"/>
        </w:rPr>
        <w:t>، الصفحة ٢٧)، تمثل استعراضا</w:t>
      </w:r>
      <w:r>
        <w:rPr>
          <w:rFonts w:ascii="Times New Roman" w:hAnsi="Times New Roman" w:cs="Traditional Arabic" w:hint="cs"/>
          <w:szCs w:val="30"/>
          <w:rtl/>
          <w:lang w:eastAsia="zh-TW"/>
        </w:rPr>
        <w:t>ً</w:t>
      </w:r>
      <w:r w:rsidRPr="00EF0115">
        <w:rPr>
          <w:rFonts w:ascii="Times New Roman" w:hAnsi="Times New Roman" w:cs="Traditional Arabic"/>
          <w:szCs w:val="30"/>
          <w:rtl/>
          <w:lang w:eastAsia="zh-TW"/>
        </w:rPr>
        <w:t xml:space="preserve"> واسع النطاق للبيانات ذات الصلة المتعلقة بالمخاطر واحتمالات وقوع الضرر المرتبطة بالفوريت، مستخدمة وثائق خاضعة للاستعراض وتقارير منشورة وكتابات أخرى، بما في ذلك تقارير واردة من الوكالات أو المؤسسات الدولية، مثل وكالة حماية البيئة في الولايات المتحدة، والبرنامج الدولي للسلامة الكيميائية، </w:t>
      </w:r>
      <w:r>
        <w:rPr>
          <w:rFonts w:ascii="Times New Roman" w:hAnsi="Times New Roman" w:cs="Traditional Arabic"/>
          <w:szCs w:val="30"/>
          <w:rtl/>
          <w:lang w:eastAsia="zh-TW"/>
        </w:rPr>
        <w:t>فضلاً</w:t>
      </w:r>
      <w:r w:rsidRPr="00EF0115">
        <w:rPr>
          <w:rFonts w:ascii="Times New Roman" w:hAnsi="Times New Roman" w:cs="Traditional Arabic"/>
          <w:szCs w:val="30"/>
          <w:rtl/>
          <w:lang w:eastAsia="zh-TW"/>
        </w:rPr>
        <w:t xml:space="preserve"> عن دراسات قُدمت إلى وكالة تنظيم شؤون الصحة في البرازيل ضمن ملف دراسة السمية المعد لدعم تسجيل المنتجات التقنية والمستحضرات. وتتعلق </w:t>
      </w:r>
      <w:r w:rsidRPr="00EF0115">
        <w:rPr>
          <w:rFonts w:ascii="Times New Roman" w:hAnsi="Times New Roman" w:cs="Traditional Arabic"/>
          <w:szCs w:val="30"/>
          <w:rtl/>
          <w:lang w:eastAsia="zh-TW"/>
        </w:rPr>
        <w:lastRenderedPageBreak/>
        <w:t xml:space="preserve">الدراسات الرئيسية التي قدمتها الوكالة ضمن الملف بالسمية الحادة وشبه المزمنة والمزمنة (٢٢ دراسة)، والسرطنة والسمية الجينية (٩ دراسات)، والسمية للغدد الصماء والجهاز التناسلي (دراستان) ونمو الجنين (٥ دراسات) </w:t>
      </w:r>
      <w:r w:rsidRPr="009421F7">
        <w:rPr>
          <w:rFonts w:asciiTheme="majorBidi" w:hAnsiTheme="majorBidi" w:cstheme="majorBidi"/>
          <w:szCs w:val="20"/>
          <w:rtl/>
          <w:lang w:eastAsia="zh-TW"/>
        </w:rPr>
        <w:t>(</w:t>
      </w:r>
      <w:r w:rsidRPr="00EF0115">
        <w:rPr>
          <w:rFonts w:ascii="Times New Roman" w:hAnsi="Times New Roman" w:cs="Traditional Arabic"/>
          <w:szCs w:val="30"/>
          <w:lang w:eastAsia="zh-TW"/>
        </w:rPr>
        <w:t>UNEP/FAO/RC/CRC.13/INF/29</w:t>
      </w:r>
      <w:r w:rsidRPr="00EF0115">
        <w:rPr>
          <w:rFonts w:ascii="Times New Roman" w:hAnsi="Times New Roman" w:cs="Traditional Arabic"/>
          <w:szCs w:val="30"/>
          <w:rtl/>
          <w:lang w:eastAsia="zh-TW"/>
        </w:rPr>
        <w:t>، الصفحة 2</w:t>
      </w:r>
      <w:r>
        <w:rPr>
          <w:rFonts w:ascii="Times New Roman" w:hAnsi="Times New Roman" w:cs="Traditional Arabic" w:hint="cs"/>
          <w:szCs w:val="30"/>
          <w:rtl/>
          <w:lang w:eastAsia="zh-TW"/>
        </w:rPr>
        <w:t>0</w:t>
      </w:r>
      <w:r w:rsidRPr="00EF0115">
        <w:rPr>
          <w:rFonts w:ascii="Times New Roman" w:hAnsi="Times New Roman" w:cs="Traditional Arabic"/>
          <w:szCs w:val="30"/>
          <w:rtl/>
          <w:lang w:eastAsia="zh-TW"/>
        </w:rPr>
        <w:t>).</w:t>
      </w:r>
      <w:bookmarkEnd w:id="40"/>
    </w:p>
    <w:p w:rsidR="0056111F" w:rsidRPr="00EF0115" w:rsidRDefault="0056111F" w:rsidP="0056111F">
      <w:pPr>
        <w:numPr>
          <w:ilvl w:val="0"/>
          <w:numId w:val="2"/>
        </w:numPr>
        <w:tabs>
          <w:tab w:val="left" w:pos="1846"/>
        </w:tabs>
        <w:snapToGrid w:val="0"/>
        <w:spacing w:after="120" w:line="400" w:lineRule="exact"/>
        <w:ind w:left="1134" w:firstLine="0"/>
        <w:jc w:val="both"/>
        <w:textDirection w:val="tbRlV"/>
        <w:rPr>
          <w:rFonts w:ascii="Times New Roman" w:hAnsi="Times New Roman" w:cs="Traditional Arabic"/>
          <w:snapToGrid w:val="0"/>
          <w:szCs w:val="30"/>
          <w:rtl/>
          <w:lang w:eastAsia="zh-TW"/>
        </w:rPr>
      </w:pPr>
      <w:bookmarkStart w:id="41" w:name="bookmark_481"/>
      <w:r w:rsidRPr="00EF0115">
        <w:rPr>
          <w:rFonts w:ascii="Times New Roman" w:hAnsi="Times New Roman" w:cs="Traditional Arabic"/>
          <w:szCs w:val="30"/>
          <w:rtl/>
          <w:lang w:eastAsia="zh-TW"/>
        </w:rPr>
        <w:t>وبعد تحليل الإخطار ووثائقه الداعمة، خلصت اللجنة إلى أن البيانات المشار إليها والواردة في تلك الوثائق استُخلصت طبقاً للأساليب العلمية المتعارف عليها، وتم إجراء الاستعراضات وتوثيقها وفقاً للمبادئ والإجراءات العلمية المتعارف عليها عموما</w:t>
      </w:r>
      <w:r>
        <w:rPr>
          <w:rFonts w:ascii="Times New Roman" w:hAnsi="Times New Roman" w:cs="Traditional Arabic" w:hint="cs"/>
          <w:szCs w:val="30"/>
          <w:rtl/>
          <w:lang w:eastAsia="zh-TW"/>
        </w:rPr>
        <w:t>ً</w:t>
      </w:r>
      <w:r w:rsidRPr="00EF0115">
        <w:rPr>
          <w:rFonts w:ascii="Times New Roman" w:hAnsi="Times New Roman" w:cs="Traditional Arabic"/>
          <w:szCs w:val="30"/>
          <w:rtl/>
          <w:lang w:eastAsia="zh-TW"/>
        </w:rPr>
        <w:t>.</w:t>
      </w:r>
      <w:bookmarkEnd w:id="41"/>
    </w:p>
    <w:p w:rsidR="0056111F" w:rsidRPr="00EF0115" w:rsidRDefault="0056111F" w:rsidP="0056111F">
      <w:pPr>
        <w:numPr>
          <w:ilvl w:val="0"/>
          <w:numId w:val="2"/>
        </w:numPr>
        <w:tabs>
          <w:tab w:val="left" w:pos="1846"/>
        </w:tabs>
        <w:snapToGrid w:val="0"/>
        <w:spacing w:after="120" w:line="400" w:lineRule="exact"/>
        <w:ind w:left="1134" w:firstLine="0"/>
        <w:jc w:val="both"/>
        <w:textDirection w:val="tbRlV"/>
        <w:rPr>
          <w:rFonts w:ascii="Times New Roman" w:hAnsi="Times New Roman" w:cs="Traditional Arabic"/>
          <w:szCs w:val="30"/>
          <w:rtl/>
          <w:lang w:eastAsia="zh-TW"/>
        </w:rPr>
      </w:pPr>
      <w:bookmarkStart w:id="42" w:name="bookmark_482"/>
      <w:r w:rsidRPr="00EF0115">
        <w:rPr>
          <w:rFonts w:ascii="Times New Roman" w:hAnsi="Times New Roman" w:cs="Traditional Arabic"/>
          <w:szCs w:val="30"/>
          <w:rtl/>
          <w:lang w:eastAsia="zh-TW"/>
        </w:rPr>
        <w:t>وعليه فإن اللجنة تؤكد أن المعيارين الواردين في الفقرتين (ب) ’1‘ و’2‘ قد استُوفيا.</w:t>
      </w:r>
      <w:bookmarkEnd w:id="42"/>
    </w:p>
    <w:p w:rsidR="0056111F" w:rsidRPr="0049078E" w:rsidRDefault="0056111F" w:rsidP="0056111F">
      <w:pPr>
        <w:pStyle w:val="Normalnumber"/>
        <w:numPr>
          <w:ilvl w:val="0"/>
          <w:numId w:val="0"/>
        </w:numPr>
        <w:tabs>
          <w:tab w:val="clear" w:pos="624"/>
          <w:tab w:val="left" w:pos="3542"/>
        </w:tabs>
        <w:bidi/>
        <w:spacing w:line="400" w:lineRule="exact"/>
        <w:ind w:left="2975" w:hanging="567"/>
        <w:jc w:val="both"/>
        <w:textDirection w:val="tbRlV"/>
        <w:rPr>
          <w:rFonts w:cs="Traditional Arabic"/>
          <w:i/>
          <w:iCs/>
          <w:szCs w:val="30"/>
          <w:rtl/>
          <w:lang w:eastAsia="zh-TW"/>
        </w:rPr>
      </w:pPr>
      <w:bookmarkStart w:id="43" w:name="bookmark_483"/>
      <w:r w:rsidRPr="0049078E">
        <w:rPr>
          <w:rFonts w:cs="Traditional Arabic"/>
          <w:i/>
          <w:iCs/>
          <w:szCs w:val="30"/>
          <w:rtl/>
          <w:lang w:eastAsia="zh-TW"/>
        </w:rPr>
        <w:t>’٣‘</w:t>
      </w:r>
      <w:r>
        <w:rPr>
          <w:rFonts w:cs="Traditional Arabic"/>
          <w:i/>
          <w:iCs/>
          <w:szCs w:val="30"/>
          <w:rtl/>
          <w:lang w:eastAsia="zh-TW"/>
        </w:rPr>
        <w:tab/>
      </w:r>
      <w:r w:rsidRPr="0049078E">
        <w:rPr>
          <w:rFonts w:cs="Traditional Arabic"/>
          <w:i/>
          <w:iCs/>
          <w:szCs w:val="30"/>
          <w:rtl/>
          <w:lang w:eastAsia="zh-TW"/>
        </w:rPr>
        <w:t>استند الإجراء التنظيمي النهائي إلى تقييم للمخاطر شمل الظروف السائدة لدى الطرف الذي اتخذ الإجراء</w:t>
      </w:r>
      <w:bookmarkEnd w:id="43"/>
      <w:r>
        <w:rPr>
          <w:rFonts w:cs="Traditional Arabic" w:hint="cs"/>
          <w:i/>
          <w:iCs/>
          <w:szCs w:val="30"/>
          <w:rtl/>
          <w:lang w:eastAsia="zh-TW"/>
        </w:rPr>
        <w:t>؛</w:t>
      </w:r>
    </w:p>
    <w:p w:rsidR="0056111F" w:rsidRPr="00EF0115" w:rsidRDefault="0056111F" w:rsidP="0056111F">
      <w:pPr>
        <w:numPr>
          <w:ilvl w:val="0"/>
          <w:numId w:val="2"/>
        </w:numPr>
        <w:tabs>
          <w:tab w:val="left" w:pos="1846"/>
        </w:tabs>
        <w:snapToGrid w:val="0"/>
        <w:spacing w:after="120" w:line="400" w:lineRule="exact"/>
        <w:ind w:left="1134" w:firstLine="0"/>
        <w:jc w:val="both"/>
        <w:textDirection w:val="tbRlV"/>
        <w:rPr>
          <w:rFonts w:ascii="Times New Roman" w:hAnsi="Times New Roman" w:cs="Traditional Arabic"/>
          <w:snapToGrid w:val="0"/>
          <w:szCs w:val="30"/>
          <w:rtl/>
          <w:lang w:eastAsia="zh-TW"/>
        </w:rPr>
      </w:pPr>
      <w:bookmarkStart w:id="44" w:name="bookmark_484"/>
      <w:r w:rsidRPr="00EF0115">
        <w:rPr>
          <w:rFonts w:ascii="Times New Roman" w:hAnsi="Times New Roman" w:cs="Traditional Arabic"/>
          <w:szCs w:val="30"/>
          <w:rtl/>
          <w:lang w:eastAsia="zh-TW"/>
        </w:rPr>
        <w:t>يفيد الفرع 2-4 من الإخطار بأن الإجراء التنظيمي النهائي استند إلى تقييم للمخاطر أو احتمالات وقوع الضرر. و</w:t>
      </w:r>
      <w:r>
        <w:rPr>
          <w:rFonts w:ascii="Times New Roman" w:hAnsi="Times New Roman" w:cs="Traditional Arabic"/>
          <w:szCs w:val="30"/>
          <w:rtl/>
          <w:lang w:eastAsia="zh-TW"/>
        </w:rPr>
        <w:t>وفقاً</w:t>
      </w:r>
      <w:r w:rsidRPr="00EF0115">
        <w:rPr>
          <w:rFonts w:ascii="Times New Roman" w:hAnsi="Times New Roman" w:cs="Traditional Arabic"/>
          <w:szCs w:val="30"/>
          <w:rtl/>
          <w:lang w:eastAsia="zh-TW"/>
        </w:rPr>
        <w:t xml:space="preserve"> للقانون البرازيلي المتعلق بمبيدات الآفات، يجوز لوكالة أو أكثر من الوكالات الحكومية المسؤولة عن تسجيل مبيدات الآفات (المعهد الوطني للبيئة والموارد الطبيعية المتجددة </w:t>
      </w:r>
      <w:r w:rsidRPr="003C27AD">
        <w:rPr>
          <w:rFonts w:asciiTheme="majorBidi" w:hAnsiTheme="majorBidi" w:cstheme="majorBidi"/>
          <w:szCs w:val="20"/>
          <w:rtl/>
          <w:lang w:eastAsia="zh-TW"/>
        </w:rPr>
        <w:t>(IBAMA)</w:t>
      </w:r>
      <w:r w:rsidRPr="00EF0115">
        <w:rPr>
          <w:rFonts w:ascii="Times New Roman" w:hAnsi="Times New Roman" w:cs="Traditional Arabic"/>
          <w:szCs w:val="30"/>
          <w:rtl/>
          <w:lang w:eastAsia="zh-TW"/>
        </w:rPr>
        <w:t xml:space="preserve">، ووكالة تنظيم شؤون الصحة </w:t>
      </w:r>
      <w:r w:rsidRPr="003C27AD">
        <w:rPr>
          <w:rFonts w:asciiTheme="majorBidi" w:hAnsiTheme="majorBidi" w:cstheme="majorBidi"/>
          <w:szCs w:val="20"/>
          <w:rtl/>
          <w:lang w:eastAsia="zh-TW"/>
        </w:rPr>
        <w:t>(ANVISA)</w:t>
      </w:r>
      <w:r w:rsidRPr="00EF0115">
        <w:rPr>
          <w:rFonts w:ascii="Times New Roman" w:hAnsi="Times New Roman" w:cs="Traditional Arabic"/>
          <w:szCs w:val="30"/>
          <w:rtl/>
          <w:lang w:eastAsia="zh-TW"/>
        </w:rPr>
        <w:t xml:space="preserve">، </w:t>
      </w:r>
      <w:r>
        <w:rPr>
          <w:rFonts w:ascii="Times New Roman" w:hAnsi="Times New Roman" w:cs="Traditional Arabic" w:hint="cs"/>
          <w:szCs w:val="30"/>
          <w:rtl/>
          <w:lang w:eastAsia="zh-TW"/>
        </w:rPr>
        <w:t xml:space="preserve">أو </w:t>
      </w:r>
      <w:r w:rsidRPr="00EF0115">
        <w:rPr>
          <w:rFonts w:ascii="Times New Roman" w:hAnsi="Times New Roman" w:cs="Traditional Arabic"/>
          <w:szCs w:val="30"/>
          <w:rtl/>
          <w:lang w:eastAsia="zh-TW"/>
        </w:rPr>
        <w:t xml:space="preserve">وزارة الزراعة والماشية والإمداد الغذائي </w:t>
      </w:r>
      <w:r w:rsidRPr="003C27AD">
        <w:rPr>
          <w:rFonts w:asciiTheme="majorBidi" w:hAnsiTheme="majorBidi" w:cstheme="majorBidi"/>
          <w:szCs w:val="20"/>
          <w:rtl/>
          <w:lang w:eastAsia="zh-TW"/>
        </w:rPr>
        <w:t>(MAPA))</w:t>
      </w:r>
      <w:r w:rsidRPr="00EF0115">
        <w:rPr>
          <w:rFonts w:ascii="Times New Roman" w:hAnsi="Times New Roman" w:cs="Traditional Arabic"/>
          <w:szCs w:val="30"/>
          <w:rtl/>
          <w:lang w:eastAsia="zh-TW"/>
        </w:rPr>
        <w:t xml:space="preserve"> أن تعيد تقييم تسجيل مبيد من مبيدات الآفات عندما توجد أدلة على انخفاض المردود الزراعي أو تغير في مستوى المخاطر على صحة البشر أو البيئة. وقد شُكلت لجنة تقنية للاضطلاع بإعادة التقييم هذه. وتُعد اللجنة مذكرات تقنية بشأن دراسة السمية و/أو المخاطر البيئية المحتملة للمكون</w:t>
      </w:r>
      <w:r w:rsidRPr="00EF0115">
        <w:rPr>
          <w:rFonts w:ascii="Times New Roman" w:hAnsi="Times New Roman" w:cs="Traditional Arabic"/>
          <w:szCs w:val="30"/>
          <w:lang w:eastAsia="zh-TW"/>
        </w:rPr>
        <w:t xml:space="preserve"> </w:t>
      </w:r>
      <w:r w:rsidRPr="00EF0115">
        <w:rPr>
          <w:rFonts w:ascii="Times New Roman" w:hAnsi="Times New Roman" w:cs="Traditional Arabic"/>
          <w:szCs w:val="30"/>
          <w:rtl/>
          <w:lang w:eastAsia="zh-TW"/>
        </w:rPr>
        <w:t xml:space="preserve">النشط، بالإضافة إلى تحليل اقتصادي لبدائل مبيد الآفات، </w:t>
      </w:r>
      <w:r>
        <w:rPr>
          <w:rFonts w:ascii="Times New Roman" w:hAnsi="Times New Roman" w:cs="Traditional Arabic"/>
          <w:szCs w:val="30"/>
          <w:rtl/>
          <w:lang w:eastAsia="zh-TW"/>
        </w:rPr>
        <w:t>استناداً</w:t>
      </w:r>
      <w:r w:rsidRPr="00EF0115">
        <w:rPr>
          <w:rFonts w:ascii="Times New Roman" w:hAnsi="Times New Roman" w:cs="Traditional Arabic"/>
          <w:szCs w:val="30"/>
          <w:rtl/>
          <w:lang w:eastAsia="zh-TW"/>
        </w:rPr>
        <w:t xml:space="preserve"> إلى البيانات المجمعة عن طريق الدراسات والاستقصاءات التي تُجريها المؤسسات المعتمدة على الصعيدين الوطني والدولي، </w:t>
      </w:r>
      <w:r>
        <w:rPr>
          <w:rFonts w:ascii="Times New Roman" w:hAnsi="Times New Roman" w:cs="Traditional Arabic"/>
          <w:szCs w:val="30"/>
          <w:rtl/>
          <w:lang w:eastAsia="zh-TW"/>
        </w:rPr>
        <w:t>فضلاً</w:t>
      </w:r>
      <w:r w:rsidRPr="00EF0115">
        <w:rPr>
          <w:rFonts w:ascii="Times New Roman" w:hAnsi="Times New Roman" w:cs="Traditional Arabic"/>
          <w:szCs w:val="30"/>
          <w:rtl/>
          <w:lang w:eastAsia="zh-TW"/>
        </w:rPr>
        <w:t xml:space="preserve"> عن المعلومات التي يقدمها النظام الوطني للتسمم بالأدوية السامة </w:t>
      </w:r>
      <w:r w:rsidRPr="003C27AD">
        <w:rPr>
          <w:rFonts w:asciiTheme="majorBidi" w:hAnsiTheme="majorBidi" w:cstheme="majorBidi"/>
          <w:szCs w:val="20"/>
          <w:rtl/>
          <w:lang w:eastAsia="zh-TW"/>
        </w:rPr>
        <w:t>(SINITOX)</w:t>
      </w:r>
      <w:r w:rsidRPr="00EF0115">
        <w:rPr>
          <w:rFonts w:ascii="Times New Roman" w:hAnsi="Times New Roman" w:cs="Traditional Arabic"/>
          <w:szCs w:val="30"/>
          <w:rtl/>
          <w:lang w:eastAsia="zh-TW"/>
        </w:rPr>
        <w:t>، أو برنامج تحليل بقايا مبيدات الآفات في الأغذية، أو الشركات الحائزة لمبيدات الآفات.</w:t>
      </w:r>
      <w:bookmarkEnd w:id="44"/>
    </w:p>
    <w:p w:rsidR="0056111F" w:rsidRPr="00EF0115" w:rsidRDefault="0056111F" w:rsidP="0056111F">
      <w:pPr>
        <w:numPr>
          <w:ilvl w:val="0"/>
          <w:numId w:val="2"/>
        </w:numPr>
        <w:tabs>
          <w:tab w:val="left" w:pos="1846"/>
        </w:tabs>
        <w:snapToGrid w:val="0"/>
        <w:spacing w:after="120" w:line="400" w:lineRule="exact"/>
        <w:ind w:left="1134" w:firstLine="0"/>
        <w:jc w:val="both"/>
        <w:textDirection w:val="tbRlV"/>
        <w:rPr>
          <w:rFonts w:ascii="Times New Roman" w:hAnsi="Times New Roman" w:cs="Traditional Arabic"/>
          <w:snapToGrid w:val="0"/>
          <w:szCs w:val="30"/>
          <w:rtl/>
          <w:lang w:eastAsia="zh-TW"/>
        </w:rPr>
      </w:pPr>
      <w:bookmarkStart w:id="45" w:name="bookmark_485"/>
      <w:r w:rsidRPr="00EF0115">
        <w:rPr>
          <w:rFonts w:ascii="Times New Roman" w:hAnsi="Times New Roman" w:cs="Traditional Arabic"/>
          <w:szCs w:val="30"/>
          <w:rtl/>
          <w:lang w:eastAsia="zh-TW"/>
        </w:rPr>
        <w:t xml:space="preserve">وتسمح المذكرات التقنية ضمن عملية إعادة التقييم بتقييم احتمالات التعرض، واحتمالات وقوع الضرر، </w:t>
      </w:r>
      <w:r>
        <w:rPr>
          <w:rFonts w:ascii="Times New Roman" w:hAnsi="Times New Roman" w:cs="Traditional Arabic"/>
          <w:szCs w:val="30"/>
          <w:rtl/>
          <w:lang w:eastAsia="zh-TW"/>
        </w:rPr>
        <w:t>وفقاً</w:t>
      </w:r>
      <w:r w:rsidRPr="00EF0115">
        <w:rPr>
          <w:rFonts w:ascii="Times New Roman" w:hAnsi="Times New Roman" w:cs="Traditional Arabic"/>
          <w:szCs w:val="30"/>
          <w:rtl/>
          <w:lang w:eastAsia="zh-TW"/>
        </w:rPr>
        <w:t xml:space="preserve"> للمعايير والمنهجيات المعتمدة دوليا</w:t>
      </w:r>
      <w:r>
        <w:rPr>
          <w:rFonts w:ascii="Times New Roman" w:hAnsi="Times New Roman" w:cs="Traditional Arabic" w:hint="cs"/>
          <w:szCs w:val="30"/>
          <w:rtl/>
          <w:lang w:eastAsia="zh-TW"/>
        </w:rPr>
        <w:t>ً</w:t>
      </w:r>
      <w:r w:rsidRPr="00EF0115">
        <w:rPr>
          <w:rFonts w:ascii="Times New Roman" w:hAnsi="Times New Roman" w:cs="Traditional Arabic"/>
          <w:szCs w:val="30"/>
          <w:rtl/>
          <w:lang w:eastAsia="zh-TW"/>
        </w:rPr>
        <w:t xml:space="preserve">، لا سيما من قِبل منظمة الصحة العالمية، ومنظمة الأغذية والزراعة، ومنظمة التعاون والتنمية في الميدان الاقتصادي، ووكالة حماية البيئة في الولايات المتحدة، والاتحاد الأوروبي. وبعد إعادة التقييم، يمكن أن تُتخذ تدابير لتقييد أو وقف أو حظر إنتاج واستيراد مبيدات الآفات، </w:t>
      </w:r>
      <w:r>
        <w:rPr>
          <w:rFonts w:ascii="Times New Roman" w:hAnsi="Times New Roman" w:cs="Traditional Arabic"/>
          <w:szCs w:val="30"/>
          <w:rtl/>
          <w:lang w:eastAsia="zh-TW"/>
        </w:rPr>
        <w:t>فضلاً</w:t>
      </w:r>
      <w:r w:rsidRPr="00EF0115">
        <w:rPr>
          <w:rFonts w:ascii="Times New Roman" w:hAnsi="Times New Roman" w:cs="Traditional Arabic"/>
          <w:szCs w:val="30"/>
          <w:rtl/>
          <w:lang w:eastAsia="zh-TW"/>
        </w:rPr>
        <w:t xml:space="preserve"> عن إلغاء التسجيل عندما يتحقق أحد معايير حظر التسجيل </w:t>
      </w:r>
      <w:r w:rsidRPr="003C27AD">
        <w:rPr>
          <w:rFonts w:asciiTheme="majorBidi" w:hAnsiTheme="majorBidi" w:cstheme="majorBidi"/>
          <w:szCs w:val="20"/>
          <w:rtl/>
          <w:lang w:eastAsia="zh-TW"/>
        </w:rPr>
        <w:t>(</w:t>
      </w:r>
      <w:r w:rsidRPr="003C27AD">
        <w:rPr>
          <w:rFonts w:asciiTheme="majorBidi" w:hAnsiTheme="majorBidi" w:cstheme="majorBidi"/>
          <w:szCs w:val="20"/>
          <w:lang w:eastAsia="zh-TW"/>
        </w:rPr>
        <w:t>UNEP/FAO/RC/CRC.13/INF/29</w:t>
      </w:r>
      <w:r w:rsidRPr="003C27AD">
        <w:rPr>
          <w:rFonts w:asciiTheme="majorBidi" w:hAnsiTheme="majorBidi" w:cstheme="majorBidi"/>
          <w:szCs w:val="20"/>
          <w:rtl/>
          <w:lang w:eastAsia="zh-TW"/>
        </w:rPr>
        <w:t>)</w:t>
      </w:r>
      <w:r w:rsidRPr="00EF0115">
        <w:rPr>
          <w:rFonts w:ascii="Times New Roman" w:hAnsi="Times New Roman" w:cs="Traditional Arabic"/>
          <w:szCs w:val="30"/>
          <w:rtl/>
          <w:lang w:eastAsia="zh-TW"/>
        </w:rPr>
        <w:t>.</w:t>
      </w:r>
      <w:bookmarkEnd w:id="45"/>
    </w:p>
    <w:p w:rsidR="0056111F" w:rsidRPr="00EF0115" w:rsidRDefault="0056111F" w:rsidP="0056111F">
      <w:pPr>
        <w:numPr>
          <w:ilvl w:val="0"/>
          <w:numId w:val="2"/>
        </w:numPr>
        <w:tabs>
          <w:tab w:val="left" w:pos="1846"/>
        </w:tabs>
        <w:snapToGrid w:val="0"/>
        <w:spacing w:after="120" w:line="400" w:lineRule="exact"/>
        <w:ind w:left="1134" w:firstLine="0"/>
        <w:jc w:val="both"/>
        <w:textDirection w:val="tbRlV"/>
        <w:rPr>
          <w:rFonts w:ascii="Times New Roman" w:hAnsi="Times New Roman" w:cs="Traditional Arabic"/>
          <w:snapToGrid w:val="0"/>
          <w:szCs w:val="30"/>
          <w:rtl/>
          <w:lang w:eastAsia="zh-TW"/>
        </w:rPr>
      </w:pPr>
      <w:bookmarkStart w:id="46" w:name="bookmark_486"/>
      <w:r w:rsidRPr="00EF0115">
        <w:rPr>
          <w:rFonts w:ascii="Times New Roman" w:hAnsi="Times New Roman" w:cs="Traditional Arabic"/>
          <w:szCs w:val="30"/>
          <w:rtl/>
          <w:lang w:eastAsia="zh-TW"/>
        </w:rPr>
        <w:t xml:space="preserve">وقد أخذ التقييم الذي أجرته البرازيل لمخاطر الفوريت في اعتباره علم السموم والصحة العامة؛ والصحة والسلامة المهنية والآثار البيئية وتوافر البدائل المنخفضة المخاطر </w:t>
      </w:r>
      <w:r w:rsidRPr="003C27AD">
        <w:rPr>
          <w:rFonts w:asciiTheme="majorBidi" w:hAnsiTheme="majorBidi" w:cstheme="majorBidi"/>
          <w:szCs w:val="20"/>
          <w:rtl/>
          <w:lang w:eastAsia="zh-TW"/>
        </w:rPr>
        <w:t>(</w:t>
      </w:r>
      <w:r w:rsidRPr="003C27AD">
        <w:rPr>
          <w:rFonts w:asciiTheme="majorBidi" w:hAnsiTheme="majorBidi" w:cstheme="majorBidi"/>
          <w:szCs w:val="20"/>
          <w:lang w:eastAsia="zh-TW"/>
        </w:rPr>
        <w:t>UNEP/FAO/RC/CRC.13/INF/29</w:t>
      </w:r>
      <w:r w:rsidRPr="003C27AD">
        <w:rPr>
          <w:rFonts w:asciiTheme="majorBidi" w:hAnsiTheme="majorBidi" w:cstheme="majorBidi"/>
          <w:szCs w:val="20"/>
          <w:rtl/>
          <w:lang w:eastAsia="zh-TW"/>
        </w:rPr>
        <w:t>)</w:t>
      </w:r>
      <w:r w:rsidRPr="00EF0115">
        <w:rPr>
          <w:rFonts w:ascii="Times New Roman" w:hAnsi="Times New Roman" w:cs="Traditional Arabic"/>
          <w:szCs w:val="30"/>
          <w:rtl/>
          <w:lang w:eastAsia="zh-TW"/>
        </w:rPr>
        <w:t xml:space="preserve">. واضطُلع باستعراض واسع النطاق للبيانات ذات الصلة المتعلقة بالمخاطر واحتمالات وقوع الضرر المرتبطة بالفوريت، باستخدام وثائق خاضعة للاستعراض وتقارير منشورة وكتابات أخرى. </w:t>
      </w:r>
      <w:bookmarkEnd w:id="46"/>
    </w:p>
    <w:p w:rsidR="0056111F" w:rsidRPr="00EF0115" w:rsidRDefault="0056111F" w:rsidP="0056111F">
      <w:pPr>
        <w:numPr>
          <w:ilvl w:val="0"/>
          <w:numId w:val="2"/>
        </w:numPr>
        <w:tabs>
          <w:tab w:val="left" w:pos="1846"/>
        </w:tabs>
        <w:snapToGrid w:val="0"/>
        <w:spacing w:after="120" w:line="400" w:lineRule="exact"/>
        <w:ind w:left="1134" w:firstLine="0"/>
        <w:jc w:val="both"/>
        <w:textDirection w:val="tbRlV"/>
        <w:rPr>
          <w:rFonts w:ascii="Times New Roman" w:hAnsi="Times New Roman" w:cs="Traditional Arabic"/>
          <w:snapToGrid w:val="0"/>
          <w:szCs w:val="30"/>
          <w:rtl/>
          <w:lang w:eastAsia="zh-TW"/>
        </w:rPr>
      </w:pPr>
      <w:bookmarkStart w:id="47" w:name="bookmark_487"/>
      <w:r w:rsidRPr="00EF0115">
        <w:rPr>
          <w:rFonts w:ascii="Times New Roman" w:hAnsi="Times New Roman" w:cs="Traditional Arabic"/>
          <w:szCs w:val="30"/>
          <w:rtl/>
          <w:lang w:eastAsia="zh-TW"/>
        </w:rPr>
        <w:lastRenderedPageBreak/>
        <w:t xml:space="preserve">وأخذت إعادة التقييم في اعتبارها جملة أمور منها دراسة برازيلية شاملة أجراها وايشمان في عام </w:t>
      </w:r>
      <w:r>
        <w:rPr>
          <w:rFonts w:ascii="Times New Roman" w:hAnsi="Times New Roman" w:cs="Traditional Arabic" w:hint="cs"/>
          <w:szCs w:val="30"/>
          <w:rtl/>
          <w:lang w:eastAsia="zh-TW"/>
        </w:rPr>
        <w:t>2</w:t>
      </w:r>
      <w:r w:rsidRPr="00EF0115">
        <w:rPr>
          <w:rFonts w:ascii="Times New Roman" w:hAnsi="Times New Roman" w:cs="Traditional Arabic"/>
          <w:szCs w:val="30"/>
          <w:rtl/>
          <w:lang w:eastAsia="zh-TW"/>
        </w:rPr>
        <w:t>٠٠٨ بشأن ظروف استخدام مبيدات الآفات في بلديات ولاية الأمازون (ماناوس، وإيرندوبا، وكاريور دا فارسيا، وماناكابورو). وخلصت الدراسة إلى أن المزارعين لم يكونوا مستعدين لاستخدام مبيدات الآفات استخداما</w:t>
      </w:r>
      <w:r>
        <w:rPr>
          <w:rFonts w:ascii="Times New Roman" w:hAnsi="Times New Roman" w:cs="Traditional Arabic" w:hint="cs"/>
          <w:szCs w:val="30"/>
          <w:rtl/>
          <w:lang w:eastAsia="zh-TW"/>
        </w:rPr>
        <w:t>ً</w:t>
      </w:r>
      <w:r w:rsidRPr="00EF0115">
        <w:rPr>
          <w:rFonts w:ascii="Times New Roman" w:hAnsi="Times New Roman" w:cs="Traditional Arabic"/>
          <w:szCs w:val="30"/>
          <w:rtl/>
          <w:lang w:eastAsia="zh-TW"/>
        </w:rPr>
        <w:t xml:space="preserve"> رشيدا</w:t>
      </w:r>
      <w:r>
        <w:rPr>
          <w:rFonts w:ascii="Times New Roman" w:hAnsi="Times New Roman" w:cs="Traditional Arabic" w:hint="cs"/>
          <w:szCs w:val="30"/>
          <w:rtl/>
          <w:lang w:eastAsia="zh-TW"/>
        </w:rPr>
        <w:t>ً</w:t>
      </w:r>
      <w:r w:rsidRPr="00EF0115">
        <w:rPr>
          <w:rFonts w:ascii="Times New Roman" w:hAnsi="Times New Roman" w:cs="Traditional Arabic"/>
          <w:szCs w:val="30"/>
          <w:rtl/>
          <w:lang w:eastAsia="zh-TW"/>
        </w:rPr>
        <w:t>، حيث يتجاهلون مخاطر هذه المنتجات على صحة البشر والبيئة. ولم تُستخدم معدات الحماية الشخصية لأنها كانت باهظة الثمن وغير مريحة وغير ملائمة للمناخ الحار في المنطقة. وأسهمت قلة التدريب وقلة الاطلاع على مخاطر مبيدات الآفات في تناول هذه المبيدات بشكل غير صحيح أثناء تحضيرها واستخدامها والتخلص من العبوات الفارغة. وقد اشتد في ظل هذه الظروف تعرض المزارعين وأسرهم والمستهلكين والبيئة. وبإيجاز، تتوافر معلومات شاملة عن الظروف السائدة لاستخدام مبيدات الآفات في البرازيل؛ وقد استخدمت البرازيل هذه المعلومات في تقييمها للمخاطر.</w:t>
      </w:r>
      <w:bookmarkEnd w:id="47"/>
    </w:p>
    <w:p w:rsidR="0056111F" w:rsidRPr="00EF0115" w:rsidRDefault="0056111F" w:rsidP="0056111F">
      <w:pPr>
        <w:numPr>
          <w:ilvl w:val="0"/>
          <w:numId w:val="2"/>
        </w:numPr>
        <w:tabs>
          <w:tab w:val="left" w:pos="1846"/>
        </w:tabs>
        <w:snapToGrid w:val="0"/>
        <w:spacing w:after="120" w:line="400" w:lineRule="exact"/>
        <w:ind w:left="1134" w:firstLine="0"/>
        <w:jc w:val="both"/>
        <w:textDirection w:val="tbRlV"/>
        <w:rPr>
          <w:rFonts w:ascii="Times New Roman" w:hAnsi="Times New Roman" w:cs="Traditional Arabic"/>
          <w:snapToGrid w:val="0"/>
          <w:szCs w:val="30"/>
          <w:rtl/>
          <w:lang w:eastAsia="zh-TW"/>
        </w:rPr>
      </w:pPr>
      <w:bookmarkStart w:id="48" w:name="bookmark_488"/>
      <w:r w:rsidRPr="00EF0115">
        <w:rPr>
          <w:rFonts w:ascii="Times New Roman" w:hAnsi="Times New Roman" w:cs="Traditional Arabic"/>
          <w:szCs w:val="30"/>
          <w:rtl/>
          <w:lang w:eastAsia="zh-TW"/>
        </w:rPr>
        <w:t>ولاحظت اللجنة أن البرازيل شددت في إخطارها أن الإجراء التنظيمي النهائي استند إلى جملة حجج منها ملاحظة درجة سُمية أعلى للفوريت لدى البشر منها لدى الحيوانات، وأن الفوريت من المواد الكيميائية المسببة لاضطرابات الغدد الصماء وأنها ’’تستوفي معايير حظر تسجيل مبيدات الآفات في البرازيل‘‘.</w:t>
      </w:r>
      <w:bookmarkEnd w:id="48"/>
    </w:p>
    <w:p w:rsidR="0056111F" w:rsidRPr="0028275F" w:rsidRDefault="0056111F" w:rsidP="0056111F">
      <w:pPr>
        <w:numPr>
          <w:ilvl w:val="0"/>
          <w:numId w:val="2"/>
        </w:numPr>
        <w:tabs>
          <w:tab w:val="left" w:pos="1846"/>
        </w:tabs>
        <w:snapToGrid w:val="0"/>
        <w:spacing w:after="120" w:line="400" w:lineRule="exact"/>
        <w:ind w:left="1134" w:firstLine="0"/>
        <w:jc w:val="both"/>
        <w:textDirection w:val="tbRlV"/>
        <w:rPr>
          <w:rFonts w:ascii="Times New Roman" w:hAnsi="Times New Roman" w:cs="Traditional Arabic"/>
          <w:snapToGrid w:val="0"/>
          <w:szCs w:val="30"/>
          <w:lang w:eastAsia="zh-TW"/>
        </w:rPr>
      </w:pPr>
      <w:bookmarkStart w:id="49" w:name="bookmark_489"/>
      <w:r w:rsidRPr="00EF0115">
        <w:rPr>
          <w:rFonts w:ascii="Times New Roman" w:hAnsi="Times New Roman" w:cs="Traditional Arabic"/>
          <w:szCs w:val="30"/>
          <w:rtl/>
          <w:lang w:eastAsia="zh-TW"/>
        </w:rPr>
        <w:t xml:space="preserve">وعلاوة على ذلك، فإن الفقرة الثانية من الفرع الثالث -١ (ب) من ’’2.5 ورقة العمل المتعلقة بتطبيق معايير الفقرة (ب) ’٣‘ من المرفق الثاني‘‘ من دليل إجراءات العمل والتوجيهات المتعلقة بالسياسات للجنة استعراض المواد الكيميائية، تنص على أنه ’’بالنسبة لمبيدات الآفات أو المواد الكيميائية ذات السمية الحادة، يمكن أن يشمل وصف الظروف السائدة في البلد الذي يقدم الإخطار معلومات عن توافر المعدات الواقية وشيوع استخدامها أو سيناريوهات التسمم إذا كانت تلك المعلومات </w:t>
      </w:r>
      <w:r>
        <w:rPr>
          <w:rFonts w:ascii="Times New Roman" w:hAnsi="Times New Roman" w:cs="Traditional Arabic" w:hint="cs"/>
          <w:szCs w:val="30"/>
          <w:rtl/>
          <w:lang w:eastAsia="zh-TW"/>
        </w:rPr>
        <w:t>(</w:t>
      </w:r>
      <w:r w:rsidRPr="00EF0115">
        <w:rPr>
          <w:rFonts w:ascii="Times New Roman" w:hAnsi="Times New Roman" w:cs="Traditional Arabic"/>
          <w:szCs w:val="30"/>
          <w:rtl/>
          <w:lang w:eastAsia="zh-TW"/>
        </w:rPr>
        <w:t>مناسبة ومتاحة</w:t>
      </w:r>
      <w:r>
        <w:rPr>
          <w:rFonts w:ascii="Times New Roman" w:hAnsi="Times New Roman" w:cs="Traditional Arabic" w:hint="cs"/>
          <w:szCs w:val="30"/>
          <w:rtl/>
          <w:lang w:eastAsia="zh-TW"/>
        </w:rPr>
        <w:t>)</w:t>
      </w:r>
      <w:r w:rsidRPr="00EF0115">
        <w:rPr>
          <w:rFonts w:ascii="Times New Roman" w:hAnsi="Times New Roman" w:cs="Traditional Arabic"/>
          <w:szCs w:val="30"/>
          <w:rtl/>
          <w:lang w:eastAsia="zh-TW"/>
        </w:rPr>
        <w:t>‘‘.</w:t>
      </w:r>
      <w:bookmarkStart w:id="50" w:name="bookmark_490"/>
      <w:bookmarkEnd w:id="49"/>
    </w:p>
    <w:p w:rsidR="0056111F" w:rsidRPr="0028275F" w:rsidRDefault="0056111F" w:rsidP="0056111F">
      <w:pPr>
        <w:numPr>
          <w:ilvl w:val="0"/>
          <w:numId w:val="2"/>
        </w:numPr>
        <w:tabs>
          <w:tab w:val="left" w:pos="1846"/>
        </w:tabs>
        <w:snapToGrid w:val="0"/>
        <w:spacing w:after="120" w:line="400" w:lineRule="exact"/>
        <w:ind w:left="1134" w:firstLine="0"/>
        <w:jc w:val="both"/>
        <w:textDirection w:val="tbRlV"/>
        <w:rPr>
          <w:rFonts w:ascii="Times New Roman" w:hAnsi="Times New Roman" w:cs="Traditional Arabic"/>
          <w:snapToGrid w:val="0"/>
          <w:szCs w:val="30"/>
          <w:lang w:eastAsia="zh-TW"/>
        </w:rPr>
      </w:pPr>
      <w:r w:rsidRPr="00EF0115">
        <w:rPr>
          <w:rFonts w:ascii="Times New Roman" w:hAnsi="Times New Roman" w:cs="Traditional Arabic"/>
          <w:szCs w:val="30"/>
          <w:rtl/>
          <w:lang w:eastAsia="zh-TW"/>
        </w:rPr>
        <w:t>وبالنظر إلى كون الفوريت مبيد آفات حاد السمية، وإلى نتائج الدراسة المتعلقة بالممارسات الشائعة في استخدام مبيدات الآفات في البرازيل، التي أبرزت المشاكل المرتبطة باستخدام معدات الحماية الشخصية، وكذلك حوادث التسمم البشري في الهند، ترى اللجنة أن تقييم المخاطر الذي أجرته البرازيل أخذ في اعتباره الظروف السائدة في البلد.</w:t>
      </w:r>
      <w:bookmarkEnd w:id="50"/>
    </w:p>
    <w:p w:rsidR="0056111F" w:rsidRPr="00EF0115" w:rsidRDefault="0056111F" w:rsidP="0056111F">
      <w:pPr>
        <w:numPr>
          <w:ilvl w:val="0"/>
          <w:numId w:val="2"/>
        </w:numPr>
        <w:tabs>
          <w:tab w:val="left" w:pos="1846"/>
        </w:tabs>
        <w:snapToGrid w:val="0"/>
        <w:spacing w:after="120" w:line="400" w:lineRule="exact"/>
        <w:ind w:left="1134" w:firstLine="0"/>
        <w:jc w:val="both"/>
        <w:textDirection w:val="tbRlV"/>
        <w:rPr>
          <w:rFonts w:ascii="Times New Roman" w:hAnsi="Times New Roman" w:cs="Traditional Arabic"/>
          <w:snapToGrid w:val="0"/>
          <w:szCs w:val="30"/>
          <w:rtl/>
          <w:lang w:eastAsia="zh-TW"/>
        </w:rPr>
      </w:pPr>
      <w:bookmarkStart w:id="51" w:name="bookmark_491"/>
      <w:r w:rsidRPr="00EF0115">
        <w:rPr>
          <w:rFonts w:ascii="Times New Roman" w:hAnsi="Times New Roman" w:cs="Traditional Arabic"/>
          <w:szCs w:val="30"/>
          <w:rtl/>
          <w:lang w:eastAsia="zh-TW"/>
        </w:rPr>
        <w:t>وعليه، تؤكد اللجنة أن المعيار الوارد في الفقرة (ب) ’3‘ قد استُوفي.</w:t>
      </w:r>
      <w:bookmarkEnd w:id="51"/>
    </w:p>
    <w:p w:rsidR="0056111F" w:rsidRPr="00EF0115" w:rsidRDefault="0056111F" w:rsidP="0056111F">
      <w:pPr>
        <w:numPr>
          <w:ilvl w:val="0"/>
          <w:numId w:val="2"/>
        </w:numPr>
        <w:tabs>
          <w:tab w:val="left" w:pos="1846"/>
        </w:tabs>
        <w:snapToGrid w:val="0"/>
        <w:spacing w:after="120" w:line="400" w:lineRule="exact"/>
        <w:ind w:left="1134" w:firstLine="0"/>
        <w:jc w:val="both"/>
        <w:textDirection w:val="tbRlV"/>
        <w:rPr>
          <w:rFonts w:ascii="Times New Roman" w:hAnsi="Times New Roman" w:cs="Traditional Arabic"/>
          <w:snapToGrid w:val="0"/>
          <w:szCs w:val="30"/>
          <w:rtl/>
          <w:lang w:eastAsia="zh-TW"/>
        </w:rPr>
      </w:pPr>
      <w:bookmarkStart w:id="52" w:name="bookmark_492"/>
      <w:r w:rsidRPr="00EF0115">
        <w:rPr>
          <w:rFonts w:ascii="Times New Roman" w:hAnsi="Times New Roman" w:cs="Traditional Arabic"/>
          <w:szCs w:val="30"/>
          <w:rtl/>
          <w:lang w:eastAsia="zh-TW"/>
        </w:rPr>
        <w:t>وتؤكّد اللجنة أن معياري الفقرة (ب) قد استُوفيا.</w:t>
      </w:r>
      <w:bookmarkEnd w:id="52"/>
    </w:p>
    <w:p w:rsidR="0056111F" w:rsidRPr="005B4476" w:rsidRDefault="0056111F" w:rsidP="0056111F">
      <w:pPr>
        <w:pStyle w:val="CH3"/>
        <w:tabs>
          <w:tab w:val="clear" w:pos="851"/>
          <w:tab w:val="clear" w:pos="1247"/>
          <w:tab w:val="clear" w:pos="1814"/>
          <w:tab w:val="clear" w:pos="2381"/>
          <w:tab w:val="clear" w:pos="2948"/>
          <w:tab w:val="clear" w:pos="3515"/>
          <w:tab w:val="clear" w:pos="4082"/>
        </w:tabs>
        <w:bidi/>
        <w:spacing w:line="400" w:lineRule="exact"/>
        <w:ind w:left="1134" w:right="0" w:hanging="852"/>
        <w:jc w:val="both"/>
        <w:textDirection w:val="tbRlV"/>
        <w:rPr>
          <w:rFonts w:cs="Traditional Arabic"/>
          <w:bCs/>
          <w:szCs w:val="30"/>
          <w:rtl/>
          <w:lang w:eastAsia="zh-TW"/>
        </w:rPr>
      </w:pPr>
      <w:bookmarkStart w:id="53" w:name="bookmark_493"/>
      <w:r w:rsidRPr="005B4476">
        <w:rPr>
          <w:rFonts w:cs="Traditional Arabic"/>
          <w:bCs/>
          <w:szCs w:val="30"/>
          <w:rtl/>
          <w:lang w:eastAsia="zh-TW"/>
        </w:rPr>
        <w:t>(د)</w:t>
      </w:r>
      <w:r w:rsidRPr="005B4476">
        <w:rPr>
          <w:rFonts w:cs="Traditional Arabic"/>
          <w:bCs/>
          <w:szCs w:val="30"/>
          <w:rtl/>
          <w:lang w:eastAsia="zh-TW"/>
        </w:rPr>
        <w:tab/>
        <w:t>المعايير الواردة في الفقرة (ج) من المرفق الثاني</w:t>
      </w:r>
      <w:bookmarkEnd w:id="53"/>
    </w:p>
    <w:p w:rsidR="0056111F" w:rsidRPr="00012EA5" w:rsidRDefault="0056111F" w:rsidP="0056111F">
      <w:pPr>
        <w:pStyle w:val="Normalnumber"/>
        <w:numPr>
          <w:ilvl w:val="0"/>
          <w:numId w:val="0"/>
        </w:numPr>
        <w:tabs>
          <w:tab w:val="clear" w:pos="624"/>
          <w:tab w:val="left" w:pos="2408"/>
        </w:tabs>
        <w:bidi/>
        <w:spacing w:line="400" w:lineRule="exact"/>
        <w:ind w:left="1134" w:firstLine="709"/>
        <w:jc w:val="both"/>
        <w:textDirection w:val="tbRlV"/>
        <w:rPr>
          <w:rFonts w:cs="Traditional Arabic"/>
          <w:i/>
          <w:iCs/>
          <w:szCs w:val="30"/>
          <w:rtl/>
          <w:lang w:eastAsia="zh-TW"/>
        </w:rPr>
      </w:pPr>
      <w:bookmarkStart w:id="54" w:name="bookmark_494"/>
      <w:r w:rsidRPr="00012EA5">
        <w:rPr>
          <w:rFonts w:cs="Traditional Arabic"/>
          <w:i/>
          <w:iCs/>
          <w:szCs w:val="30"/>
          <w:rtl/>
          <w:lang w:eastAsia="zh-TW"/>
        </w:rPr>
        <w:t>(ج)</w:t>
      </w:r>
      <w:r>
        <w:rPr>
          <w:rFonts w:cs="Traditional Arabic"/>
          <w:i/>
          <w:iCs/>
          <w:szCs w:val="30"/>
          <w:rtl/>
          <w:lang w:eastAsia="zh-TW"/>
        </w:rPr>
        <w:tab/>
      </w:r>
      <w:r w:rsidRPr="00012EA5">
        <w:rPr>
          <w:rFonts w:cs="Traditional Arabic"/>
          <w:i/>
          <w:iCs/>
          <w:szCs w:val="30"/>
          <w:rtl/>
          <w:lang w:eastAsia="zh-TW"/>
        </w:rPr>
        <w:t>النظر فيما إذا كان الإجراء التنظيمي النهائي يوفر أساساً عريضاً بما يكفي لتبرير إدراج المادة الكيميائية في المرفق الثالث، وذلك بمراعاة ما يلي:</w:t>
      </w:r>
      <w:bookmarkEnd w:id="54"/>
    </w:p>
    <w:p w:rsidR="0056111F" w:rsidRPr="0049078E" w:rsidRDefault="0056111F" w:rsidP="0056111F">
      <w:pPr>
        <w:pStyle w:val="Normalnumber"/>
        <w:numPr>
          <w:ilvl w:val="0"/>
          <w:numId w:val="0"/>
        </w:numPr>
        <w:tabs>
          <w:tab w:val="clear" w:pos="624"/>
          <w:tab w:val="left" w:pos="3542"/>
        </w:tabs>
        <w:bidi/>
        <w:spacing w:line="400" w:lineRule="exact"/>
        <w:ind w:left="2975" w:hanging="567"/>
        <w:jc w:val="both"/>
        <w:textDirection w:val="tbRlV"/>
        <w:rPr>
          <w:rFonts w:cs="Traditional Arabic"/>
          <w:i/>
          <w:iCs/>
          <w:szCs w:val="30"/>
          <w:rtl/>
          <w:lang w:eastAsia="zh-TW"/>
        </w:rPr>
      </w:pPr>
      <w:bookmarkStart w:id="55" w:name="bookmark_495"/>
      <w:r w:rsidRPr="0049078E">
        <w:rPr>
          <w:rFonts w:cs="Traditional Arabic"/>
          <w:i/>
          <w:iCs/>
          <w:szCs w:val="30"/>
          <w:rtl/>
          <w:lang w:eastAsia="zh-TW"/>
        </w:rPr>
        <w:t>’١‘</w:t>
      </w:r>
      <w:r w:rsidRPr="0049078E">
        <w:rPr>
          <w:rFonts w:cs="Traditional Arabic"/>
          <w:i/>
          <w:iCs/>
          <w:szCs w:val="30"/>
          <w:rtl/>
          <w:lang w:eastAsia="zh-TW"/>
        </w:rPr>
        <w:tab/>
        <w:t>ما إذا كان الإجراء التنظيمي النهائي قد أدى، أو من المتوقع أن يؤدي إلى تخفيض كبير في كمية المادة الكيميائية المستخدمة، أو عدد استخداماتها؛</w:t>
      </w:r>
      <w:bookmarkEnd w:id="55"/>
    </w:p>
    <w:p w:rsidR="0056111F" w:rsidRPr="00EF0115" w:rsidRDefault="0056111F" w:rsidP="0056111F">
      <w:pPr>
        <w:numPr>
          <w:ilvl w:val="0"/>
          <w:numId w:val="2"/>
        </w:numPr>
        <w:tabs>
          <w:tab w:val="left" w:pos="1846"/>
        </w:tabs>
        <w:snapToGrid w:val="0"/>
        <w:spacing w:after="120" w:line="400" w:lineRule="exact"/>
        <w:ind w:left="1134" w:firstLine="0"/>
        <w:jc w:val="lowKashida"/>
        <w:textDirection w:val="tbRlV"/>
        <w:rPr>
          <w:rFonts w:ascii="Times New Roman" w:hAnsi="Times New Roman" w:cs="Traditional Arabic"/>
          <w:snapToGrid w:val="0"/>
          <w:szCs w:val="30"/>
          <w:rtl/>
          <w:lang w:eastAsia="zh-TW"/>
        </w:rPr>
      </w:pPr>
      <w:bookmarkStart w:id="56" w:name="bookmark_496"/>
      <w:r>
        <w:rPr>
          <w:rFonts w:ascii="Times New Roman" w:hAnsi="Times New Roman" w:cs="Traditional Arabic"/>
          <w:szCs w:val="30"/>
          <w:rtl/>
          <w:lang w:eastAsia="zh-TW"/>
        </w:rPr>
        <w:lastRenderedPageBreak/>
        <w:t>استناداً</w:t>
      </w:r>
      <w:r w:rsidRPr="00EF0115">
        <w:rPr>
          <w:rFonts w:ascii="Times New Roman" w:hAnsi="Times New Roman" w:cs="Traditional Arabic"/>
          <w:szCs w:val="30"/>
          <w:rtl/>
          <w:lang w:eastAsia="zh-TW"/>
        </w:rPr>
        <w:t xml:space="preserve"> إلى البيانات الواردة في الفرع 2-5-1 من الإخطار وفي الوثائق الداعمة </w:t>
      </w:r>
      <w:r w:rsidRPr="009421F7">
        <w:rPr>
          <w:rFonts w:asciiTheme="majorBidi" w:hAnsiTheme="majorBidi" w:cstheme="majorBidi"/>
          <w:szCs w:val="20"/>
          <w:rtl/>
          <w:lang w:eastAsia="zh-TW"/>
        </w:rPr>
        <w:t>(</w:t>
      </w:r>
      <w:r w:rsidRPr="00EF0115">
        <w:rPr>
          <w:rFonts w:ascii="Times New Roman" w:hAnsi="Times New Roman" w:cs="Traditional Arabic"/>
          <w:szCs w:val="30"/>
          <w:lang w:eastAsia="zh-TW"/>
        </w:rPr>
        <w:t>UNEP/FAO/RC/CRC.13/INF/29</w:t>
      </w:r>
      <w:r w:rsidRPr="00EF0115">
        <w:rPr>
          <w:rFonts w:ascii="Times New Roman" w:hAnsi="Times New Roman" w:cs="Traditional Arabic"/>
          <w:szCs w:val="30"/>
          <w:rtl/>
          <w:lang w:eastAsia="zh-TW"/>
        </w:rPr>
        <w:t>، الفقرة 22)، توقف إنتاج الفوريت واستيراده وتصديره في البرازيل كما يتضح من الجدول أدناه.</w:t>
      </w:r>
      <w:bookmarkEnd w:id="56"/>
    </w:p>
    <w:p w:rsidR="0056111F" w:rsidRPr="00EF0115" w:rsidRDefault="0056111F" w:rsidP="0056111F">
      <w:pPr>
        <w:numPr>
          <w:ilvl w:val="0"/>
          <w:numId w:val="2"/>
        </w:numPr>
        <w:tabs>
          <w:tab w:val="left" w:pos="1846"/>
        </w:tabs>
        <w:snapToGrid w:val="0"/>
        <w:spacing w:after="120" w:line="400" w:lineRule="exact"/>
        <w:ind w:left="1134" w:firstLine="0"/>
        <w:jc w:val="both"/>
        <w:textDirection w:val="tbRlV"/>
        <w:rPr>
          <w:rFonts w:ascii="Times New Roman" w:hAnsi="Times New Roman" w:cs="Traditional Arabic"/>
          <w:snapToGrid w:val="0"/>
          <w:szCs w:val="30"/>
          <w:rtl/>
          <w:lang w:eastAsia="zh-TW"/>
        </w:rPr>
      </w:pPr>
      <w:bookmarkStart w:id="57" w:name="bookmark_497"/>
      <w:r w:rsidRPr="00EF0115">
        <w:rPr>
          <w:rFonts w:ascii="Times New Roman" w:hAnsi="Times New Roman" w:cs="Traditional Arabic"/>
          <w:szCs w:val="30"/>
          <w:rtl/>
          <w:lang w:eastAsia="zh-TW"/>
        </w:rPr>
        <w:t>وسيمنع الإجراء التنظيمي النهائي الذي اتخذته البرازيل في عام ٢٠١٥ مواصلة إنتاج هذه المادة واستيرادها وتصديرها واستخدامها.</w:t>
      </w:r>
      <w:bookmarkEnd w:id="57"/>
    </w:p>
    <w:tbl>
      <w:tblPr>
        <w:tblStyle w:val="TableGrid"/>
        <w:bidiVisual/>
        <w:tblW w:w="8499" w:type="dxa"/>
        <w:tblInd w:w="1107" w:type="dxa"/>
        <w:tblLayout w:type="fixed"/>
        <w:tblCellMar>
          <w:top w:w="28" w:type="dxa"/>
          <w:bottom w:w="28" w:type="dxa"/>
        </w:tblCellMar>
        <w:tblLook w:val="04A0"/>
      </w:tblPr>
      <w:tblGrid>
        <w:gridCol w:w="1837"/>
        <w:gridCol w:w="3828"/>
        <w:gridCol w:w="2834"/>
      </w:tblGrid>
      <w:tr w:rsidR="0056111F" w:rsidRPr="00AD33C3" w:rsidTr="00D66E4E">
        <w:tc>
          <w:tcPr>
            <w:tcW w:w="1837" w:type="dxa"/>
          </w:tcPr>
          <w:p w:rsidR="0056111F" w:rsidRPr="00AD33C3" w:rsidRDefault="0056111F" w:rsidP="00D66E4E">
            <w:pPr>
              <w:tabs>
                <w:tab w:val="left" w:pos="1846"/>
                <w:tab w:val="left" w:pos="9180"/>
              </w:tabs>
              <w:snapToGrid w:val="0"/>
              <w:spacing w:line="320" w:lineRule="exact"/>
              <w:rPr>
                <w:rFonts w:ascii="Times New Roman" w:hAnsi="Times New Roman" w:cs="Traditional Arabic"/>
                <w:sz w:val="28"/>
              </w:rPr>
            </w:pPr>
          </w:p>
        </w:tc>
        <w:tc>
          <w:tcPr>
            <w:tcW w:w="3828" w:type="dxa"/>
          </w:tcPr>
          <w:p w:rsidR="0056111F" w:rsidRPr="004C3633" w:rsidRDefault="0056111F" w:rsidP="00D66E4E">
            <w:pPr>
              <w:tabs>
                <w:tab w:val="left" w:pos="1846"/>
                <w:tab w:val="left" w:pos="9180"/>
              </w:tabs>
              <w:autoSpaceDE w:val="0"/>
              <w:autoSpaceDN w:val="0"/>
              <w:adjustRightInd w:val="0"/>
              <w:snapToGrid w:val="0"/>
              <w:spacing w:line="320" w:lineRule="exact"/>
              <w:textDirection w:val="tbRlV"/>
              <w:rPr>
                <w:rFonts w:ascii="Times New Roman" w:hAnsi="Times New Roman" w:cs="Traditional Arabic"/>
                <w:i/>
                <w:iCs/>
                <w:sz w:val="28"/>
                <w:rtl/>
                <w:lang w:eastAsia="zh-TW"/>
              </w:rPr>
            </w:pPr>
            <w:bookmarkStart w:id="58" w:name="bookmark_498"/>
            <w:r w:rsidRPr="004C3633">
              <w:rPr>
                <w:rFonts w:ascii="Times New Roman" w:hAnsi="Times New Roman" w:cs="Traditional Arabic"/>
                <w:i/>
                <w:iCs/>
                <w:sz w:val="28"/>
                <w:rtl/>
                <w:lang w:eastAsia="zh-TW"/>
              </w:rPr>
              <w:t>الكمية السنوية (بالأطنان المترية)</w:t>
            </w:r>
            <w:bookmarkEnd w:id="58"/>
          </w:p>
        </w:tc>
        <w:tc>
          <w:tcPr>
            <w:tcW w:w="2834" w:type="dxa"/>
          </w:tcPr>
          <w:p w:rsidR="0056111F" w:rsidRPr="004C3633" w:rsidRDefault="0056111F" w:rsidP="00D66E4E">
            <w:pPr>
              <w:tabs>
                <w:tab w:val="left" w:pos="9180"/>
              </w:tabs>
              <w:snapToGrid w:val="0"/>
              <w:spacing w:line="320" w:lineRule="exact"/>
              <w:jc w:val="both"/>
              <w:textDirection w:val="tbRlV"/>
              <w:rPr>
                <w:rFonts w:ascii="Times New Roman" w:hAnsi="Times New Roman" w:cs="Traditional Arabic"/>
                <w:i/>
                <w:iCs/>
                <w:sz w:val="28"/>
                <w:rtl/>
                <w:lang w:eastAsia="zh-TW"/>
              </w:rPr>
            </w:pPr>
            <w:bookmarkStart w:id="59" w:name="bookmark_499"/>
            <w:r w:rsidRPr="004C3633">
              <w:rPr>
                <w:rFonts w:ascii="Times New Roman" w:hAnsi="Times New Roman" w:cs="Traditional Arabic"/>
                <w:i/>
                <w:iCs/>
                <w:sz w:val="28"/>
                <w:rtl/>
                <w:lang w:eastAsia="zh-TW"/>
              </w:rPr>
              <w:t>السنة</w:t>
            </w:r>
            <w:bookmarkEnd w:id="59"/>
          </w:p>
        </w:tc>
      </w:tr>
      <w:tr w:rsidR="0056111F" w:rsidRPr="00AD33C3" w:rsidTr="00D66E4E">
        <w:tc>
          <w:tcPr>
            <w:tcW w:w="1837" w:type="dxa"/>
          </w:tcPr>
          <w:p w:rsidR="0056111F" w:rsidRPr="00AD33C3" w:rsidRDefault="0056111F" w:rsidP="00D66E4E">
            <w:pPr>
              <w:tabs>
                <w:tab w:val="left" w:pos="1846"/>
                <w:tab w:val="left" w:pos="9180"/>
              </w:tabs>
              <w:snapToGrid w:val="0"/>
              <w:spacing w:line="320" w:lineRule="exact"/>
              <w:textDirection w:val="tbRlV"/>
              <w:rPr>
                <w:rFonts w:ascii="Times New Roman" w:hAnsi="Times New Roman" w:cs="Traditional Arabic"/>
                <w:sz w:val="28"/>
                <w:rtl/>
                <w:lang w:eastAsia="zh-TW"/>
              </w:rPr>
            </w:pPr>
            <w:bookmarkStart w:id="60" w:name="bookmark_500"/>
            <w:r w:rsidRPr="00AD33C3">
              <w:rPr>
                <w:rFonts w:ascii="Times New Roman" w:hAnsi="Times New Roman" w:cs="Traditional Arabic"/>
                <w:sz w:val="28"/>
                <w:rtl/>
                <w:lang w:eastAsia="zh-TW"/>
              </w:rPr>
              <w:t>الكمية المنتجة</w:t>
            </w:r>
            <w:bookmarkEnd w:id="60"/>
          </w:p>
        </w:tc>
        <w:tc>
          <w:tcPr>
            <w:tcW w:w="3828" w:type="dxa"/>
          </w:tcPr>
          <w:p w:rsidR="0056111F" w:rsidRPr="00AD33C3" w:rsidRDefault="0056111F" w:rsidP="00D66E4E">
            <w:pPr>
              <w:tabs>
                <w:tab w:val="left" w:pos="720"/>
                <w:tab w:val="left" w:pos="1846"/>
                <w:tab w:val="left" w:pos="9180"/>
              </w:tabs>
              <w:snapToGrid w:val="0"/>
              <w:spacing w:line="320" w:lineRule="exact"/>
              <w:textDirection w:val="tbRlV"/>
              <w:rPr>
                <w:rFonts w:ascii="Times New Roman" w:hAnsi="Times New Roman" w:cs="Traditional Arabic"/>
                <w:sz w:val="28"/>
                <w:rtl/>
                <w:lang w:eastAsia="zh-TW"/>
              </w:rPr>
            </w:pPr>
            <w:bookmarkStart w:id="61" w:name="bookmark_501"/>
            <w:r w:rsidRPr="00AD33C3">
              <w:rPr>
                <w:rFonts w:ascii="Times New Roman" w:hAnsi="Times New Roman" w:cs="Traditional Arabic"/>
                <w:sz w:val="28"/>
                <w:rtl/>
                <w:lang w:eastAsia="zh-TW"/>
              </w:rPr>
              <w:t>مستحضر (منتج نهائي): ١٥٣,٩ طنا</w:t>
            </w:r>
            <w:bookmarkEnd w:id="61"/>
          </w:p>
        </w:tc>
        <w:tc>
          <w:tcPr>
            <w:tcW w:w="2834" w:type="dxa"/>
          </w:tcPr>
          <w:p w:rsidR="0056111F" w:rsidRPr="00AD33C3" w:rsidRDefault="0056111F" w:rsidP="00D66E4E">
            <w:pPr>
              <w:tabs>
                <w:tab w:val="left" w:pos="9180"/>
              </w:tabs>
              <w:snapToGrid w:val="0"/>
              <w:spacing w:line="320" w:lineRule="exact"/>
              <w:jc w:val="both"/>
              <w:textDirection w:val="tbRlV"/>
              <w:rPr>
                <w:rFonts w:ascii="Times New Roman" w:hAnsi="Times New Roman" w:cs="Traditional Arabic"/>
                <w:sz w:val="28"/>
                <w:rtl/>
                <w:lang w:eastAsia="zh-TW"/>
              </w:rPr>
            </w:pPr>
            <w:bookmarkStart w:id="62" w:name="bookmark_502"/>
            <w:r w:rsidRPr="00AD33C3">
              <w:rPr>
                <w:rFonts w:ascii="Times New Roman" w:hAnsi="Times New Roman" w:cs="Traditional Arabic"/>
                <w:sz w:val="28"/>
                <w:rtl/>
                <w:lang w:eastAsia="zh-TW"/>
              </w:rPr>
              <w:t>٢٠٠٩</w:t>
            </w:r>
            <w:bookmarkEnd w:id="62"/>
          </w:p>
        </w:tc>
      </w:tr>
      <w:tr w:rsidR="0056111F" w:rsidRPr="00AD33C3" w:rsidTr="00D66E4E">
        <w:tc>
          <w:tcPr>
            <w:tcW w:w="1837" w:type="dxa"/>
          </w:tcPr>
          <w:p w:rsidR="0056111F" w:rsidRPr="00AD33C3" w:rsidRDefault="0056111F" w:rsidP="00D66E4E">
            <w:pPr>
              <w:tabs>
                <w:tab w:val="left" w:pos="1846"/>
                <w:tab w:val="left" w:pos="9180"/>
              </w:tabs>
              <w:snapToGrid w:val="0"/>
              <w:spacing w:line="320" w:lineRule="exact"/>
              <w:textDirection w:val="tbRlV"/>
              <w:rPr>
                <w:rFonts w:ascii="Times New Roman" w:hAnsi="Times New Roman" w:cs="Traditional Arabic"/>
                <w:sz w:val="28"/>
                <w:rtl/>
                <w:lang w:eastAsia="zh-TW"/>
              </w:rPr>
            </w:pPr>
            <w:bookmarkStart w:id="63" w:name="bookmark_503"/>
            <w:r w:rsidRPr="00AD33C3">
              <w:rPr>
                <w:rFonts w:ascii="Times New Roman" w:hAnsi="Times New Roman" w:cs="Traditional Arabic"/>
                <w:sz w:val="28"/>
                <w:rtl/>
                <w:lang w:eastAsia="zh-TW"/>
              </w:rPr>
              <w:t>الكمية المستوردة</w:t>
            </w:r>
            <w:bookmarkEnd w:id="63"/>
          </w:p>
        </w:tc>
        <w:tc>
          <w:tcPr>
            <w:tcW w:w="3828" w:type="dxa"/>
          </w:tcPr>
          <w:p w:rsidR="0056111F" w:rsidRPr="00AD33C3" w:rsidRDefault="0056111F" w:rsidP="00D66E4E">
            <w:pPr>
              <w:tabs>
                <w:tab w:val="left" w:pos="720"/>
                <w:tab w:val="left" w:pos="1846"/>
                <w:tab w:val="left" w:pos="9180"/>
              </w:tabs>
              <w:snapToGrid w:val="0"/>
              <w:spacing w:line="320" w:lineRule="exact"/>
              <w:textDirection w:val="tbRlV"/>
              <w:rPr>
                <w:rFonts w:ascii="Times New Roman" w:hAnsi="Times New Roman" w:cs="Traditional Arabic"/>
                <w:sz w:val="28"/>
                <w:rtl/>
                <w:lang w:eastAsia="zh-TW"/>
              </w:rPr>
            </w:pPr>
            <w:bookmarkStart w:id="64" w:name="bookmark_504"/>
            <w:r w:rsidRPr="00AD33C3">
              <w:rPr>
                <w:rFonts w:ascii="Times New Roman" w:hAnsi="Times New Roman" w:cs="Traditional Arabic"/>
                <w:sz w:val="28"/>
                <w:rtl/>
                <w:lang w:eastAsia="zh-TW"/>
              </w:rPr>
              <w:t>مكون نشط: ١٧,١٥ طنا</w:t>
            </w:r>
            <w:bookmarkEnd w:id="64"/>
            <w:r>
              <w:rPr>
                <w:rFonts w:ascii="Times New Roman" w:hAnsi="Times New Roman" w:cs="Traditional Arabic" w:hint="cs"/>
                <w:sz w:val="28"/>
                <w:rtl/>
                <w:lang w:eastAsia="zh-TW"/>
              </w:rPr>
              <w:t>ً</w:t>
            </w:r>
          </w:p>
        </w:tc>
        <w:tc>
          <w:tcPr>
            <w:tcW w:w="2834" w:type="dxa"/>
          </w:tcPr>
          <w:p w:rsidR="0056111F" w:rsidRPr="00AD33C3" w:rsidRDefault="0056111F" w:rsidP="00D66E4E">
            <w:pPr>
              <w:tabs>
                <w:tab w:val="left" w:pos="9180"/>
              </w:tabs>
              <w:snapToGrid w:val="0"/>
              <w:spacing w:line="320" w:lineRule="exact"/>
              <w:jc w:val="both"/>
              <w:textDirection w:val="tbRlV"/>
              <w:rPr>
                <w:rFonts w:ascii="Times New Roman" w:hAnsi="Times New Roman" w:cs="Traditional Arabic"/>
                <w:sz w:val="28"/>
                <w:rtl/>
                <w:lang w:eastAsia="zh-TW"/>
              </w:rPr>
            </w:pPr>
            <w:bookmarkStart w:id="65" w:name="bookmark_505"/>
            <w:r w:rsidRPr="00AD33C3">
              <w:rPr>
                <w:rFonts w:ascii="Times New Roman" w:hAnsi="Times New Roman" w:cs="Traditional Arabic"/>
                <w:sz w:val="28"/>
                <w:rtl/>
                <w:lang w:eastAsia="zh-TW"/>
              </w:rPr>
              <w:t>٢٠٠٩</w:t>
            </w:r>
            <w:bookmarkEnd w:id="65"/>
          </w:p>
        </w:tc>
      </w:tr>
      <w:tr w:rsidR="0056111F" w:rsidRPr="00AD33C3" w:rsidTr="00D66E4E">
        <w:tc>
          <w:tcPr>
            <w:tcW w:w="1837" w:type="dxa"/>
          </w:tcPr>
          <w:p w:rsidR="0056111F" w:rsidRPr="00AD33C3" w:rsidRDefault="0056111F" w:rsidP="00D66E4E">
            <w:pPr>
              <w:tabs>
                <w:tab w:val="left" w:pos="1846"/>
                <w:tab w:val="left" w:pos="9180"/>
              </w:tabs>
              <w:snapToGrid w:val="0"/>
              <w:spacing w:line="320" w:lineRule="exact"/>
              <w:textDirection w:val="tbRlV"/>
              <w:rPr>
                <w:rFonts w:ascii="Times New Roman" w:hAnsi="Times New Roman" w:cs="Traditional Arabic"/>
                <w:sz w:val="28"/>
                <w:rtl/>
                <w:lang w:eastAsia="zh-TW"/>
              </w:rPr>
            </w:pPr>
            <w:bookmarkStart w:id="66" w:name="bookmark_506"/>
            <w:r w:rsidRPr="00AD33C3">
              <w:rPr>
                <w:rFonts w:ascii="Times New Roman" w:hAnsi="Times New Roman" w:cs="Traditional Arabic"/>
                <w:sz w:val="28"/>
                <w:rtl/>
                <w:lang w:eastAsia="zh-TW"/>
              </w:rPr>
              <w:t>الكمية المصدرة</w:t>
            </w:r>
            <w:bookmarkEnd w:id="66"/>
          </w:p>
        </w:tc>
        <w:tc>
          <w:tcPr>
            <w:tcW w:w="3828" w:type="dxa"/>
          </w:tcPr>
          <w:p w:rsidR="0056111F" w:rsidRPr="00AD33C3" w:rsidRDefault="0056111F" w:rsidP="00D66E4E">
            <w:pPr>
              <w:tabs>
                <w:tab w:val="left" w:pos="720"/>
                <w:tab w:val="left" w:pos="1846"/>
                <w:tab w:val="left" w:pos="9180"/>
              </w:tabs>
              <w:snapToGrid w:val="0"/>
              <w:spacing w:line="320" w:lineRule="exact"/>
              <w:textDirection w:val="tbRlV"/>
              <w:rPr>
                <w:rFonts w:ascii="Times New Roman" w:hAnsi="Times New Roman" w:cs="Traditional Arabic"/>
                <w:sz w:val="28"/>
                <w:rtl/>
                <w:lang w:eastAsia="zh-TW"/>
              </w:rPr>
            </w:pPr>
            <w:bookmarkStart w:id="67" w:name="bookmark_507"/>
            <w:r w:rsidRPr="00AD33C3">
              <w:rPr>
                <w:rFonts w:ascii="Times New Roman" w:hAnsi="Times New Roman" w:cs="Traditional Arabic"/>
                <w:sz w:val="28"/>
                <w:rtl/>
                <w:lang w:eastAsia="zh-TW"/>
              </w:rPr>
              <w:t>مكون نشط: 35.96 طنا</w:t>
            </w:r>
            <w:r>
              <w:rPr>
                <w:rFonts w:ascii="Times New Roman" w:hAnsi="Times New Roman" w:cs="Traditional Arabic" w:hint="cs"/>
                <w:sz w:val="28"/>
                <w:rtl/>
                <w:lang w:eastAsia="zh-TW"/>
              </w:rPr>
              <w:t>ً</w:t>
            </w:r>
            <w:bookmarkEnd w:id="67"/>
          </w:p>
        </w:tc>
        <w:tc>
          <w:tcPr>
            <w:tcW w:w="2834" w:type="dxa"/>
          </w:tcPr>
          <w:p w:rsidR="0056111F" w:rsidRPr="00AD33C3" w:rsidRDefault="0056111F" w:rsidP="00D66E4E">
            <w:pPr>
              <w:tabs>
                <w:tab w:val="left" w:pos="9180"/>
              </w:tabs>
              <w:snapToGrid w:val="0"/>
              <w:spacing w:line="320" w:lineRule="exact"/>
              <w:jc w:val="both"/>
              <w:textDirection w:val="tbRlV"/>
              <w:rPr>
                <w:rFonts w:ascii="Times New Roman" w:hAnsi="Times New Roman" w:cs="Traditional Arabic"/>
                <w:sz w:val="28"/>
                <w:rtl/>
                <w:lang w:eastAsia="zh-TW"/>
              </w:rPr>
            </w:pPr>
            <w:bookmarkStart w:id="68" w:name="bookmark_508"/>
            <w:r w:rsidRPr="00AD33C3">
              <w:rPr>
                <w:rFonts w:ascii="Times New Roman" w:hAnsi="Times New Roman" w:cs="Traditional Arabic"/>
                <w:sz w:val="28"/>
                <w:rtl/>
                <w:lang w:eastAsia="zh-TW"/>
              </w:rPr>
              <w:t>٢٠١١</w:t>
            </w:r>
            <w:bookmarkEnd w:id="68"/>
          </w:p>
        </w:tc>
      </w:tr>
      <w:tr w:rsidR="0056111F" w:rsidRPr="00AD33C3" w:rsidTr="00D66E4E">
        <w:tc>
          <w:tcPr>
            <w:tcW w:w="1837" w:type="dxa"/>
            <w:vMerge w:val="restart"/>
          </w:tcPr>
          <w:p w:rsidR="0056111F" w:rsidRPr="00AD33C3" w:rsidRDefault="0056111F" w:rsidP="00D66E4E">
            <w:pPr>
              <w:tabs>
                <w:tab w:val="left" w:pos="1846"/>
                <w:tab w:val="left" w:pos="9180"/>
              </w:tabs>
              <w:autoSpaceDE w:val="0"/>
              <w:autoSpaceDN w:val="0"/>
              <w:adjustRightInd w:val="0"/>
              <w:snapToGrid w:val="0"/>
              <w:spacing w:line="320" w:lineRule="exact"/>
              <w:textDirection w:val="tbRlV"/>
              <w:rPr>
                <w:rFonts w:ascii="Times New Roman" w:hAnsi="Times New Roman" w:cs="Traditional Arabic"/>
                <w:sz w:val="28"/>
                <w:rtl/>
                <w:lang w:eastAsia="zh-TW"/>
              </w:rPr>
            </w:pPr>
            <w:bookmarkStart w:id="69" w:name="bookmark_509"/>
            <w:r w:rsidRPr="00AD33C3">
              <w:rPr>
                <w:rFonts w:ascii="Times New Roman" w:hAnsi="Times New Roman" w:cs="Traditional Arabic"/>
                <w:sz w:val="28"/>
                <w:rtl/>
                <w:lang w:eastAsia="zh-TW"/>
              </w:rPr>
              <w:t>الكمية المستخدمة</w:t>
            </w:r>
            <w:bookmarkEnd w:id="69"/>
          </w:p>
          <w:p w:rsidR="0056111F" w:rsidRPr="00AD33C3" w:rsidRDefault="0056111F" w:rsidP="00D66E4E">
            <w:pPr>
              <w:keepNext/>
              <w:keepLines/>
              <w:tabs>
                <w:tab w:val="left" w:pos="1846"/>
                <w:tab w:val="left" w:pos="4082"/>
                <w:tab w:val="left" w:pos="9180"/>
              </w:tabs>
              <w:suppressAutoHyphens/>
              <w:snapToGrid w:val="0"/>
              <w:spacing w:line="320" w:lineRule="exact"/>
              <w:rPr>
                <w:rFonts w:ascii="Times New Roman" w:hAnsi="Times New Roman" w:cs="Traditional Arabic"/>
                <w:sz w:val="28"/>
              </w:rPr>
            </w:pPr>
          </w:p>
        </w:tc>
        <w:tc>
          <w:tcPr>
            <w:tcW w:w="3828" w:type="dxa"/>
          </w:tcPr>
          <w:p w:rsidR="0056111F" w:rsidRPr="00AD33C3" w:rsidRDefault="0056111F" w:rsidP="00D66E4E">
            <w:pPr>
              <w:tabs>
                <w:tab w:val="left" w:pos="720"/>
                <w:tab w:val="left" w:pos="1846"/>
                <w:tab w:val="left" w:pos="9180"/>
              </w:tabs>
              <w:snapToGrid w:val="0"/>
              <w:spacing w:line="320" w:lineRule="exact"/>
              <w:textDirection w:val="tbRlV"/>
              <w:rPr>
                <w:rFonts w:ascii="Times New Roman" w:hAnsi="Times New Roman" w:cs="Traditional Arabic"/>
                <w:sz w:val="28"/>
                <w:rtl/>
                <w:lang w:eastAsia="zh-TW"/>
              </w:rPr>
            </w:pPr>
            <w:bookmarkStart w:id="70" w:name="bookmark_510"/>
            <w:r w:rsidRPr="00AD33C3">
              <w:rPr>
                <w:rFonts w:ascii="Times New Roman" w:hAnsi="Times New Roman" w:cs="Traditional Arabic"/>
                <w:sz w:val="28"/>
                <w:rtl/>
                <w:lang w:eastAsia="zh-TW"/>
              </w:rPr>
              <w:t>مبيعات المكون النشط: ٢٦,٤٩ طنا</w:t>
            </w:r>
            <w:r>
              <w:rPr>
                <w:rFonts w:ascii="Times New Roman" w:hAnsi="Times New Roman" w:cs="Traditional Arabic" w:hint="cs"/>
                <w:sz w:val="28"/>
                <w:rtl/>
                <w:lang w:eastAsia="zh-TW"/>
              </w:rPr>
              <w:t>ً</w:t>
            </w:r>
            <w:bookmarkEnd w:id="70"/>
          </w:p>
        </w:tc>
        <w:tc>
          <w:tcPr>
            <w:tcW w:w="2834" w:type="dxa"/>
          </w:tcPr>
          <w:p w:rsidR="0056111F" w:rsidRPr="00AD33C3" w:rsidRDefault="0056111F" w:rsidP="00D66E4E">
            <w:pPr>
              <w:tabs>
                <w:tab w:val="left" w:pos="9180"/>
              </w:tabs>
              <w:snapToGrid w:val="0"/>
              <w:spacing w:line="320" w:lineRule="exact"/>
              <w:jc w:val="both"/>
              <w:textDirection w:val="tbRlV"/>
              <w:rPr>
                <w:rFonts w:ascii="Times New Roman" w:hAnsi="Times New Roman" w:cs="Traditional Arabic"/>
                <w:sz w:val="28"/>
                <w:rtl/>
                <w:lang w:eastAsia="zh-TW"/>
              </w:rPr>
            </w:pPr>
            <w:bookmarkStart w:id="71" w:name="bookmark_511"/>
            <w:r w:rsidRPr="00AD33C3">
              <w:rPr>
                <w:rFonts w:ascii="Times New Roman" w:hAnsi="Times New Roman" w:cs="Traditional Arabic"/>
                <w:sz w:val="28"/>
                <w:rtl/>
                <w:lang w:eastAsia="zh-TW"/>
              </w:rPr>
              <w:t>٢٠٠٩</w:t>
            </w:r>
            <w:bookmarkEnd w:id="71"/>
          </w:p>
        </w:tc>
      </w:tr>
      <w:tr w:rsidR="0056111F" w:rsidRPr="00AD33C3" w:rsidTr="00D66E4E">
        <w:tc>
          <w:tcPr>
            <w:tcW w:w="1837" w:type="dxa"/>
            <w:vMerge/>
          </w:tcPr>
          <w:p w:rsidR="0056111F" w:rsidRPr="00AD33C3" w:rsidRDefault="0056111F" w:rsidP="00D66E4E">
            <w:pPr>
              <w:tabs>
                <w:tab w:val="left" w:pos="1846"/>
                <w:tab w:val="left" w:pos="9180"/>
              </w:tabs>
              <w:autoSpaceDE w:val="0"/>
              <w:autoSpaceDN w:val="0"/>
              <w:adjustRightInd w:val="0"/>
              <w:snapToGrid w:val="0"/>
              <w:spacing w:line="320" w:lineRule="exact"/>
              <w:rPr>
                <w:rFonts w:ascii="Times New Roman" w:hAnsi="Times New Roman" w:cs="Traditional Arabic"/>
                <w:sz w:val="28"/>
              </w:rPr>
            </w:pPr>
          </w:p>
        </w:tc>
        <w:tc>
          <w:tcPr>
            <w:tcW w:w="3828" w:type="dxa"/>
          </w:tcPr>
          <w:p w:rsidR="0056111F" w:rsidRPr="00AD33C3" w:rsidRDefault="0056111F" w:rsidP="00D66E4E">
            <w:pPr>
              <w:tabs>
                <w:tab w:val="left" w:pos="720"/>
                <w:tab w:val="left" w:pos="1846"/>
                <w:tab w:val="left" w:pos="9180"/>
              </w:tabs>
              <w:snapToGrid w:val="0"/>
              <w:spacing w:line="320" w:lineRule="exact"/>
              <w:textDirection w:val="tbRlV"/>
              <w:rPr>
                <w:rFonts w:ascii="Times New Roman" w:hAnsi="Times New Roman" w:cs="Traditional Arabic"/>
                <w:sz w:val="28"/>
                <w:rtl/>
                <w:lang w:eastAsia="zh-TW"/>
              </w:rPr>
            </w:pPr>
            <w:bookmarkStart w:id="72" w:name="bookmark_512"/>
            <w:r w:rsidRPr="00AD33C3">
              <w:rPr>
                <w:rFonts w:ascii="Times New Roman" w:hAnsi="Times New Roman" w:cs="Traditional Arabic"/>
                <w:sz w:val="28"/>
                <w:rtl/>
                <w:lang w:eastAsia="zh-TW"/>
              </w:rPr>
              <w:t>مستحضر (منتج نهائي) المبيعات: 272.58 طنا</w:t>
            </w:r>
            <w:r>
              <w:rPr>
                <w:rFonts w:ascii="Times New Roman" w:hAnsi="Times New Roman" w:cs="Traditional Arabic" w:hint="cs"/>
                <w:sz w:val="28"/>
                <w:rtl/>
                <w:lang w:eastAsia="zh-TW"/>
              </w:rPr>
              <w:t>ً</w:t>
            </w:r>
            <w:bookmarkEnd w:id="72"/>
          </w:p>
        </w:tc>
        <w:tc>
          <w:tcPr>
            <w:tcW w:w="2834" w:type="dxa"/>
          </w:tcPr>
          <w:p w:rsidR="0056111F" w:rsidRPr="00AD33C3" w:rsidRDefault="0056111F" w:rsidP="00D66E4E">
            <w:pPr>
              <w:tabs>
                <w:tab w:val="left" w:pos="9180"/>
              </w:tabs>
              <w:snapToGrid w:val="0"/>
              <w:spacing w:line="320" w:lineRule="exact"/>
              <w:jc w:val="both"/>
              <w:textDirection w:val="tbRlV"/>
              <w:rPr>
                <w:rFonts w:ascii="Times New Roman" w:hAnsi="Times New Roman" w:cs="Traditional Arabic"/>
                <w:sz w:val="28"/>
                <w:rtl/>
                <w:lang w:eastAsia="zh-TW"/>
              </w:rPr>
            </w:pPr>
            <w:bookmarkStart w:id="73" w:name="bookmark_513"/>
            <w:r w:rsidRPr="00AD33C3">
              <w:rPr>
                <w:rFonts w:ascii="Times New Roman" w:hAnsi="Times New Roman" w:cs="Traditional Arabic"/>
                <w:sz w:val="28"/>
                <w:rtl/>
                <w:lang w:eastAsia="zh-TW"/>
              </w:rPr>
              <w:t>٢٠٠٩</w:t>
            </w:r>
            <w:bookmarkEnd w:id="73"/>
          </w:p>
        </w:tc>
      </w:tr>
      <w:tr w:rsidR="0056111F" w:rsidRPr="00AD33C3" w:rsidTr="00D66E4E">
        <w:tc>
          <w:tcPr>
            <w:tcW w:w="1837" w:type="dxa"/>
            <w:vMerge/>
          </w:tcPr>
          <w:p w:rsidR="0056111F" w:rsidRPr="00AD33C3" w:rsidRDefault="0056111F" w:rsidP="00D66E4E">
            <w:pPr>
              <w:tabs>
                <w:tab w:val="left" w:pos="1846"/>
                <w:tab w:val="left" w:pos="9180"/>
              </w:tabs>
              <w:autoSpaceDE w:val="0"/>
              <w:autoSpaceDN w:val="0"/>
              <w:adjustRightInd w:val="0"/>
              <w:snapToGrid w:val="0"/>
              <w:spacing w:line="320" w:lineRule="exact"/>
              <w:rPr>
                <w:rFonts w:ascii="Times New Roman" w:hAnsi="Times New Roman" w:cs="Traditional Arabic"/>
                <w:sz w:val="28"/>
              </w:rPr>
            </w:pPr>
          </w:p>
        </w:tc>
        <w:tc>
          <w:tcPr>
            <w:tcW w:w="3828" w:type="dxa"/>
          </w:tcPr>
          <w:p w:rsidR="0056111F" w:rsidRPr="00AD33C3" w:rsidRDefault="0056111F" w:rsidP="00D66E4E">
            <w:pPr>
              <w:tabs>
                <w:tab w:val="left" w:pos="720"/>
                <w:tab w:val="left" w:pos="1846"/>
                <w:tab w:val="left" w:pos="9180"/>
              </w:tabs>
              <w:snapToGrid w:val="0"/>
              <w:spacing w:line="320" w:lineRule="exact"/>
              <w:textDirection w:val="tbRlV"/>
              <w:rPr>
                <w:rFonts w:ascii="Times New Roman" w:hAnsi="Times New Roman" w:cs="Traditional Arabic"/>
                <w:sz w:val="28"/>
                <w:rtl/>
                <w:lang w:eastAsia="zh-TW"/>
              </w:rPr>
            </w:pPr>
            <w:bookmarkStart w:id="74" w:name="bookmark_514"/>
            <w:r w:rsidRPr="00AD33C3">
              <w:rPr>
                <w:rFonts w:ascii="Times New Roman" w:hAnsi="Times New Roman" w:cs="Traditional Arabic"/>
                <w:sz w:val="28"/>
                <w:rtl/>
                <w:lang w:eastAsia="zh-TW"/>
              </w:rPr>
              <w:t>مستحضر (منتج نهائي) المبيعات: 6.72 أطنان</w:t>
            </w:r>
            <w:bookmarkEnd w:id="74"/>
          </w:p>
        </w:tc>
        <w:tc>
          <w:tcPr>
            <w:tcW w:w="2834" w:type="dxa"/>
          </w:tcPr>
          <w:p w:rsidR="0056111F" w:rsidRPr="00AD33C3" w:rsidRDefault="0056111F" w:rsidP="00D66E4E">
            <w:pPr>
              <w:tabs>
                <w:tab w:val="left" w:pos="9180"/>
              </w:tabs>
              <w:snapToGrid w:val="0"/>
              <w:spacing w:line="320" w:lineRule="exact"/>
              <w:jc w:val="both"/>
              <w:textDirection w:val="tbRlV"/>
              <w:rPr>
                <w:rFonts w:ascii="Times New Roman" w:hAnsi="Times New Roman" w:cs="Traditional Arabic"/>
                <w:sz w:val="28"/>
                <w:rtl/>
                <w:lang w:eastAsia="zh-TW"/>
              </w:rPr>
            </w:pPr>
            <w:bookmarkStart w:id="75" w:name="bookmark_515"/>
            <w:r w:rsidRPr="00AD33C3">
              <w:rPr>
                <w:rFonts w:ascii="Times New Roman" w:hAnsi="Times New Roman" w:cs="Traditional Arabic"/>
                <w:sz w:val="28"/>
                <w:rtl/>
                <w:lang w:eastAsia="zh-TW"/>
              </w:rPr>
              <w:t>٢٠١٠</w:t>
            </w:r>
            <w:bookmarkEnd w:id="75"/>
          </w:p>
        </w:tc>
      </w:tr>
      <w:tr w:rsidR="0056111F" w:rsidRPr="00AD33C3" w:rsidTr="00D66E4E">
        <w:tc>
          <w:tcPr>
            <w:tcW w:w="1837" w:type="dxa"/>
            <w:vMerge/>
          </w:tcPr>
          <w:p w:rsidR="0056111F" w:rsidRPr="00AD33C3" w:rsidRDefault="0056111F" w:rsidP="00D66E4E">
            <w:pPr>
              <w:tabs>
                <w:tab w:val="left" w:pos="1846"/>
                <w:tab w:val="left" w:pos="9180"/>
              </w:tabs>
              <w:autoSpaceDE w:val="0"/>
              <w:autoSpaceDN w:val="0"/>
              <w:adjustRightInd w:val="0"/>
              <w:snapToGrid w:val="0"/>
              <w:spacing w:line="320" w:lineRule="exact"/>
              <w:rPr>
                <w:rFonts w:ascii="Times New Roman" w:hAnsi="Times New Roman" w:cs="Traditional Arabic"/>
                <w:sz w:val="28"/>
              </w:rPr>
            </w:pPr>
          </w:p>
        </w:tc>
        <w:tc>
          <w:tcPr>
            <w:tcW w:w="3828" w:type="dxa"/>
          </w:tcPr>
          <w:p w:rsidR="0056111F" w:rsidRPr="00AD33C3" w:rsidRDefault="0056111F" w:rsidP="00D66E4E">
            <w:pPr>
              <w:tabs>
                <w:tab w:val="left" w:pos="720"/>
                <w:tab w:val="left" w:pos="1846"/>
                <w:tab w:val="left" w:pos="9180"/>
              </w:tabs>
              <w:snapToGrid w:val="0"/>
              <w:spacing w:line="320" w:lineRule="exact"/>
              <w:textDirection w:val="tbRlV"/>
              <w:rPr>
                <w:rFonts w:ascii="Times New Roman" w:hAnsi="Times New Roman" w:cs="Traditional Arabic"/>
                <w:sz w:val="28"/>
                <w:rtl/>
                <w:lang w:eastAsia="zh-TW"/>
              </w:rPr>
            </w:pPr>
            <w:bookmarkStart w:id="76" w:name="bookmark_516"/>
            <w:r w:rsidRPr="00AD33C3">
              <w:rPr>
                <w:rFonts w:ascii="Times New Roman" w:hAnsi="Times New Roman" w:cs="Traditional Arabic"/>
                <w:sz w:val="28"/>
                <w:rtl/>
                <w:lang w:eastAsia="zh-TW"/>
              </w:rPr>
              <w:t>مستحضر (منتج نهائي) المبيعات: 0.01 طن</w:t>
            </w:r>
            <w:bookmarkEnd w:id="76"/>
          </w:p>
        </w:tc>
        <w:tc>
          <w:tcPr>
            <w:tcW w:w="2834" w:type="dxa"/>
          </w:tcPr>
          <w:p w:rsidR="0056111F" w:rsidRPr="00AD33C3" w:rsidRDefault="0056111F" w:rsidP="00D66E4E">
            <w:pPr>
              <w:tabs>
                <w:tab w:val="left" w:pos="9180"/>
              </w:tabs>
              <w:snapToGrid w:val="0"/>
              <w:spacing w:line="320" w:lineRule="exact"/>
              <w:jc w:val="both"/>
              <w:textDirection w:val="tbRlV"/>
              <w:rPr>
                <w:rFonts w:ascii="Times New Roman" w:hAnsi="Times New Roman" w:cs="Traditional Arabic"/>
                <w:sz w:val="28"/>
                <w:rtl/>
                <w:lang w:eastAsia="zh-TW"/>
              </w:rPr>
            </w:pPr>
            <w:bookmarkStart w:id="77" w:name="bookmark_517"/>
            <w:r w:rsidRPr="00AD33C3">
              <w:rPr>
                <w:rFonts w:ascii="Times New Roman" w:hAnsi="Times New Roman" w:cs="Traditional Arabic"/>
                <w:sz w:val="28"/>
                <w:rtl/>
                <w:lang w:eastAsia="zh-TW"/>
              </w:rPr>
              <w:t>٢٠١١</w:t>
            </w:r>
            <w:bookmarkEnd w:id="77"/>
          </w:p>
        </w:tc>
      </w:tr>
      <w:tr w:rsidR="0056111F" w:rsidRPr="00AD33C3" w:rsidTr="00D66E4E">
        <w:tc>
          <w:tcPr>
            <w:tcW w:w="1837" w:type="dxa"/>
            <w:vMerge/>
          </w:tcPr>
          <w:p w:rsidR="0056111F" w:rsidRPr="00AD33C3" w:rsidRDefault="0056111F" w:rsidP="00D66E4E">
            <w:pPr>
              <w:tabs>
                <w:tab w:val="left" w:pos="1846"/>
                <w:tab w:val="left" w:pos="9180"/>
              </w:tabs>
              <w:autoSpaceDE w:val="0"/>
              <w:autoSpaceDN w:val="0"/>
              <w:adjustRightInd w:val="0"/>
              <w:snapToGrid w:val="0"/>
              <w:spacing w:line="320" w:lineRule="exact"/>
              <w:rPr>
                <w:rFonts w:ascii="Times New Roman" w:hAnsi="Times New Roman" w:cs="Traditional Arabic"/>
                <w:sz w:val="28"/>
              </w:rPr>
            </w:pPr>
          </w:p>
        </w:tc>
        <w:tc>
          <w:tcPr>
            <w:tcW w:w="3828" w:type="dxa"/>
          </w:tcPr>
          <w:p w:rsidR="0056111F" w:rsidRPr="00AD33C3" w:rsidRDefault="0056111F" w:rsidP="00D66E4E">
            <w:pPr>
              <w:tabs>
                <w:tab w:val="left" w:pos="720"/>
                <w:tab w:val="left" w:pos="1846"/>
                <w:tab w:val="left" w:pos="9180"/>
              </w:tabs>
              <w:snapToGrid w:val="0"/>
              <w:spacing w:line="320" w:lineRule="exact"/>
              <w:textDirection w:val="tbRlV"/>
              <w:rPr>
                <w:rFonts w:ascii="Times New Roman" w:hAnsi="Times New Roman" w:cs="Traditional Arabic"/>
                <w:sz w:val="28"/>
                <w:rtl/>
                <w:lang w:eastAsia="zh-TW"/>
              </w:rPr>
            </w:pPr>
            <w:bookmarkStart w:id="78" w:name="bookmark_518"/>
            <w:r w:rsidRPr="00AD33C3">
              <w:rPr>
                <w:rFonts w:ascii="Times New Roman" w:hAnsi="Times New Roman" w:cs="Traditional Arabic"/>
                <w:sz w:val="28"/>
                <w:rtl/>
                <w:lang w:eastAsia="zh-TW"/>
              </w:rPr>
              <w:t>لم يحدث إنتاج أو استيراد أو تصدير أو مبيعات</w:t>
            </w:r>
            <w:bookmarkEnd w:id="78"/>
          </w:p>
        </w:tc>
        <w:tc>
          <w:tcPr>
            <w:tcW w:w="2834" w:type="dxa"/>
          </w:tcPr>
          <w:p w:rsidR="0056111F" w:rsidRPr="00AD33C3" w:rsidRDefault="0056111F" w:rsidP="00D66E4E">
            <w:pPr>
              <w:tabs>
                <w:tab w:val="left" w:pos="9180"/>
              </w:tabs>
              <w:snapToGrid w:val="0"/>
              <w:spacing w:line="320" w:lineRule="exact"/>
              <w:jc w:val="both"/>
              <w:textDirection w:val="tbRlV"/>
              <w:rPr>
                <w:rFonts w:ascii="Times New Roman" w:hAnsi="Times New Roman" w:cs="Traditional Arabic"/>
                <w:sz w:val="28"/>
                <w:rtl/>
                <w:lang w:eastAsia="zh-TW"/>
              </w:rPr>
            </w:pPr>
            <w:bookmarkStart w:id="79" w:name="bookmark_519"/>
            <w:r w:rsidRPr="00AD33C3">
              <w:rPr>
                <w:rFonts w:ascii="Times New Roman" w:hAnsi="Times New Roman" w:cs="Traditional Arabic"/>
                <w:sz w:val="28"/>
                <w:rtl/>
                <w:lang w:eastAsia="zh-TW"/>
              </w:rPr>
              <w:t>٢٠١٢ و٢٠١٣ و٢٠١٤ و٢٠١٥</w:t>
            </w:r>
            <w:bookmarkEnd w:id="79"/>
          </w:p>
        </w:tc>
      </w:tr>
    </w:tbl>
    <w:p w:rsidR="0056111F" w:rsidRPr="00EF0115" w:rsidRDefault="0056111F" w:rsidP="0056111F">
      <w:pPr>
        <w:numPr>
          <w:ilvl w:val="0"/>
          <w:numId w:val="2"/>
        </w:numPr>
        <w:tabs>
          <w:tab w:val="left" w:pos="1846"/>
        </w:tabs>
        <w:snapToGrid w:val="0"/>
        <w:spacing w:before="240" w:after="120" w:line="400" w:lineRule="exact"/>
        <w:ind w:left="1134" w:firstLine="0"/>
        <w:jc w:val="both"/>
        <w:textDirection w:val="tbRlV"/>
        <w:rPr>
          <w:rFonts w:ascii="Times New Roman" w:hAnsi="Times New Roman" w:cs="Traditional Arabic"/>
          <w:snapToGrid w:val="0"/>
          <w:szCs w:val="30"/>
          <w:rtl/>
          <w:lang w:eastAsia="zh-TW"/>
        </w:rPr>
      </w:pPr>
      <w:bookmarkStart w:id="80" w:name="bookmark_520"/>
      <w:r w:rsidRPr="00EF0115">
        <w:rPr>
          <w:rFonts w:ascii="Times New Roman" w:hAnsi="Times New Roman" w:cs="Traditional Arabic"/>
          <w:szCs w:val="30"/>
          <w:rtl/>
          <w:lang w:eastAsia="zh-TW"/>
        </w:rPr>
        <w:t>وعليه تؤكد اللجنة استيفاء معيار الفقرة (ج) ’1‘.</w:t>
      </w:r>
      <w:bookmarkEnd w:id="80"/>
    </w:p>
    <w:p w:rsidR="0056111F" w:rsidRPr="0049078E" w:rsidRDefault="0056111F" w:rsidP="0056111F">
      <w:pPr>
        <w:pStyle w:val="Normalnumber"/>
        <w:numPr>
          <w:ilvl w:val="0"/>
          <w:numId w:val="0"/>
        </w:numPr>
        <w:tabs>
          <w:tab w:val="clear" w:pos="624"/>
          <w:tab w:val="left" w:pos="3542"/>
        </w:tabs>
        <w:bidi/>
        <w:spacing w:line="400" w:lineRule="exact"/>
        <w:ind w:left="2975" w:hanging="567"/>
        <w:jc w:val="both"/>
        <w:textDirection w:val="tbRlV"/>
        <w:rPr>
          <w:rFonts w:cs="Traditional Arabic"/>
          <w:i/>
          <w:iCs/>
          <w:szCs w:val="30"/>
          <w:rtl/>
          <w:lang w:eastAsia="zh-TW"/>
        </w:rPr>
      </w:pPr>
      <w:bookmarkStart w:id="81" w:name="bookmark_521"/>
      <w:r w:rsidRPr="0049078E">
        <w:rPr>
          <w:rFonts w:cs="Traditional Arabic"/>
          <w:i/>
          <w:iCs/>
          <w:szCs w:val="30"/>
          <w:rtl/>
          <w:lang w:eastAsia="zh-TW"/>
        </w:rPr>
        <w:t>’٢‘</w:t>
      </w:r>
      <w:r w:rsidRPr="0049078E">
        <w:rPr>
          <w:rFonts w:cs="Traditional Arabic"/>
          <w:i/>
          <w:iCs/>
          <w:szCs w:val="30"/>
          <w:rtl/>
          <w:lang w:eastAsia="zh-TW"/>
        </w:rPr>
        <w:tab/>
        <w:t xml:space="preserve">ما إذا كان الإجراء التنظيمي النهائي قد أدى إلى خفض فعلي للمخاطر، أو يتوقع أن يسفر عن خفض كبير </w:t>
      </w:r>
      <w:r w:rsidRPr="0049078E">
        <w:rPr>
          <w:rFonts w:cs="Traditional Arabic" w:hint="cs"/>
          <w:i/>
          <w:iCs/>
          <w:szCs w:val="30"/>
          <w:rtl/>
          <w:lang w:eastAsia="zh-TW"/>
        </w:rPr>
        <w:t>ل</w:t>
      </w:r>
      <w:r w:rsidRPr="0049078E">
        <w:rPr>
          <w:rFonts w:cs="Traditional Arabic"/>
          <w:i/>
          <w:iCs/>
          <w:szCs w:val="30"/>
          <w:rtl/>
          <w:lang w:eastAsia="zh-TW"/>
        </w:rPr>
        <w:t>لمخاطر على صحة البشر أو البيئة لدى الطرف الذي قدم الإخطار؛</w:t>
      </w:r>
      <w:bookmarkEnd w:id="81"/>
    </w:p>
    <w:p w:rsidR="0056111F" w:rsidRPr="00EF0115" w:rsidRDefault="0056111F" w:rsidP="0056111F">
      <w:pPr>
        <w:numPr>
          <w:ilvl w:val="0"/>
          <w:numId w:val="2"/>
        </w:numPr>
        <w:tabs>
          <w:tab w:val="left" w:pos="1846"/>
        </w:tabs>
        <w:snapToGrid w:val="0"/>
        <w:spacing w:after="120" w:line="400" w:lineRule="exact"/>
        <w:ind w:left="1134" w:firstLine="0"/>
        <w:jc w:val="both"/>
        <w:textDirection w:val="tbRlV"/>
        <w:rPr>
          <w:rFonts w:ascii="Times New Roman" w:hAnsi="Times New Roman" w:cs="Traditional Arabic"/>
          <w:snapToGrid w:val="0"/>
          <w:szCs w:val="30"/>
          <w:rtl/>
          <w:lang w:eastAsia="zh-TW"/>
        </w:rPr>
      </w:pPr>
      <w:bookmarkStart w:id="82" w:name="bookmark_522"/>
      <w:r w:rsidRPr="00EF0115">
        <w:rPr>
          <w:rFonts w:ascii="Times New Roman" w:hAnsi="Times New Roman" w:cs="Traditional Arabic"/>
          <w:szCs w:val="30"/>
          <w:rtl/>
          <w:lang w:eastAsia="zh-TW"/>
        </w:rPr>
        <w:t>يحظر الإجراء التنظيمي النهائي إنتاج الفوريت واستخدامه والتجارة فيه واستيراده وتصديره. وتؤكد المعلومات الواردة في الفرع 2-5-1 من الإخطار وفي الوثائق الداعمة انخفاض الكمية المنتجة والمطروحة في السوق من الفوريت في البرازيل إلى الصفر. ونتيجة لذلك فقد خفت المخاطر على صحة البشر الناجمة</w:t>
      </w:r>
      <w:r w:rsidRPr="00EF0115">
        <w:rPr>
          <w:rFonts w:ascii="Times New Roman" w:hAnsi="Times New Roman" w:cs="Traditional Arabic"/>
          <w:szCs w:val="30"/>
          <w:lang w:eastAsia="zh-TW"/>
        </w:rPr>
        <w:t xml:space="preserve"> </w:t>
      </w:r>
      <w:r w:rsidRPr="00EF0115">
        <w:rPr>
          <w:rFonts w:ascii="Times New Roman" w:hAnsi="Times New Roman" w:cs="Traditional Arabic"/>
          <w:szCs w:val="30"/>
          <w:rtl/>
          <w:lang w:eastAsia="zh-TW"/>
        </w:rPr>
        <w:t>عن</w:t>
      </w:r>
      <w:r w:rsidRPr="00EF0115">
        <w:rPr>
          <w:rFonts w:ascii="Times New Roman" w:hAnsi="Times New Roman" w:cs="Traditional Arabic"/>
          <w:szCs w:val="30"/>
          <w:lang w:eastAsia="zh-TW"/>
        </w:rPr>
        <w:t xml:space="preserve"> </w:t>
      </w:r>
      <w:r w:rsidRPr="00EF0115">
        <w:rPr>
          <w:rFonts w:ascii="Times New Roman" w:hAnsi="Times New Roman" w:cs="Traditional Arabic"/>
          <w:szCs w:val="30"/>
          <w:rtl/>
          <w:lang w:eastAsia="zh-TW"/>
        </w:rPr>
        <w:t>استخدام الفوريت بدرجة كبيرة.</w:t>
      </w:r>
      <w:bookmarkEnd w:id="82"/>
    </w:p>
    <w:p w:rsidR="0056111F" w:rsidRPr="00EF0115" w:rsidRDefault="0056111F" w:rsidP="0056111F">
      <w:pPr>
        <w:numPr>
          <w:ilvl w:val="0"/>
          <w:numId w:val="2"/>
        </w:numPr>
        <w:tabs>
          <w:tab w:val="left" w:pos="1846"/>
        </w:tabs>
        <w:snapToGrid w:val="0"/>
        <w:spacing w:after="120" w:line="400" w:lineRule="exact"/>
        <w:ind w:left="1134" w:firstLine="0"/>
        <w:jc w:val="both"/>
        <w:textDirection w:val="tbRlV"/>
        <w:rPr>
          <w:rFonts w:ascii="Times New Roman" w:hAnsi="Times New Roman" w:cs="Traditional Arabic"/>
          <w:snapToGrid w:val="0"/>
          <w:szCs w:val="30"/>
          <w:rtl/>
          <w:lang w:eastAsia="zh-TW"/>
        </w:rPr>
      </w:pPr>
      <w:bookmarkStart w:id="83" w:name="bookmark_523"/>
      <w:r w:rsidRPr="00EF0115">
        <w:rPr>
          <w:rFonts w:ascii="Times New Roman" w:hAnsi="Times New Roman" w:cs="Traditional Arabic"/>
          <w:szCs w:val="30"/>
          <w:rtl/>
          <w:lang w:eastAsia="zh-TW"/>
        </w:rPr>
        <w:t>ومن</w:t>
      </w:r>
      <w:r w:rsidRPr="00EF0115">
        <w:rPr>
          <w:rFonts w:ascii="Times New Roman" w:hAnsi="Times New Roman" w:cs="Traditional Arabic"/>
          <w:szCs w:val="30"/>
          <w:lang w:eastAsia="zh-TW"/>
        </w:rPr>
        <w:t xml:space="preserve"> </w:t>
      </w:r>
      <w:r w:rsidRPr="00EF0115">
        <w:rPr>
          <w:rFonts w:ascii="Times New Roman" w:hAnsi="Times New Roman" w:cs="Traditional Arabic"/>
          <w:szCs w:val="30"/>
          <w:rtl/>
          <w:lang w:eastAsia="zh-TW"/>
        </w:rPr>
        <w:t>ثم تؤكد اللجنة استيفاء المعيار الوارد في الفقرة (ج) ’2‘.</w:t>
      </w:r>
      <w:bookmarkEnd w:id="83"/>
    </w:p>
    <w:p w:rsidR="0056111F" w:rsidRPr="0049078E" w:rsidRDefault="0056111F" w:rsidP="0056111F">
      <w:pPr>
        <w:pStyle w:val="Normalnumber"/>
        <w:numPr>
          <w:ilvl w:val="0"/>
          <w:numId w:val="0"/>
        </w:numPr>
        <w:tabs>
          <w:tab w:val="clear" w:pos="624"/>
          <w:tab w:val="left" w:pos="3542"/>
        </w:tabs>
        <w:bidi/>
        <w:spacing w:line="400" w:lineRule="exact"/>
        <w:ind w:left="2975" w:hanging="567"/>
        <w:jc w:val="both"/>
        <w:textDirection w:val="tbRlV"/>
        <w:rPr>
          <w:rFonts w:cs="Traditional Arabic"/>
          <w:i/>
          <w:iCs/>
          <w:szCs w:val="30"/>
          <w:rtl/>
          <w:lang w:eastAsia="zh-TW"/>
        </w:rPr>
      </w:pPr>
      <w:bookmarkStart w:id="84" w:name="bookmark_524"/>
      <w:r w:rsidRPr="0049078E">
        <w:rPr>
          <w:rFonts w:cs="Traditional Arabic"/>
          <w:i/>
          <w:iCs/>
          <w:szCs w:val="30"/>
          <w:rtl/>
          <w:lang w:eastAsia="zh-TW"/>
        </w:rPr>
        <w:t>’٣‘</w:t>
      </w:r>
      <w:r w:rsidRPr="0049078E">
        <w:rPr>
          <w:rFonts w:cs="Traditional Arabic"/>
          <w:i/>
          <w:iCs/>
          <w:szCs w:val="30"/>
          <w:rtl/>
          <w:lang w:eastAsia="zh-TW"/>
        </w:rPr>
        <w:tab/>
        <w:t>ما إذا كانت الاعتبارات التي أدت إلى اتخاذ الإجراء التنظيمي النهائي غير منطبقة سوى على منطقة جغرافية محدودة، أو في ظروف محدودة أخرى؛</w:t>
      </w:r>
      <w:bookmarkEnd w:id="84"/>
    </w:p>
    <w:p w:rsidR="0056111F" w:rsidRPr="00EF0115" w:rsidRDefault="0056111F" w:rsidP="0056111F">
      <w:pPr>
        <w:numPr>
          <w:ilvl w:val="0"/>
          <w:numId w:val="2"/>
        </w:numPr>
        <w:tabs>
          <w:tab w:val="left" w:pos="1846"/>
        </w:tabs>
        <w:snapToGrid w:val="0"/>
        <w:spacing w:after="120" w:line="400" w:lineRule="exact"/>
        <w:ind w:left="1134" w:firstLine="0"/>
        <w:jc w:val="both"/>
        <w:textDirection w:val="tbRlV"/>
        <w:rPr>
          <w:rFonts w:ascii="Times New Roman" w:hAnsi="Times New Roman" w:cs="Traditional Arabic"/>
          <w:snapToGrid w:val="0"/>
          <w:szCs w:val="30"/>
          <w:rtl/>
          <w:lang w:eastAsia="zh-TW"/>
        </w:rPr>
      </w:pPr>
      <w:bookmarkStart w:id="85" w:name="bookmark_525"/>
      <w:r w:rsidRPr="00EF0115">
        <w:rPr>
          <w:rFonts w:ascii="Times New Roman" w:hAnsi="Times New Roman" w:cs="Traditional Arabic"/>
          <w:szCs w:val="30"/>
          <w:rtl/>
          <w:lang w:eastAsia="zh-TW"/>
        </w:rPr>
        <w:t>يؤكد الفرع 2-5-2 من الإخطار احتمال مواجهة مشاكل صحية وبيئية مماثلة في بلدان أخرى تُستَخدَم فيها هذه المادة.</w:t>
      </w:r>
      <w:bookmarkEnd w:id="85"/>
    </w:p>
    <w:p w:rsidR="0056111F" w:rsidRPr="00EF0115" w:rsidRDefault="0056111F" w:rsidP="0056111F">
      <w:pPr>
        <w:numPr>
          <w:ilvl w:val="0"/>
          <w:numId w:val="2"/>
        </w:numPr>
        <w:tabs>
          <w:tab w:val="left" w:pos="1846"/>
        </w:tabs>
        <w:snapToGrid w:val="0"/>
        <w:spacing w:after="120" w:line="400" w:lineRule="exact"/>
        <w:ind w:left="1134" w:firstLine="0"/>
        <w:jc w:val="both"/>
        <w:textDirection w:val="tbRlV"/>
        <w:rPr>
          <w:rFonts w:ascii="Times New Roman" w:hAnsi="Times New Roman" w:cs="Traditional Arabic"/>
          <w:snapToGrid w:val="0"/>
          <w:szCs w:val="30"/>
          <w:rtl/>
          <w:lang w:eastAsia="zh-TW"/>
        </w:rPr>
      </w:pPr>
      <w:bookmarkStart w:id="86" w:name="bookmark_526"/>
      <w:r w:rsidRPr="00EF0115">
        <w:rPr>
          <w:rFonts w:ascii="Times New Roman" w:hAnsi="Times New Roman" w:cs="Traditional Arabic"/>
          <w:szCs w:val="30"/>
          <w:rtl/>
          <w:lang w:eastAsia="zh-TW"/>
        </w:rPr>
        <w:t xml:space="preserve">ويرد في الوثائق الداعمة </w:t>
      </w:r>
      <w:r w:rsidRPr="009421F7">
        <w:rPr>
          <w:rFonts w:asciiTheme="majorBidi" w:hAnsiTheme="majorBidi" w:cstheme="majorBidi"/>
          <w:szCs w:val="20"/>
          <w:rtl/>
          <w:lang w:eastAsia="zh-TW"/>
        </w:rPr>
        <w:t>(</w:t>
      </w:r>
      <w:r w:rsidRPr="00EF0115">
        <w:rPr>
          <w:rFonts w:ascii="Times New Roman" w:hAnsi="Times New Roman" w:cs="Traditional Arabic"/>
          <w:szCs w:val="30"/>
          <w:lang w:eastAsia="zh-TW"/>
        </w:rPr>
        <w:t>UNEP/FAO/RC/CRC.13/INF/29</w:t>
      </w:r>
      <w:r w:rsidRPr="00EF0115">
        <w:rPr>
          <w:rFonts w:ascii="Times New Roman" w:hAnsi="Times New Roman" w:cs="Traditional Arabic"/>
          <w:szCs w:val="30"/>
          <w:rtl/>
          <w:lang w:eastAsia="zh-TW"/>
        </w:rPr>
        <w:t xml:space="preserve">، الصفحة ٢٢) أنه ينبغي لجميع الدول أن تنظر في تقييد استخدام الفوريت، بسبب المخاطر الشديدة المرتبطة بجميع استخداماته، وبالنظر إلى جميع </w:t>
      </w:r>
      <w:r w:rsidRPr="00EF0115">
        <w:rPr>
          <w:rFonts w:ascii="Times New Roman" w:hAnsi="Times New Roman" w:cs="Traditional Arabic"/>
          <w:szCs w:val="30"/>
          <w:rtl/>
          <w:lang w:eastAsia="zh-TW"/>
        </w:rPr>
        <w:lastRenderedPageBreak/>
        <w:t>الآثار السمية للمكون</w:t>
      </w:r>
      <w:r w:rsidRPr="00EF0115">
        <w:rPr>
          <w:rFonts w:ascii="Times New Roman" w:hAnsi="Times New Roman" w:cs="Traditional Arabic"/>
          <w:szCs w:val="30"/>
          <w:lang w:eastAsia="zh-TW"/>
        </w:rPr>
        <w:t xml:space="preserve"> </w:t>
      </w:r>
      <w:r w:rsidRPr="00EF0115">
        <w:rPr>
          <w:rFonts w:ascii="Times New Roman" w:hAnsi="Times New Roman" w:cs="Traditional Arabic"/>
          <w:szCs w:val="30"/>
          <w:rtl/>
          <w:lang w:eastAsia="zh-TW"/>
        </w:rPr>
        <w:t>النشط، ولا</w:t>
      </w:r>
      <w:r>
        <w:rPr>
          <w:rFonts w:ascii="Times New Roman" w:hAnsi="Times New Roman" w:cs="Traditional Arabic" w:hint="cs"/>
          <w:szCs w:val="30"/>
          <w:rtl/>
          <w:lang w:eastAsia="zh-TW"/>
        </w:rPr>
        <w:t> </w:t>
      </w:r>
      <w:r w:rsidRPr="00EF0115">
        <w:rPr>
          <w:rFonts w:ascii="Times New Roman" w:hAnsi="Times New Roman" w:cs="Traditional Arabic"/>
          <w:szCs w:val="30"/>
          <w:rtl/>
          <w:lang w:eastAsia="zh-TW"/>
        </w:rPr>
        <w:t>سيما ’’كونه ينطوي على خصائص أشد سمية للبشر مما دلت عليه التجارب المخبرية على الحيوانات‘‘؛ واحتمال تسببه في اختلال الغدد الصماء وعدم وجود ترياق أو علاج ناجع في حالات اعْتِلاَل الأَعْصاب المتأخر.</w:t>
      </w:r>
      <w:bookmarkEnd w:id="86"/>
    </w:p>
    <w:p w:rsidR="0056111F" w:rsidRPr="00EF0115" w:rsidRDefault="0056111F" w:rsidP="0056111F">
      <w:pPr>
        <w:numPr>
          <w:ilvl w:val="0"/>
          <w:numId w:val="2"/>
        </w:numPr>
        <w:tabs>
          <w:tab w:val="left" w:pos="1846"/>
        </w:tabs>
        <w:snapToGrid w:val="0"/>
        <w:spacing w:after="120" w:line="400" w:lineRule="exact"/>
        <w:ind w:left="1134" w:firstLine="0"/>
        <w:jc w:val="both"/>
        <w:textDirection w:val="tbRlV"/>
        <w:rPr>
          <w:rFonts w:ascii="Times New Roman" w:hAnsi="Times New Roman" w:cs="Traditional Arabic"/>
          <w:snapToGrid w:val="0"/>
          <w:szCs w:val="30"/>
          <w:rtl/>
          <w:lang w:eastAsia="zh-TW"/>
        </w:rPr>
      </w:pPr>
      <w:bookmarkStart w:id="87" w:name="bookmark_527"/>
      <w:r w:rsidRPr="00EF0115">
        <w:rPr>
          <w:rFonts w:ascii="Times New Roman" w:hAnsi="Times New Roman" w:cs="Traditional Arabic"/>
          <w:szCs w:val="30"/>
          <w:rtl/>
          <w:lang w:eastAsia="zh-TW"/>
        </w:rPr>
        <w:t>ويمكن للاعتبارات التي دفعت البرازيل إلى حظر إنتاج الفوريت واستخدامه وبيعه وتصديره واستيراده أن تنطبق على جميع الدول التي لا يزال المكون النشط يُستخدم فيها كمبيد آفات.</w:t>
      </w:r>
      <w:bookmarkEnd w:id="87"/>
    </w:p>
    <w:p w:rsidR="0056111F" w:rsidRPr="00277F93" w:rsidRDefault="0056111F" w:rsidP="0056111F">
      <w:pPr>
        <w:numPr>
          <w:ilvl w:val="0"/>
          <w:numId w:val="2"/>
        </w:numPr>
        <w:tabs>
          <w:tab w:val="left" w:pos="1846"/>
        </w:tabs>
        <w:snapToGrid w:val="0"/>
        <w:spacing w:after="120" w:line="400" w:lineRule="exact"/>
        <w:ind w:left="1134" w:firstLine="0"/>
        <w:jc w:val="both"/>
        <w:textDirection w:val="tbRlV"/>
        <w:rPr>
          <w:rFonts w:ascii="Times New Roman" w:hAnsi="Times New Roman" w:cs="Traditional Arabic"/>
          <w:szCs w:val="30"/>
          <w:rtl/>
          <w:lang w:eastAsia="zh-TW"/>
        </w:rPr>
      </w:pPr>
      <w:bookmarkStart w:id="88" w:name="bookmark_528"/>
      <w:r w:rsidRPr="00EF0115">
        <w:rPr>
          <w:rFonts w:ascii="Times New Roman" w:hAnsi="Times New Roman" w:cs="Traditional Arabic"/>
          <w:szCs w:val="30"/>
          <w:rtl/>
          <w:lang w:eastAsia="zh-TW"/>
        </w:rPr>
        <w:t xml:space="preserve">وعليه، تؤكد اللجنة استيفاء المعيار الوارد في الفقرة </w:t>
      </w:r>
      <w:r w:rsidRPr="00277F93">
        <w:rPr>
          <w:rFonts w:ascii="Times New Roman" w:hAnsi="Times New Roman" w:cs="Traditional Arabic"/>
          <w:szCs w:val="30"/>
          <w:rtl/>
          <w:lang w:eastAsia="zh-TW"/>
        </w:rPr>
        <w:t>(ج) ’</w:t>
      </w:r>
      <w:r>
        <w:rPr>
          <w:rFonts w:ascii="Times New Roman" w:hAnsi="Times New Roman" w:cs="Traditional Arabic" w:hint="cs"/>
          <w:szCs w:val="30"/>
          <w:rtl/>
          <w:lang w:eastAsia="zh-TW"/>
        </w:rPr>
        <w:t>4</w:t>
      </w:r>
      <w:r w:rsidRPr="00277F93">
        <w:rPr>
          <w:rFonts w:ascii="Times New Roman" w:hAnsi="Times New Roman" w:cs="Traditional Arabic"/>
          <w:szCs w:val="30"/>
          <w:rtl/>
          <w:lang w:eastAsia="zh-TW"/>
        </w:rPr>
        <w:t>‘</w:t>
      </w:r>
      <w:r w:rsidRPr="00EF0115">
        <w:rPr>
          <w:rFonts w:ascii="Times New Roman" w:hAnsi="Times New Roman" w:cs="Traditional Arabic"/>
          <w:szCs w:val="30"/>
          <w:rtl/>
          <w:lang w:eastAsia="zh-TW"/>
        </w:rPr>
        <w:t>.</w:t>
      </w:r>
      <w:bookmarkEnd w:id="88"/>
    </w:p>
    <w:p w:rsidR="0056111F" w:rsidRPr="0049078E" w:rsidRDefault="0056111F" w:rsidP="0056111F">
      <w:pPr>
        <w:pStyle w:val="Normalnumber"/>
        <w:numPr>
          <w:ilvl w:val="0"/>
          <w:numId w:val="0"/>
        </w:numPr>
        <w:tabs>
          <w:tab w:val="clear" w:pos="624"/>
          <w:tab w:val="left" w:pos="3542"/>
        </w:tabs>
        <w:bidi/>
        <w:spacing w:line="400" w:lineRule="exact"/>
        <w:ind w:left="2975" w:hanging="567"/>
        <w:jc w:val="both"/>
        <w:textDirection w:val="tbRlV"/>
        <w:rPr>
          <w:rFonts w:cs="Traditional Arabic"/>
          <w:i/>
          <w:iCs/>
          <w:szCs w:val="30"/>
          <w:rtl/>
          <w:lang w:eastAsia="zh-TW"/>
        </w:rPr>
      </w:pPr>
      <w:bookmarkStart w:id="89" w:name="bookmark_529"/>
      <w:r w:rsidRPr="0049078E">
        <w:rPr>
          <w:rFonts w:cs="Traditional Arabic"/>
          <w:i/>
          <w:iCs/>
          <w:szCs w:val="30"/>
          <w:rtl/>
          <w:lang w:eastAsia="zh-TW"/>
        </w:rPr>
        <w:t>’٤‘</w:t>
      </w:r>
      <w:r w:rsidRPr="0049078E">
        <w:rPr>
          <w:rFonts w:cs="Traditional Arabic"/>
          <w:i/>
          <w:iCs/>
          <w:szCs w:val="30"/>
          <w:rtl/>
          <w:lang w:eastAsia="zh-TW"/>
        </w:rPr>
        <w:tab/>
        <w:t>ما إذا كان هناك دليل على استمرار التداول التجاري في المادة الكيميائية على الصعيد الدولي؛</w:t>
      </w:r>
      <w:bookmarkEnd w:id="89"/>
    </w:p>
    <w:p w:rsidR="0056111F" w:rsidRPr="00277F93" w:rsidRDefault="0056111F" w:rsidP="0056111F">
      <w:pPr>
        <w:numPr>
          <w:ilvl w:val="0"/>
          <w:numId w:val="2"/>
        </w:numPr>
        <w:tabs>
          <w:tab w:val="left" w:pos="1846"/>
        </w:tabs>
        <w:snapToGrid w:val="0"/>
        <w:spacing w:after="120" w:line="400" w:lineRule="exact"/>
        <w:ind w:left="1134" w:firstLine="0"/>
        <w:jc w:val="both"/>
        <w:textDirection w:val="tbRlV"/>
        <w:rPr>
          <w:rFonts w:ascii="Times New Roman" w:hAnsi="Times New Roman" w:cs="Traditional Arabic"/>
          <w:szCs w:val="30"/>
          <w:rtl/>
          <w:lang w:eastAsia="zh-TW"/>
        </w:rPr>
      </w:pPr>
      <w:bookmarkStart w:id="90" w:name="bookmark_530"/>
      <w:r w:rsidRPr="00EF0115">
        <w:rPr>
          <w:rFonts w:ascii="Times New Roman" w:hAnsi="Times New Roman" w:cs="Traditional Arabic"/>
          <w:szCs w:val="30"/>
          <w:rtl/>
          <w:lang w:eastAsia="zh-TW"/>
        </w:rPr>
        <w:t xml:space="preserve">في الوثيقة </w:t>
      </w:r>
      <w:r w:rsidRPr="00EF0115">
        <w:rPr>
          <w:rFonts w:ascii="Times New Roman" w:hAnsi="Times New Roman" w:cs="Traditional Arabic"/>
          <w:szCs w:val="30"/>
          <w:lang w:eastAsia="zh-TW"/>
        </w:rPr>
        <w:t>UNEP/FAO/RC/CRC.13/INF/5</w:t>
      </w:r>
      <w:r w:rsidRPr="00EF0115">
        <w:rPr>
          <w:rFonts w:ascii="Times New Roman" w:hAnsi="Times New Roman" w:cs="Traditional Arabic"/>
          <w:szCs w:val="30"/>
          <w:rtl/>
          <w:lang w:eastAsia="zh-TW"/>
        </w:rPr>
        <w:t xml:space="preserve"> التي تتضمن الردود على طلب تقدمت به الأمانة </w:t>
      </w:r>
      <w:r>
        <w:rPr>
          <w:rFonts w:ascii="Times New Roman" w:hAnsi="Times New Roman" w:cs="Traditional Arabic"/>
          <w:szCs w:val="30"/>
          <w:rtl/>
          <w:lang w:eastAsia="zh-TW"/>
        </w:rPr>
        <w:t>وفقاً</w:t>
      </w:r>
      <w:r w:rsidRPr="00EF0115">
        <w:rPr>
          <w:rFonts w:ascii="Times New Roman" w:hAnsi="Times New Roman" w:cs="Traditional Arabic"/>
          <w:szCs w:val="30"/>
          <w:rtl/>
          <w:lang w:eastAsia="zh-TW"/>
        </w:rPr>
        <w:t xml:space="preserve"> للفقرة (ج) ’٤‘ من المرفق الثاني للاتفاقية بخصوص التجارة، تؤكد المعلومات الواردة من المنظمة الدولية</w:t>
      </w:r>
      <w:r w:rsidRPr="00EF0115">
        <w:rPr>
          <w:rFonts w:ascii="Times New Roman" w:hAnsi="Times New Roman" w:cs="Traditional Arabic"/>
          <w:szCs w:val="30"/>
          <w:lang w:eastAsia="zh-TW"/>
        </w:rPr>
        <w:t xml:space="preserve"> </w:t>
      </w:r>
      <w:r w:rsidRPr="00EF0115">
        <w:rPr>
          <w:rFonts w:ascii="Times New Roman" w:hAnsi="Times New Roman" w:cs="Traditional Arabic"/>
          <w:szCs w:val="30"/>
          <w:rtl/>
          <w:lang w:eastAsia="zh-TW"/>
        </w:rPr>
        <w:t xml:space="preserve">لحياة المحاصيل استمرار التجارة في الفوريت. </w:t>
      </w:r>
      <w:bookmarkEnd w:id="90"/>
    </w:p>
    <w:p w:rsidR="0056111F" w:rsidRPr="00EF0115" w:rsidRDefault="0056111F" w:rsidP="0056111F">
      <w:pPr>
        <w:numPr>
          <w:ilvl w:val="0"/>
          <w:numId w:val="2"/>
        </w:numPr>
        <w:tabs>
          <w:tab w:val="left" w:pos="1846"/>
        </w:tabs>
        <w:snapToGrid w:val="0"/>
        <w:spacing w:after="120" w:line="400" w:lineRule="exact"/>
        <w:ind w:left="1134" w:firstLine="0"/>
        <w:jc w:val="lowKashida"/>
        <w:textDirection w:val="tbRlV"/>
        <w:rPr>
          <w:rFonts w:ascii="Times New Roman" w:hAnsi="Times New Roman" w:cs="Traditional Arabic"/>
          <w:snapToGrid w:val="0"/>
          <w:szCs w:val="30"/>
          <w:rtl/>
          <w:lang w:eastAsia="zh-TW"/>
        </w:rPr>
      </w:pPr>
      <w:bookmarkStart w:id="91" w:name="bookmark_531"/>
      <w:r w:rsidRPr="00EF0115">
        <w:rPr>
          <w:rFonts w:ascii="Times New Roman" w:hAnsi="Times New Roman" w:cs="Traditional Arabic"/>
          <w:szCs w:val="30"/>
          <w:rtl/>
          <w:lang w:eastAsia="zh-TW"/>
        </w:rPr>
        <w:t xml:space="preserve">ويمكن التأكد من استمرار التجارة </w:t>
      </w:r>
      <w:r>
        <w:rPr>
          <w:rFonts w:ascii="Times New Roman" w:hAnsi="Times New Roman" w:cs="Traditional Arabic"/>
          <w:szCs w:val="30"/>
          <w:rtl/>
          <w:lang w:eastAsia="zh-TW"/>
        </w:rPr>
        <w:t>أيضاً</w:t>
      </w:r>
      <w:r w:rsidRPr="00EF0115">
        <w:rPr>
          <w:rFonts w:ascii="Times New Roman" w:hAnsi="Times New Roman" w:cs="Traditional Arabic"/>
          <w:szCs w:val="30"/>
          <w:rtl/>
          <w:lang w:eastAsia="zh-TW"/>
        </w:rPr>
        <w:t xml:space="preserve"> من خلال وجود عروض للبيع على الإنترنت </w:t>
      </w:r>
      <w:r w:rsidRPr="003C27AD">
        <w:rPr>
          <w:rFonts w:asciiTheme="majorBidi" w:hAnsiTheme="majorBidi" w:cstheme="majorBidi"/>
          <w:szCs w:val="20"/>
          <w:rtl/>
          <w:lang w:eastAsia="zh-TW"/>
        </w:rPr>
        <w:t>(https://www.tradeindia.com/suppliers/phorate.html)</w:t>
      </w:r>
      <w:r w:rsidRPr="00EF0115">
        <w:rPr>
          <w:rFonts w:ascii="Times New Roman" w:hAnsi="Times New Roman" w:cs="Traditional Arabic"/>
          <w:szCs w:val="30"/>
          <w:rtl/>
          <w:lang w:eastAsia="zh-TW"/>
        </w:rPr>
        <w:t>.</w:t>
      </w:r>
      <w:bookmarkEnd w:id="91"/>
    </w:p>
    <w:p w:rsidR="0056111F" w:rsidRPr="00277F93" w:rsidRDefault="0056111F" w:rsidP="0056111F">
      <w:pPr>
        <w:numPr>
          <w:ilvl w:val="0"/>
          <w:numId w:val="2"/>
        </w:numPr>
        <w:tabs>
          <w:tab w:val="left" w:pos="1846"/>
        </w:tabs>
        <w:snapToGrid w:val="0"/>
        <w:spacing w:after="120" w:line="400" w:lineRule="exact"/>
        <w:ind w:left="1134" w:firstLine="0"/>
        <w:jc w:val="both"/>
        <w:textDirection w:val="tbRlV"/>
        <w:rPr>
          <w:rFonts w:ascii="Times New Roman" w:hAnsi="Times New Roman" w:cs="Traditional Arabic"/>
          <w:szCs w:val="30"/>
          <w:rtl/>
          <w:lang w:eastAsia="zh-TW"/>
        </w:rPr>
      </w:pPr>
      <w:bookmarkStart w:id="92" w:name="bookmark_532"/>
      <w:r w:rsidRPr="00277F93">
        <w:rPr>
          <w:rFonts w:ascii="Times New Roman" w:hAnsi="Times New Roman" w:cs="Traditional Arabic"/>
          <w:szCs w:val="30"/>
          <w:rtl/>
          <w:lang w:eastAsia="zh-TW"/>
        </w:rPr>
        <w:t>وعليه، تؤكد اللجنة استيفاء المعيار الوارد في الفقرة (ج) ’4‘.</w:t>
      </w:r>
      <w:bookmarkEnd w:id="92"/>
    </w:p>
    <w:p w:rsidR="0056111F" w:rsidRPr="00277F93" w:rsidRDefault="0056111F" w:rsidP="0056111F">
      <w:pPr>
        <w:pStyle w:val="CH3"/>
        <w:tabs>
          <w:tab w:val="clear" w:pos="851"/>
          <w:tab w:val="clear" w:pos="1247"/>
          <w:tab w:val="clear" w:pos="1814"/>
          <w:tab w:val="clear" w:pos="2381"/>
          <w:tab w:val="clear" w:pos="2948"/>
          <w:tab w:val="clear" w:pos="3515"/>
          <w:tab w:val="clear" w:pos="4082"/>
        </w:tabs>
        <w:bidi/>
        <w:spacing w:line="400" w:lineRule="exact"/>
        <w:ind w:left="1134" w:right="0" w:hanging="852"/>
        <w:jc w:val="both"/>
        <w:textDirection w:val="tbRlV"/>
        <w:rPr>
          <w:rFonts w:cs="Traditional Arabic"/>
          <w:bCs/>
          <w:szCs w:val="30"/>
          <w:rtl/>
          <w:lang w:eastAsia="zh-TW"/>
        </w:rPr>
      </w:pPr>
      <w:bookmarkStart w:id="93" w:name="bookmark_533"/>
      <w:r w:rsidRPr="00277F93">
        <w:rPr>
          <w:rFonts w:cs="Traditional Arabic"/>
          <w:bCs/>
          <w:szCs w:val="30"/>
          <w:rtl/>
          <w:lang w:eastAsia="zh-TW"/>
        </w:rPr>
        <w:t>(هـ)</w:t>
      </w:r>
      <w:r w:rsidRPr="00277F93">
        <w:rPr>
          <w:rFonts w:cs="Traditional Arabic"/>
          <w:bCs/>
          <w:szCs w:val="30"/>
          <w:rtl/>
          <w:lang w:eastAsia="zh-TW"/>
        </w:rPr>
        <w:tab/>
        <w:t>المعيار الوارد في الفقرة (د) من المرفق الثاني</w:t>
      </w:r>
      <w:bookmarkEnd w:id="93"/>
    </w:p>
    <w:p w:rsidR="0056111F" w:rsidRPr="00012EA5" w:rsidRDefault="0056111F" w:rsidP="0056111F">
      <w:pPr>
        <w:pStyle w:val="Normalnumber"/>
        <w:numPr>
          <w:ilvl w:val="0"/>
          <w:numId w:val="0"/>
        </w:numPr>
        <w:tabs>
          <w:tab w:val="clear" w:pos="624"/>
          <w:tab w:val="left" w:pos="2408"/>
        </w:tabs>
        <w:bidi/>
        <w:spacing w:line="400" w:lineRule="exact"/>
        <w:ind w:left="1132" w:firstLine="709"/>
        <w:jc w:val="both"/>
        <w:textDirection w:val="tbRlV"/>
        <w:rPr>
          <w:rFonts w:cs="Traditional Arabic"/>
          <w:i/>
          <w:iCs/>
          <w:szCs w:val="30"/>
          <w:rtl/>
          <w:lang w:eastAsia="zh-TW"/>
        </w:rPr>
      </w:pPr>
      <w:bookmarkStart w:id="94" w:name="bookmark_534"/>
      <w:r w:rsidRPr="00012EA5">
        <w:rPr>
          <w:rFonts w:cs="Traditional Arabic"/>
          <w:i/>
          <w:iCs/>
          <w:szCs w:val="30"/>
          <w:rtl/>
          <w:lang w:eastAsia="zh-TW"/>
        </w:rPr>
        <w:t>(د)</w:t>
      </w:r>
      <w:r>
        <w:rPr>
          <w:rFonts w:cs="Traditional Arabic"/>
          <w:i/>
          <w:iCs/>
          <w:szCs w:val="30"/>
          <w:rtl/>
          <w:lang w:eastAsia="zh-TW"/>
        </w:rPr>
        <w:tab/>
      </w:r>
      <w:r w:rsidRPr="00012EA5">
        <w:rPr>
          <w:rFonts w:cs="Traditional Arabic"/>
          <w:i/>
          <w:iCs/>
          <w:szCs w:val="30"/>
          <w:rtl/>
          <w:lang w:eastAsia="zh-TW"/>
        </w:rPr>
        <w:t>أن يؤخذ في الاعتبار أن إساءة الاستخدام المتعمدة لا تشكل بحد ذاتها سبباً كافياً لإدراج المادة الكيميائية في المرفق الثالث.</w:t>
      </w:r>
      <w:bookmarkEnd w:id="94"/>
    </w:p>
    <w:p w:rsidR="0056111F" w:rsidRPr="00EF0115" w:rsidRDefault="0056111F" w:rsidP="0056111F">
      <w:pPr>
        <w:numPr>
          <w:ilvl w:val="0"/>
          <w:numId w:val="2"/>
        </w:numPr>
        <w:tabs>
          <w:tab w:val="left" w:pos="1846"/>
        </w:tabs>
        <w:snapToGrid w:val="0"/>
        <w:spacing w:after="120" w:line="400" w:lineRule="exact"/>
        <w:ind w:left="1134" w:firstLine="0"/>
        <w:jc w:val="both"/>
        <w:textDirection w:val="tbRlV"/>
        <w:rPr>
          <w:rFonts w:ascii="Times New Roman" w:eastAsia="SimSun" w:hAnsi="Times New Roman" w:cs="Traditional Arabic"/>
          <w:snapToGrid w:val="0"/>
          <w:szCs w:val="30"/>
          <w:rtl/>
          <w:lang w:eastAsia="zh-TW"/>
        </w:rPr>
      </w:pPr>
      <w:bookmarkStart w:id="95" w:name="bookmark_535"/>
      <w:r w:rsidRPr="00EF0115">
        <w:rPr>
          <w:rFonts w:ascii="Times New Roman" w:hAnsi="Times New Roman" w:cs="Traditional Arabic"/>
          <w:szCs w:val="30"/>
          <w:rtl/>
          <w:lang w:eastAsia="zh-TW"/>
        </w:rPr>
        <w:t xml:space="preserve">لا يوجد أي دليل في الإخطار أو في الوثائق الداعمة على أن الإجراء التنظيمي النهائي اتُّخذ مخافة إساءة الاستخدام المتعمدة للفوريت. </w:t>
      </w:r>
      <w:bookmarkEnd w:id="95"/>
    </w:p>
    <w:p w:rsidR="0056111F" w:rsidRPr="00EF0115" w:rsidRDefault="0056111F" w:rsidP="0056111F">
      <w:pPr>
        <w:numPr>
          <w:ilvl w:val="0"/>
          <w:numId w:val="2"/>
        </w:numPr>
        <w:tabs>
          <w:tab w:val="left" w:pos="1846"/>
        </w:tabs>
        <w:snapToGrid w:val="0"/>
        <w:spacing w:after="120" w:line="400" w:lineRule="exact"/>
        <w:ind w:left="1134" w:firstLine="0"/>
        <w:jc w:val="both"/>
        <w:textDirection w:val="tbRlV"/>
        <w:rPr>
          <w:rFonts w:ascii="Times New Roman" w:eastAsia="SimSun" w:hAnsi="Times New Roman" w:cs="Traditional Arabic"/>
          <w:snapToGrid w:val="0"/>
          <w:szCs w:val="30"/>
          <w:rtl/>
          <w:lang w:eastAsia="zh-TW"/>
        </w:rPr>
      </w:pPr>
      <w:bookmarkStart w:id="96" w:name="bookmark_536"/>
      <w:r w:rsidRPr="00EF0115">
        <w:rPr>
          <w:rFonts w:ascii="Times New Roman" w:hAnsi="Times New Roman" w:cs="Traditional Arabic"/>
          <w:szCs w:val="30"/>
          <w:rtl/>
          <w:lang w:eastAsia="zh-TW"/>
        </w:rPr>
        <w:t>و</w:t>
      </w:r>
      <w:r>
        <w:rPr>
          <w:rFonts w:ascii="Times New Roman" w:hAnsi="Times New Roman" w:cs="Traditional Arabic"/>
          <w:szCs w:val="30"/>
          <w:rtl/>
          <w:lang w:eastAsia="zh-TW"/>
        </w:rPr>
        <w:t>استناداً</w:t>
      </w:r>
      <w:r w:rsidRPr="00EF0115">
        <w:rPr>
          <w:rFonts w:ascii="Times New Roman" w:hAnsi="Times New Roman" w:cs="Traditional Arabic"/>
          <w:szCs w:val="30"/>
          <w:rtl/>
          <w:lang w:eastAsia="zh-TW"/>
        </w:rPr>
        <w:t xml:space="preserve"> إلى ما ورد أعلاه، تؤكد اللجنة أن المعيار الوارد في الفقرة (د) قد استُوفي. </w:t>
      </w:r>
      <w:bookmarkEnd w:id="96"/>
    </w:p>
    <w:p w:rsidR="0056111F" w:rsidRPr="005B4476" w:rsidRDefault="0056111F" w:rsidP="0056111F">
      <w:pPr>
        <w:pStyle w:val="CH3"/>
        <w:tabs>
          <w:tab w:val="clear" w:pos="851"/>
          <w:tab w:val="clear" w:pos="1247"/>
          <w:tab w:val="clear" w:pos="1814"/>
          <w:tab w:val="clear" w:pos="2381"/>
          <w:tab w:val="clear" w:pos="2948"/>
          <w:tab w:val="clear" w:pos="3515"/>
          <w:tab w:val="clear" w:pos="4082"/>
        </w:tabs>
        <w:bidi/>
        <w:spacing w:line="400" w:lineRule="exact"/>
        <w:ind w:left="1134" w:right="0" w:hanging="852"/>
        <w:jc w:val="both"/>
        <w:textDirection w:val="tbRlV"/>
        <w:rPr>
          <w:rFonts w:cs="Traditional Arabic"/>
          <w:bCs/>
          <w:szCs w:val="30"/>
          <w:rtl/>
          <w:lang w:eastAsia="zh-TW"/>
        </w:rPr>
      </w:pPr>
      <w:bookmarkStart w:id="97" w:name="bookmark_537"/>
      <w:r w:rsidRPr="005B4476">
        <w:rPr>
          <w:rFonts w:cs="Traditional Arabic"/>
          <w:bCs/>
          <w:szCs w:val="30"/>
          <w:rtl/>
          <w:lang w:eastAsia="zh-TW"/>
        </w:rPr>
        <w:t>(و)</w:t>
      </w:r>
      <w:r w:rsidRPr="005B4476">
        <w:rPr>
          <w:rFonts w:cs="Traditional Arabic"/>
          <w:bCs/>
          <w:szCs w:val="30"/>
          <w:rtl/>
          <w:lang w:eastAsia="zh-TW"/>
        </w:rPr>
        <w:tab/>
        <w:t>الاستنتاج</w:t>
      </w:r>
      <w:bookmarkEnd w:id="97"/>
    </w:p>
    <w:p w:rsidR="00D22374" w:rsidRPr="0056111F" w:rsidRDefault="0056111F" w:rsidP="0056111F">
      <w:pPr>
        <w:numPr>
          <w:ilvl w:val="0"/>
          <w:numId w:val="2"/>
        </w:numPr>
        <w:tabs>
          <w:tab w:val="left" w:pos="1846"/>
        </w:tabs>
        <w:snapToGrid w:val="0"/>
        <w:spacing w:line="400" w:lineRule="exact"/>
        <w:ind w:left="1138" w:firstLine="0"/>
        <w:jc w:val="both"/>
        <w:textDirection w:val="tbRlV"/>
        <w:rPr>
          <w:rFonts w:ascii="Times New Roman" w:hAnsi="Times New Roman" w:cs="Traditional Arabic"/>
          <w:szCs w:val="30"/>
          <w:lang w:eastAsia="zh-TW"/>
        </w:rPr>
      </w:pPr>
      <w:bookmarkStart w:id="98" w:name="bookmark_538"/>
      <w:r w:rsidRPr="00EF0115">
        <w:rPr>
          <w:rFonts w:ascii="Times New Roman" w:hAnsi="Times New Roman" w:cs="Traditional Arabic"/>
          <w:szCs w:val="30"/>
          <w:rtl/>
          <w:lang w:eastAsia="zh-TW"/>
        </w:rPr>
        <w:t xml:space="preserve">من ثم، تستنتج اللجنة أن الإخطار بإجراء تنظيمي نهائي الذي قدمته البرازيل بشأن الفوريت ضمن فئة مبيدات الآفات يستوفي جميع المعايير الواردة في المرفق الثاني للاتفاقية. وباعتبار الاستنتاج الذي توصلت إليه اللجنة بأن الإخطار بإجراء تنظيمي نهائي الذي قدمته كندا بشأن الفوريت استوفى </w:t>
      </w:r>
      <w:r>
        <w:rPr>
          <w:rFonts w:ascii="Times New Roman" w:hAnsi="Times New Roman" w:cs="Traditional Arabic"/>
          <w:szCs w:val="30"/>
          <w:rtl/>
          <w:lang w:eastAsia="zh-TW"/>
        </w:rPr>
        <w:t>أيضاً</w:t>
      </w:r>
      <w:r w:rsidRPr="00EF0115">
        <w:rPr>
          <w:rFonts w:ascii="Times New Roman" w:hAnsi="Times New Roman" w:cs="Traditional Arabic"/>
          <w:szCs w:val="30"/>
          <w:rtl/>
          <w:lang w:eastAsia="zh-TW"/>
        </w:rPr>
        <w:t xml:space="preserve"> المعايير الواردة في المرفق الثاني</w:t>
      </w:r>
      <w:r w:rsidRPr="00EF0115">
        <w:rPr>
          <w:rFonts w:ascii="Times New Roman" w:hAnsi="Times New Roman" w:cs="Traditional Arabic"/>
          <w:szCs w:val="30"/>
          <w:vertAlign w:val="superscript"/>
          <w:rtl/>
          <w:lang w:eastAsia="zh-TW"/>
        </w:rPr>
        <w:t>(</w:t>
      </w:r>
      <w:r w:rsidRPr="00EF0115">
        <w:rPr>
          <w:rStyle w:val="FootnoteReference"/>
          <w:rFonts w:ascii="Times New Roman" w:hAnsi="Times New Roman" w:cs="Traditional Arabic"/>
          <w:szCs w:val="30"/>
          <w:rtl/>
          <w:lang w:eastAsia="zh-TW"/>
        </w:rPr>
        <w:footnoteReference w:id="3"/>
      </w:r>
      <w:r w:rsidRPr="00EF0115">
        <w:rPr>
          <w:rFonts w:ascii="Times New Roman" w:hAnsi="Times New Roman" w:cs="Traditional Arabic"/>
          <w:szCs w:val="30"/>
          <w:vertAlign w:val="superscript"/>
          <w:rtl/>
          <w:lang w:eastAsia="zh-TW"/>
        </w:rPr>
        <w:t>)</w:t>
      </w:r>
      <w:r w:rsidRPr="00EF0115">
        <w:rPr>
          <w:rFonts w:ascii="Times New Roman" w:hAnsi="Times New Roman" w:cs="Traditional Arabic"/>
          <w:szCs w:val="30"/>
          <w:rtl/>
          <w:lang w:eastAsia="zh-TW"/>
        </w:rPr>
        <w:t xml:space="preserve">، تخلص اللجنة إلى أن الإجراءات التنظيمية النهائية التي اتخذتها البرازيل وكندا توفر أساسا </w:t>
      </w:r>
      <w:r>
        <w:rPr>
          <w:rFonts w:ascii="Times New Roman" w:hAnsi="Times New Roman" w:cs="Traditional Arabic" w:hint="cs"/>
          <w:szCs w:val="30"/>
          <w:rtl/>
          <w:lang w:eastAsia="zh-TW"/>
        </w:rPr>
        <w:t>ً</w:t>
      </w:r>
      <w:r w:rsidRPr="00EF0115">
        <w:rPr>
          <w:rFonts w:ascii="Times New Roman" w:hAnsi="Times New Roman" w:cs="Traditional Arabic"/>
          <w:szCs w:val="30"/>
          <w:rtl/>
          <w:lang w:eastAsia="zh-TW"/>
        </w:rPr>
        <w:t>كافيا</w:t>
      </w:r>
      <w:r>
        <w:rPr>
          <w:rFonts w:ascii="Times New Roman" w:hAnsi="Times New Roman" w:cs="Traditional Arabic" w:hint="cs"/>
          <w:szCs w:val="30"/>
          <w:rtl/>
          <w:lang w:eastAsia="zh-TW"/>
        </w:rPr>
        <w:t>ً</w:t>
      </w:r>
      <w:r w:rsidRPr="00EF0115">
        <w:rPr>
          <w:rFonts w:ascii="Times New Roman" w:hAnsi="Times New Roman" w:cs="Traditional Arabic"/>
          <w:szCs w:val="30"/>
          <w:rtl/>
          <w:lang w:eastAsia="zh-TW"/>
        </w:rPr>
        <w:t xml:space="preserve"> يبرر إدراج الفوريت في المرفق الثالث للاتفاقية ضمن فئة مبيدات الآفات، وأنه ينبغي صياغة وثيقة توجيه قرارات على أساس هذه الإخطارات.</w:t>
      </w:r>
      <w:bookmarkEnd w:id="98"/>
    </w:p>
    <w:sectPr w:rsidR="00D22374" w:rsidRPr="0056111F" w:rsidSect="00D2237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412A" w:rsidRDefault="00FF412A" w:rsidP="0056111F">
      <w:r>
        <w:separator/>
      </w:r>
    </w:p>
  </w:endnote>
  <w:endnote w:type="continuationSeparator" w:id="0">
    <w:p w:rsidR="00FF412A" w:rsidRDefault="00FF412A" w:rsidP="005611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412A" w:rsidRDefault="00FF412A" w:rsidP="0056111F">
      <w:r>
        <w:separator/>
      </w:r>
    </w:p>
  </w:footnote>
  <w:footnote w:type="continuationSeparator" w:id="0">
    <w:p w:rsidR="00FF412A" w:rsidRDefault="00FF412A" w:rsidP="0056111F">
      <w:r>
        <w:continuationSeparator/>
      </w:r>
    </w:p>
  </w:footnote>
  <w:footnote w:id="1">
    <w:p w:rsidR="0056111F" w:rsidRPr="00012EA5" w:rsidRDefault="0056111F" w:rsidP="0056111F">
      <w:pPr>
        <w:pStyle w:val="FootnoteText"/>
        <w:spacing w:after="60" w:line="300" w:lineRule="exact"/>
        <w:ind w:left="1134"/>
        <w:textDirection w:val="tbRlV"/>
        <w:rPr>
          <w:rFonts w:ascii="Traditional Arabic" w:hAnsi="Traditional Arabic" w:cs="Traditional Arabic"/>
          <w:sz w:val="26"/>
          <w:szCs w:val="26"/>
          <w:rtl/>
          <w:lang w:val="en-GB" w:eastAsia="zh-TW"/>
        </w:rPr>
      </w:pPr>
      <w:r w:rsidRPr="00012EA5">
        <w:rPr>
          <w:rFonts w:ascii="Traditional Arabic" w:hAnsi="Traditional Arabic" w:cs="Traditional Arabic" w:hint="cs"/>
          <w:sz w:val="26"/>
          <w:szCs w:val="26"/>
          <w:lang w:val="en-GB" w:eastAsia="zh-TW"/>
        </w:rPr>
        <w:t>)</w:t>
      </w:r>
      <w:r w:rsidRPr="00012EA5">
        <w:rPr>
          <w:rFonts w:ascii="Traditional Arabic" w:hAnsi="Traditional Arabic" w:cs="Traditional Arabic"/>
          <w:sz w:val="26"/>
          <w:szCs w:val="26"/>
          <w:rtl/>
        </w:rPr>
        <w:footnoteRef/>
      </w:r>
      <w:bookmarkStart w:id="4" w:name="footnoteBookmark_444"/>
      <w:r w:rsidRPr="003C27AD">
        <w:rPr>
          <w:rFonts w:asciiTheme="majorBidi" w:hAnsiTheme="majorBidi" w:cstheme="majorBidi"/>
          <w:sz w:val="18"/>
          <w:szCs w:val="18"/>
          <w:lang w:val="en-GB" w:eastAsia="zh-TW"/>
        </w:rPr>
        <w:t>UNEP/FAO/RC/CRC.5/16</w:t>
      </w:r>
      <w:r w:rsidRPr="00012EA5">
        <w:rPr>
          <w:rFonts w:ascii="Traditional Arabic" w:hAnsi="Traditional Arabic" w:cs="Traditional Arabic" w:hint="cs"/>
          <w:sz w:val="26"/>
          <w:szCs w:val="26"/>
          <w:lang w:val="en-GB" w:eastAsia="zh-TW"/>
        </w:rPr>
        <w:t xml:space="preserve">  (</w:t>
      </w:r>
      <w:r w:rsidRPr="00012EA5">
        <w:rPr>
          <w:rFonts w:ascii="Traditional Arabic" w:hAnsi="Traditional Arabic" w:cs="Traditional Arabic"/>
          <w:sz w:val="26"/>
          <w:szCs w:val="26"/>
          <w:rtl/>
          <w:lang w:val="en-GB" w:eastAsia="zh-TW"/>
        </w:rPr>
        <w:t>، المرفق الثالث، الفرع باء.</w:t>
      </w:r>
      <w:bookmarkEnd w:id="4"/>
    </w:p>
  </w:footnote>
  <w:footnote w:id="2">
    <w:p w:rsidR="0056111F" w:rsidRPr="00012EA5" w:rsidRDefault="0056111F" w:rsidP="0056111F">
      <w:pPr>
        <w:pStyle w:val="FootnoteText"/>
        <w:spacing w:after="60" w:line="300" w:lineRule="exact"/>
        <w:ind w:left="1134"/>
        <w:textDirection w:val="tbRlV"/>
        <w:rPr>
          <w:rFonts w:ascii="Traditional Arabic" w:hAnsi="Traditional Arabic" w:cs="Traditional Arabic"/>
          <w:sz w:val="26"/>
          <w:szCs w:val="26"/>
          <w:rtl/>
          <w:lang w:val="en-GB" w:eastAsia="zh-TW"/>
        </w:rPr>
      </w:pPr>
      <w:r w:rsidRPr="00012EA5">
        <w:rPr>
          <w:rFonts w:ascii="Traditional Arabic" w:hAnsi="Traditional Arabic" w:cs="Traditional Arabic" w:hint="cs"/>
          <w:sz w:val="26"/>
          <w:szCs w:val="26"/>
          <w:lang w:val="en-GB" w:eastAsia="zh-TW"/>
        </w:rPr>
        <w:t>)</w:t>
      </w:r>
      <w:r w:rsidRPr="00012EA5">
        <w:rPr>
          <w:rFonts w:ascii="Traditional Arabic" w:hAnsi="Traditional Arabic" w:cs="Traditional Arabic"/>
          <w:sz w:val="26"/>
          <w:szCs w:val="26"/>
          <w:rtl/>
        </w:rPr>
        <w:footnoteRef/>
      </w:r>
      <w:bookmarkStart w:id="6" w:name="footnoteBookmark_446"/>
      <w:r w:rsidRPr="00012EA5">
        <w:rPr>
          <w:rFonts w:ascii="Traditional Arabic" w:hAnsi="Traditional Arabic" w:cs="Traditional Arabic" w:hint="cs"/>
          <w:sz w:val="26"/>
          <w:szCs w:val="26"/>
          <w:lang w:val="en-GB" w:eastAsia="zh-TW"/>
        </w:rPr>
        <w:t>(</w:t>
      </w:r>
      <w:r w:rsidRPr="00012EA5">
        <w:rPr>
          <w:rFonts w:ascii="Traditional Arabic" w:hAnsi="Traditional Arabic" w:cs="Traditional Arabic" w:hint="cs"/>
          <w:sz w:val="26"/>
          <w:szCs w:val="26"/>
          <w:rtl/>
          <w:lang w:val="en-GB" w:eastAsia="zh-TW"/>
        </w:rPr>
        <w:t xml:space="preserve"> </w:t>
      </w:r>
      <w:r>
        <w:rPr>
          <w:rFonts w:ascii="Traditional Arabic" w:hAnsi="Traditional Arabic" w:cs="Traditional Arabic" w:hint="cs"/>
          <w:sz w:val="26"/>
          <w:szCs w:val="26"/>
          <w:rtl/>
          <w:lang w:val="en-GB" w:eastAsia="zh-TW"/>
        </w:rPr>
        <w:t xml:space="preserve"> </w:t>
      </w:r>
      <w:r w:rsidRPr="00012EA5">
        <w:rPr>
          <w:rFonts w:ascii="Traditional Arabic" w:hAnsi="Traditional Arabic" w:cs="Traditional Arabic" w:hint="cs"/>
          <w:sz w:val="26"/>
          <w:szCs w:val="26"/>
          <w:rtl/>
          <w:lang w:val="en-GB" w:eastAsia="zh-TW"/>
        </w:rPr>
        <w:t>ا</w:t>
      </w:r>
      <w:r w:rsidRPr="00012EA5">
        <w:rPr>
          <w:rFonts w:ascii="Traditional Arabic" w:hAnsi="Traditional Arabic" w:cs="Traditional Arabic"/>
          <w:sz w:val="26"/>
          <w:szCs w:val="26"/>
          <w:rtl/>
          <w:lang w:val="en-GB" w:eastAsia="zh-TW"/>
        </w:rPr>
        <w:t xml:space="preserve">نظر </w:t>
      </w:r>
      <w:r w:rsidRPr="003C27AD">
        <w:rPr>
          <w:rFonts w:asciiTheme="majorBidi" w:hAnsiTheme="majorBidi" w:cstheme="majorBidi"/>
          <w:sz w:val="18"/>
          <w:szCs w:val="18"/>
          <w:lang w:val="en-GB" w:eastAsia="zh-TW"/>
        </w:rPr>
        <w:t>UNEP/FAO/RC/CRC.13/13</w:t>
      </w:r>
      <w:r w:rsidRPr="00012EA5">
        <w:rPr>
          <w:rFonts w:ascii="Traditional Arabic" w:hAnsi="Traditional Arabic" w:cs="Traditional Arabic"/>
          <w:sz w:val="26"/>
          <w:szCs w:val="26"/>
          <w:rtl/>
          <w:lang w:val="en-GB" w:eastAsia="zh-TW"/>
        </w:rPr>
        <w:t>.</w:t>
      </w:r>
      <w:bookmarkEnd w:id="6"/>
    </w:p>
  </w:footnote>
  <w:footnote w:id="3">
    <w:p w:rsidR="0056111F" w:rsidRPr="00012EA5" w:rsidRDefault="0056111F" w:rsidP="0056111F">
      <w:pPr>
        <w:pStyle w:val="FootnoteText"/>
        <w:spacing w:line="300" w:lineRule="exact"/>
        <w:ind w:left="1134"/>
        <w:textDirection w:val="tbRlV"/>
        <w:rPr>
          <w:rFonts w:ascii="Traditional Arabic" w:hAnsi="Traditional Arabic" w:cs="Traditional Arabic"/>
          <w:sz w:val="26"/>
          <w:szCs w:val="26"/>
          <w:rtl/>
          <w:lang w:val="en-GB" w:eastAsia="zh-TW"/>
        </w:rPr>
      </w:pPr>
      <w:r w:rsidRPr="00012EA5">
        <w:rPr>
          <w:rFonts w:ascii="Traditional Arabic" w:hAnsi="Traditional Arabic" w:cs="Traditional Arabic" w:hint="cs"/>
          <w:sz w:val="26"/>
          <w:szCs w:val="26"/>
          <w:lang w:val="en-GB" w:eastAsia="zh-TW"/>
        </w:rPr>
        <w:t>)</w:t>
      </w:r>
      <w:r w:rsidRPr="00012EA5">
        <w:rPr>
          <w:rFonts w:ascii="Traditional Arabic" w:hAnsi="Traditional Arabic" w:cs="Traditional Arabic"/>
          <w:sz w:val="26"/>
          <w:szCs w:val="26"/>
          <w:rtl/>
        </w:rPr>
        <w:footnoteRef/>
      </w:r>
      <w:bookmarkStart w:id="99" w:name="footnoteBookmark_539"/>
      <w:r w:rsidRPr="003C27AD">
        <w:rPr>
          <w:rFonts w:asciiTheme="majorBidi" w:hAnsiTheme="majorBidi" w:cstheme="majorBidi"/>
          <w:sz w:val="18"/>
          <w:szCs w:val="18"/>
          <w:lang w:eastAsia="zh-TW"/>
        </w:rPr>
        <w:t>UNEP/FAO/RC/CRC.5/16</w:t>
      </w:r>
      <w:r w:rsidRPr="00012EA5">
        <w:rPr>
          <w:rFonts w:ascii="Traditional Arabic" w:hAnsi="Traditional Arabic" w:cs="Traditional Arabic" w:hint="cs"/>
          <w:sz w:val="26"/>
          <w:szCs w:val="26"/>
          <w:lang w:val="en-GB" w:eastAsia="zh-TW"/>
        </w:rPr>
        <w:t xml:space="preserve">  (</w:t>
      </w:r>
      <w:r w:rsidRPr="00012EA5">
        <w:rPr>
          <w:rFonts w:ascii="Traditional Arabic" w:hAnsi="Traditional Arabic" w:cs="Traditional Arabic"/>
          <w:sz w:val="26"/>
          <w:szCs w:val="26"/>
          <w:rtl/>
          <w:lang w:val="en-GB" w:eastAsia="zh-TW"/>
        </w:rPr>
        <w:t>، المرفق الثالث، الفرع باء.</w:t>
      </w:r>
      <w:bookmarkEnd w:id="99"/>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A66A9D"/>
    <w:multiLevelType w:val="multilevel"/>
    <w:tmpl w:val="94A2A7DE"/>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
    <w:nsid w:val="73875614"/>
    <w:multiLevelType w:val="hybridMultilevel"/>
    <w:tmpl w:val="F94C84D0"/>
    <w:lvl w:ilvl="0" w:tplc="BF12BE68">
      <w:start w:val="1"/>
      <w:numFmt w:val="decimal"/>
      <w:lvlText w:val="%1."/>
      <w:lvlJc w:val="left"/>
      <w:pPr>
        <w:ind w:left="1620" w:hanging="360"/>
      </w:pPr>
      <w:rPr>
        <w:b w:val="0"/>
      </w:rPr>
    </w:lvl>
    <w:lvl w:ilvl="1" w:tplc="08090019">
      <w:start w:val="1"/>
      <w:numFmt w:val="lowerLetter"/>
      <w:lvlText w:val="%2."/>
      <w:lvlJc w:val="left"/>
      <w:pPr>
        <w:ind w:left="1054" w:hanging="360"/>
      </w:pPr>
    </w:lvl>
    <w:lvl w:ilvl="2" w:tplc="0809001B" w:tentative="1">
      <w:start w:val="1"/>
      <w:numFmt w:val="lowerRoman"/>
      <w:lvlText w:val="%3."/>
      <w:lvlJc w:val="right"/>
      <w:pPr>
        <w:ind w:left="1774" w:hanging="180"/>
      </w:pPr>
    </w:lvl>
    <w:lvl w:ilvl="3" w:tplc="0809000F" w:tentative="1">
      <w:start w:val="1"/>
      <w:numFmt w:val="decimal"/>
      <w:lvlText w:val="%4."/>
      <w:lvlJc w:val="left"/>
      <w:pPr>
        <w:ind w:left="2494" w:hanging="360"/>
      </w:pPr>
    </w:lvl>
    <w:lvl w:ilvl="4" w:tplc="08090019" w:tentative="1">
      <w:start w:val="1"/>
      <w:numFmt w:val="lowerLetter"/>
      <w:lvlText w:val="%5."/>
      <w:lvlJc w:val="left"/>
      <w:pPr>
        <w:ind w:left="3214" w:hanging="360"/>
      </w:pPr>
    </w:lvl>
    <w:lvl w:ilvl="5" w:tplc="0809001B" w:tentative="1">
      <w:start w:val="1"/>
      <w:numFmt w:val="lowerRoman"/>
      <w:lvlText w:val="%6."/>
      <w:lvlJc w:val="right"/>
      <w:pPr>
        <w:ind w:left="3934" w:hanging="180"/>
      </w:pPr>
    </w:lvl>
    <w:lvl w:ilvl="6" w:tplc="0809000F" w:tentative="1">
      <w:start w:val="1"/>
      <w:numFmt w:val="decimal"/>
      <w:lvlText w:val="%7."/>
      <w:lvlJc w:val="left"/>
      <w:pPr>
        <w:ind w:left="4654" w:hanging="360"/>
      </w:pPr>
    </w:lvl>
    <w:lvl w:ilvl="7" w:tplc="08090019" w:tentative="1">
      <w:start w:val="1"/>
      <w:numFmt w:val="lowerLetter"/>
      <w:lvlText w:val="%8."/>
      <w:lvlJc w:val="left"/>
      <w:pPr>
        <w:ind w:left="5374" w:hanging="360"/>
      </w:pPr>
    </w:lvl>
    <w:lvl w:ilvl="8" w:tplc="0809001B" w:tentative="1">
      <w:start w:val="1"/>
      <w:numFmt w:val="lowerRoman"/>
      <w:lvlText w:val="%9."/>
      <w:lvlJc w:val="right"/>
      <w:pPr>
        <w:ind w:left="6094" w:hanging="180"/>
      </w:pPr>
    </w:lvl>
  </w:abstractNum>
  <w:num w:numId="1">
    <w:abstractNumId w:val="0"/>
  </w:num>
  <w:num w:numId="2">
    <w:abstractNumId w:val="1"/>
    <w:lvlOverride w:ilvl="0">
      <w:lvl w:ilvl="0" w:tplc="BF12BE68">
        <w:start w:val="1"/>
        <w:numFmt w:val="decimal"/>
        <w:lvlText w:val="%1-"/>
        <w:lvlJc w:val="left"/>
        <w:pPr>
          <w:ind w:left="1620" w:hanging="360"/>
        </w:pPr>
        <w:rPr>
          <w:b w:val="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662"/>
  <w:characterSpacingControl w:val="doNotCompress"/>
  <w:footnotePr>
    <w:footnote w:id="-1"/>
    <w:footnote w:id="0"/>
  </w:footnotePr>
  <w:endnotePr>
    <w:endnote w:id="-1"/>
    <w:endnote w:id="0"/>
  </w:endnotePr>
  <w:compat/>
  <w:rsids>
    <w:rsidRoot w:val="0056111F"/>
    <w:rsid w:val="0056111F"/>
    <w:rsid w:val="00D22374"/>
    <w:rsid w:val="00FF41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11F"/>
    <w:pPr>
      <w:bidi/>
      <w:spacing w:after="0" w:line="240" w:lineRule="auto"/>
    </w:pPr>
    <w:rPr>
      <w:rFonts w:ascii="Times" w:eastAsia="Times New Roman" w:hAnsi="Times" w:cs="Simplified Arabic"/>
      <w:noProof/>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uiPriority w:val="99"/>
    <w:rsid w:val="0056111F"/>
    <w:rPr>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uiPriority w:val="99"/>
    <w:rsid w:val="0056111F"/>
    <w:rPr>
      <w:rFonts w:ascii="Times" w:eastAsia="Times New Roman" w:hAnsi="Times" w:cs="Simplified Arabic"/>
      <w:noProof/>
      <w:sz w:val="20"/>
      <w:szCs w:val="20"/>
    </w:rPr>
  </w:style>
  <w:style w:type="character" w:styleId="FootnoteReference">
    <w:name w:val="footnote reference"/>
    <w:aliases w:val="16 Point,Superscript 6 Point,ftref,(Ref. de nota al pie),number,SUPERS,Footnote Reference Superscript"/>
    <w:uiPriority w:val="99"/>
    <w:rsid w:val="0056111F"/>
    <w:rPr>
      <w:vertAlign w:val="superscript"/>
    </w:rPr>
  </w:style>
  <w:style w:type="table" w:styleId="TableGrid">
    <w:name w:val="Table Grid"/>
    <w:basedOn w:val="TableNormal"/>
    <w:uiPriority w:val="39"/>
    <w:rsid w:val="0056111F"/>
    <w:pPr>
      <w:bidi/>
      <w:spacing w:after="0" w:line="240" w:lineRule="auto"/>
    </w:pPr>
    <w:rPr>
      <w:rFonts w:ascii="Times New Roman" w:eastAsia="Times New Roman" w:hAnsi="Times New Roman" w:cs="Traditional Arabic"/>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pool">
    <w:name w:val="Normal-pool"/>
    <w:link w:val="Normal-poolChar"/>
    <w:rsid w:val="0056111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paragraph" w:customStyle="1" w:styleId="CH1">
    <w:name w:val="CH1"/>
    <w:basedOn w:val="Normal"/>
    <w:next w:val="Normal"/>
    <w:rsid w:val="0056111F"/>
    <w:pPr>
      <w:keepNext/>
      <w:keepLines/>
      <w:tabs>
        <w:tab w:val="right" w:pos="851"/>
        <w:tab w:val="left" w:pos="1247"/>
        <w:tab w:val="left" w:pos="1814"/>
        <w:tab w:val="left" w:pos="2381"/>
        <w:tab w:val="left" w:pos="2948"/>
        <w:tab w:val="left" w:pos="3515"/>
        <w:tab w:val="left" w:pos="4082"/>
      </w:tabs>
      <w:suppressAutoHyphens/>
      <w:bidi w:val="0"/>
      <w:spacing w:before="240" w:after="120"/>
      <w:ind w:left="1247" w:right="284" w:hanging="1247"/>
    </w:pPr>
    <w:rPr>
      <w:rFonts w:ascii="Times New Roman" w:hAnsi="Times New Roman" w:cs="Times New Roman"/>
      <w:b/>
      <w:noProof w:val="0"/>
      <w:sz w:val="28"/>
      <w:lang w:val="en-GB"/>
    </w:rPr>
  </w:style>
  <w:style w:type="paragraph" w:customStyle="1" w:styleId="CH3">
    <w:name w:val="CH3"/>
    <w:basedOn w:val="Normal"/>
    <w:next w:val="Normalnumber"/>
    <w:rsid w:val="0056111F"/>
    <w:pPr>
      <w:keepNext/>
      <w:keepLines/>
      <w:tabs>
        <w:tab w:val="right" w:pos="851"/>
        <w:tab w:val="left" w:pos="1247"/>
        <w:tab w:val="left" w:pos="1814"/>
        <w:tab w:val="left" w:pos="2381"/>
        <w:tab w:val="left" w:pos="2948"/>
        <w:tab w:val="left" w:pos="3515"/>
        <w:tab w:val="left" w:pos="4082"/>
      </w:tabs>
      <w:suppressAutoHyphens/>
      <w:bidi w:val="0"/>
      <w:spacing w:after="120"/>
      <w:ind w:left="1247" w:right="284" w:hanging="1247"/>
    </w:pPr>
    <w:rPr>
      <w:rFonts w:ascii="Times New Roman" w:hAnsi="Times New Roman" w:cs="Times New Roman"/>
      <w:b/>
      <w:noProof w:val="0"/>
      <w:szCs w:val="20"/>
      <w:lang w:val="en-GB"/>
    </w:rPr>
  </w:style>
  <w:style w:type="numbering" w:customStyle="1" w:styleId="Normallist">
    <w:name w:val="Normal_list"/>
    <w:basedOn w:val="NoList"/>
    <w:rsid w:val="0056111F"/>
    <w:pPr>
      <w:numPr>
        <w:numId w:val="1"/>
      </w:numPr>
    </w:pPr>
  </w:style>
  <w:style w:type="paragraph" w:customStyle="1" w:styleId="Normalnumber">
    <w:name w:val="Normal_number"/>
    <w:basedOn w:val="Normal"/>
    <w:link w:val="NormalnumberChar"/>
    <w:rsid w:val="0056111F"/>
    <w:pPr>
      <w:numPr>
        <w:numId w:val="1"/>
      </w:numPr>
      <w:tabs>
        <w:tab w:val="left" w:pos="624"/>
      </w:tabs>
      <w:bidi w:val="0"/>
      <w:spacing w:after="120"/>
    </w:pPr>
    <w:rPr>
      <w:rFonts w:ascii="Times New Roman" w:hAnsi="Times New Roman" w:cs="Times New Roman"/>
      <w:noProof w:val="0"/>
      <w:szCs w:val="20"/>
      <w:lang w:val="en-GB"/>
    </w:rPr>
  </w:style>
  <w:style w:type="character" w:customStyle="1" w:styleId="NormalnumberChar">
    <w:name w:val="Normal_number Char"/>
    <w:link w:val="Normalnumber"/>
    <w:locked/>
    <w:rsid w:val="0056111F"/>
    <w:rPr>
      <w:rFonts w:ascii="Times New Roman" w:eastAsia="Times New Roman" w:hAnsi="Times New Roman" w:cs="Times New Roman"/>
      <w:sz w:val="20"/>
      <w:szCs w:val="20"/>
      <w:lang w:val="en-GB"/>
    </w:rPr>
  </w:style>
  <w:style w:type="character" w:customStyle="1" w:styleId="Normal-poolChar">
    <w:name w:val="Normal-pool Char"/>
    <w:link w:val="Normal-pool"/>
    <w:locked/>
    <w:rsid w:val="0056111F"/>
    <w:rPr>
      <w:rFonts w:ascii="Times New Roman" w:eastAsia="Times New Roman"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2564</Words>
  <Characters>14621</Characters>
  <Application>Microsoft Office Word</Application>
  <DocSecurity>0</DocSecurity>
  <Lines>121</Lines>
  <Paragraphs>34</Paragraphs>
  <ScaleCrop>false</ScaleCrop>
  <Company>BRS</Company>
  <LinksUpToDate>false</LinksUpToDate>
  <CharactersWithSpaces>17151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2018-02-28T16:34:00Z</dcterms:created>
  <dcterms:modified xsi:type="dcterms:W3CDTF">2018-02-28T16:35:00Z</dcterms:modified>
</cp:coreProperties>
</file>