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C5D" w:rsidRPr="00C62790" w:rsidRDefault="002A7C5D" w:rsidP="003E39E3">
      <w:pPr>
        <w:pStyle w:val="CH1"/>
        <w:ind w:left="1253" w:right="288" w:hanging="1253"/>
        <w:rPr>
          <w:lang w:val="fr-FR"/>
        </w:rPr>
      </w:pPr>
      <w:r>
        <w:rPr>
          <w:lang w:val="fr-FR"/>
        </w:rPr>
        <w:tab/>
      </w:r>
      <w:r>
        <w:rPr>
          <w:lang w:val="fr-FR"/>
        </w:rPr>
        <w:tab/>
      </w:r>
      <w:r w:rsidRPr="00C62790">
        <w:rPr>
          <w:lang w:val="fr-FR"/>
        </w:rPr>
        <w:t>CRC-13/4</w:t>
      </w:r>
      <w:r>
        <w:rPr>
          <w:lang w:val="fr-FR"/>
        </w:rPr>
        <w:t> </w:t>
      </w:r>
      <w:r w:rsidRPr="00C62790">
        <w:rPr>
          <w:lang w:val="fr-FR"/>
        </w:rPr>
        <w:t xml:space="preserve">: </w:t>
      </w:r>
      <w:proofErr w:type="spellStart"/>
      <w:r w:rsidRPr="00C62790">
        <w:rPr>
          <w:lang w:val="fr-FR"/>
        </w:rPr>
        <w:t>Phorate</w:t>
      </w:r>
      <w:proofErr w:type="spellEnd"/>
      <w:r w:rsidRPr="00C62790">
        <w:rPr>
          <w:lang w:val="fr-FR"/>
        </w:rPr>
        <w:t xml:space="preserve"> </w:t>
      </w:r>
    </w:p>
    <w:p w:rsidR="002A7C5D" w:rsidRPr="00C62790" w:rsidRDefault="002A7C5D" w:rsidP="002A7C5D">
      <w:pPr>
        <w:tabs>
          <w:tab w:val="left" w:pos="4082"/>
        </w:tabs>
        <w:spacing w:after="120"/>
        <w:ind w:left="1247" w:firstLine="624"/>
        <w:rPr>
          <w:i/>
        </w:rPr>
      </w:pPr>
      <w:r w:rsidRPr="00C62790">
        <w:rPr>
          <w:i/>
        </w:rPr>
        <w:t>Le Comité d</w:t>
      </w:r>
      <w:r>
        <w:rPr>
          <w:i/>
        </w:rPr>
        <w:t>’</w:t>
      </w:r>
      <w:r w:rsidRPr="00C62790">
        <w:rPr>
          <w:i/>
        </w:rPr>
        <w:t>étude des produits chimiques</w:t>
      </w:r>
      <w:r w:rsidRPr="00C62790">
        <w:t>,</w:t>
      </w:r>
    </w:p>
    <w:p w:rsidR="002A7C5D" w:rsidRPr="00C62790" w:rsidRDefault="002A7C5D" w:rsidP="002A7C5D">
      <w:pPr>
        <w:tabs>
          <w:tab w:val="left" w:pos="4082"/>
        </w:tabs>
        <w:spacing w:after="120"/>
        <w:ind w:left="1247" w:firstLine="624"/>
      </w:pPr>
      <w:r w:rsidRPr="00C62790">
        <w:rPr>
          <w:i/>
        </w:rPr>
        <w:t>Rappelant</w:t>
      </w:r>
      <w:r w:rsidRPr="00C62790">
        <w:t xml:space="preserve"> l</w:t>
      </w:r>
      <w:r>
        <w:t>’</w:t>
      </w:r>
      <w:r w:rsidRPr="00C62790">
        <w:t>article 5 de la Convention de Rotterdam sur la procédure de consentement préalable en connaissance de cause applicable à certains produits chimiques et pesticides dangereux qui font l</w:t>
      </w:r>
      <w:r>
        <w:t>’</w:t>
      </w:r>
      <w:r w:rsidRPr="00C62790">
        <w:t>objet d</w:t>
      </w:r>
      <w:r>
        <w:t>’</w:t>
      </w:r>
      <w:r w:rsidRPr="00C62790">
        <w:t>un commerce international,</w:t>
      </w:r>
    </w:p>
    <w:p w:rsidR="002A7C5D" w:rsidRPr="00C62790" w:rsidRDefault="002A7C5D" w:rsidP="002A7C5D">
      <w:pPr>
        <w:pStyle w:val="Normal-pool"/>
        <w:tabs>
          <w:tab w:val="clear" w:pos="1247"/>
          <w:tab w:val="clear" w:pos="1814"/>
          <w:tab w:val="clear" w:pos="2381"/>
          <w:tab w:val="clear" w:pos="2948"/>
          <w:tab w:val="clear" w:pos="3515"/>
          <w:tab w:val="left" w:pos="624"/>
        </w:tabs>
        <w:spacing w:after="120"/>
        <w:ind w:left="1247" w:firstLine="624"/>
        <w:rPr>
          <w:iCs/>
          <w:lang w:val="fr-FR"/>
        </w:rPr>
      </w:pPr>
      <w:r w:rsidRPr="00C62790">
        <w:rPr>
          <w:i/>
          <w:iCs/>
          <w:lang w:val="fr-FR"/>
        </w:rPr>
        <w:t>Rappelant également</w:t>
      </w:r>
      <w:r w:rsidRPr="00C62790">
        <w:rPr>
          <w:iCs/>
          <w:lang w:val="fr-FR"/>
        </w:rPr>
        <w:t xml:space="preserve"> la conclusion du Comité d</w:t>
      </w:r>
      <w:r>
        <w:rPr>
          <w:iCs/>
          <w:lang w:val="fr-FR"/>
        </w:rPr>
        <w:t>’</w:t>
      </w:r>
      <w:r w:rsidRPr="00C62790">
        <w:rPr>
          <w:iCs/>
          <w:lang w:val="fr-FR"/>
        </w:rPr>
        <w:t xml:space="preserve">étude des produits chimiques, adoptée à sa cinquième réunion, selon laquelle la notification de mesure de réglementation finale concernant le </w:t>
      </w:r>
      <w:proofErr w:type="spellStart"/>
      <w:r w:rsidRPr="00C62790">
        <w:rPr>
          <w:iCs/>
          <w:lang w:val="fr-FR"/>
        </w:rPr>
        <w:t>phorate</w:t>
      </w:r>
      <w:proofErr w:type="spellEnd"/>
      <w:r w:rsidRPr="00C62790">
        <w:rPr>
          <w:iCs/>
          <w:lang w:val="fr-FR"/>
        </w:rPr>
        <w:t xml:space="preserve"> </w:t>
      </w:r>
      <w:r>
        <w:rPr>
          <w:iCs/>
          <w:lang w:val="fr-FR"/>
        </w:rPr>
        <w:t>soumise</w:t>
      </w:r>
      <w:r w:rsidRPr="00C62790">
        <w:rPr>
          <w:iCs/>
          <w:lang w:val="fr-FR"/>
        </w:rPr>
        <w:t xml:space="preserve"> par le Canada </w:t>
      </w:r>
      <w:r>
        <w:rPr>
          <w:iCs/>
          <w:lang w:val="fr-FR"/>
        </w:rPr>
        <w:t>satisfait aux critères énoncés dans</w:t>
      </w:r>
      <w:r w:rsidRPr="00C62790">
        <w:rPr>
          <w:iCs/>
          <w:lang w:val="fr-FR"/>
        </w:rPr>
        <w:t xml:space="preserve"> l</w:t>
      </w:r>
      <w:r>
        <w:rPr>
          <w:iCs/>
          <w:lang w:val="fr-FR"/>
        </w:rPr>
        <w:t>’</w:t>
      </w:r>
      <w:r w:rsidRPr="00C62790">
        <w:rPr>
          <w:iCs/>
          <w:lang w:val="fr-FR"/>
        </w:rPr>
        <w:t>Annexe</w:t>
      </w:r>
      <w:r>
        <w:rPr>
          <w:iCs/>
          <w:lang w:val="fr-FR"/>
        </w:rPr>
        <w:t> </w:t>
      </w:r>
      <w:r w:rsidRPr="00C62790">
        <w:rPr>
          <w:iCs/>
          <w:lang w:val="fr-FR"/>
        </w:rPr>
        <w:t xml:space="preserve">II </w:t>
      </w:r>
      <w:r>
        <w:rPr>
          <w:iCs/>
          <w:lang w:val="fr-FR"/>
        </w:rPr>
        <w:t>de</w:t>
      </w:r>
      <w:r w:rsidRPr="00C62790">
        <w:rPr>
          <w:iCs/>
          <w:lang w:val="fr-FR"/>
        </w:rPr>
        <w:t xml:space="preserve"> la Convention</w:t>
      </w:r>
      <w:r w:rsidRPr="00C62790">
        <w:rPr>
          <w:rStyle w:val="FootnoteReference"/>
          <w:iCs/>
          <w:lang w:val="fr-FR"/>
        </w:rPr>
        <w:footnoteReference w:id="1"/>
      </w:r>
      <w:r w:rsidRPr="00C62790">
        <w:rPr>
          <w:iCs/>
          <w:lang w:val="fr-FR"/>
        </w:rPr>
        <w:t>,</w:t>
      </w:r>
    </w:p>
    <w:p w:rsidR="002A7C5D" w:rsidRPr="00C62790" w:rsidRDefault="002A7C5D" w:rsidP="002A7C5D">
      <w:pPr>
        <w:tabs>
          <w:tab w:val="left" w:pos="4082"/>
        </w:tabs>
        <w:spacing w:after="120"/>
        <w:ind w:left="1247" w:firstLine="624"/>
      </w:pPr>
      <w:r w:rsidRPr="00C62790">
        <w:rPr>
          <w:iCs/>
        </w:rPr>
        <w:t>1.</w:t>
      </w:r>
      <w:r w:rsidRPr="00C62790">
        <w:rPr>
          <w:iCs/>
        </w:rPr>
        <w:tab/>
      </w:r>
      <w:r w:rsidRPr="00C62790">
        <w:rPr>
          <w:i/>
        </w:rPr>
        <w:t>Conclut</w:t>
      </w:r>
      <w:r w:rsidRPr="00C62790">
        <w:t xml:space="preserve"> que la notification de mesure de réglementation finale concernant le </w:t>
      </w:r>
      <w:proofErr w:type="spellStart"/>
      <w:r>
        <w:t>phorate</w:t>
      </w:r>
      <w:proofErr w:type="spellEnd"/>
      <w:r>
        <w:t xml:space="preserve"> soumise</w:t>
      </w:r>
      <w:r w:rsidRPr="00C62790">
        <w:t xml:space="preserve"> par le Brésil</w:t>
      </w:r>
      <w:r w:rsidRPr="00C62790">
        <w:rPr>
          <w:rStyle w:val="FootnoteReference"/>
        </w:rPr>
        <w:footnoteReference w:id="2"/>
      </w:r>
      <w:r w:rsidRPr="00C62790">
        <w:t xml:space="preserve"> </w:t>
      </w:r>
      <w:r>
        <w:t>satisfait aux critères énoncés dans</w:t>
      </w:r>
      <w:r w:rsidRPr="00C62790">
        <w:t xml:space="preserve"> l</w:t>
      </w:r>
      <w:r>
        <w:t>’Annexe </w:t>
      </w:r>
      <w:r w:rsidRPr="00C62790">
        <w:t xml:space="preserve">II </w:t>
      </w:r>
      <w:r>
        <w:t>de</w:t>
      </w:r>
      <w:r w:rsidRPr="00C62790">
        <w:t xml:space="preserve"> la Convention ;</w:t>
      </w:r>
    </w:p>
    <w:p w:rsidR="002A7C5D" w:rsidRPr="00C62790" w:rsidRDefault="002A7C5D" w:rsidP="002A7C5D">
      <w:pPr>
        <w:pStyle w:val="Normal-pool"/>
        <w:tabs>
          <w:tab w:val="clear" w:pos="1247"/>
          <w:tab w:val="clear" w:pos="1814"/>
          <w:tab w:val="clear" w:pos="2381"/>
          <w:tab w:val="clear" w:pos="2948"/>
          <w:tab w:val="clear" w:pos="3515"/>
          <w:tab w:val="left" w:pos="624"/>
          <w:tab w:val="left" w:pos="2520"/>
        </w:tabs>
        <w:spacing w:after="120"/>
        <w:ind w:left="1247" w:firstLine="624"/>
        <w:rPr>
          <w:lang w:val="fr-FR"/>
        </w:rPr>
      </w:pPr>
      <w:r w:rsidRPr="00C62790">
        <w:rPr>
          <w:iCs/>
          <w:lang w:val="fr-FR"/>
        </w:rPr>
        <w:t>2.</w:t>
      </w:r>
      <w:r w:rsidRPr="00C62790">
        <w:rPr>
          <w:i/>
          <w:iCs/>
          <w:lang w:val="fr-FR"/>
        </w:rPr>
        <w:tab/>
      </w:r>
      <w:r w:rsidRPr="00C62790">
        <w:rPr>
          <w:i/>
          <w:lang w:val="fr-FR"/>
        </w:rPr>
        <w:t xml:space="preserve">Adopte </w:t>
      </w:r>
      <w:r w:rsidRPr="00C62790">
        <w:rPr>
          <w:lang w:val="fr-FR"/>
        </w:rPr>
        <w:t>la justification de la</w:t>
      </w:r>
      <w:r>
        <w:rPr>
          <w:lang w:val="fr-FR"/>
        </w:rPr>
        <w:t xml:space="preserve"> conclusion du Comité figurant</w:t>
      </w:r>
      <w:r w:rsidRPr="00C62790">
        <w:rPr>
          <w:lang w:val="fr-FR"/>
        </w:rPr>
        <w:t xml:space="preserve"> dans l</w:t>
      </w:r>
      <w:r>
        <w:rPr>
          <w:lang w:val="fr-FR"/>
        </w:rPr>
        <w:t>’</w:t>
      </w:r>
      <w:r w:rsidRPr="00C62790">
        <w:rPr>
          <w:lang w:val="fr-FR"/>
        </w:rPr>
        <w:t>annexe à la présente décision ;</w:t>
      </w:r>
    </w:p>
    <w:p w:rsidR="002A7C5D" w:rsidRPr="00C62790" w:rsidRDefault="002A7C5D" w:rsidP="002A7C5D">
      <w:pPr>
        <w:pStyle w:val="Normal-pool"/>
        <w:tabs>
          <w:tab w:val="clear" w:pos="1247"/>
          <w:tab w:val="clear" w:pos="1814"/>
          <w:tab w:val="clear" w:pos="2381"/>
          <w:tab w:val="clear" w:pos="2948"/>
          <w:tab w:val="clear" w:pos="3515"/>
          <w:tab w:val="left" w:pos="624"/>
          <w:tab w:val="left" w:pos="2520"/>
        </w:tabs>
        <w:spacing w:after="120"/>
        <w:ind w:left="1247" w:firstLine="624"/>
        <w:rPr>
          <w:lang w:val="fr-FR"/>
        </w:rPr>
      </w:pPr>
      <w:r w:rsidRPr="00C62790">
        <w:rPr>
          <w:iCs/>
          <w:lang w:val="fr-FR"/>
        </w:rPr>
        <w:t>3.</w:t>
      </w:r>
      <w:r w:rsidRPr="00C62790">
        <w:rPr>
          <w:iCs/>
          <w:lang w:val="fr-FR"/>
        </w:rPr>
        <w:tab/>
      </w:r>
      <w:r w:rsidRPr="00C62790">
        <w:rPr>
          <w:i/>
          <w:iCs/>
          <w:lang w:val="fr-FR"/>
        </w:rPr>
        <w:t>Recommande</w:t>
      </w:r>
      <w:r w:rsidRPr="00C62790">
        <w:rPr>
          <w:iCs/>
          <w:lang w:val="fr-FR"/>
        </w:rPr>
        <w:t xml:space="preserve"> à la Conférence des Parties, conformément au </w:t>
      </w:r>
      <w:r>
        <w:rPr>
          <w:lang w:val="fr-FR"/>
        </w:rPr>
        <w:t>paragraphe </w:t>
      </w:r>
      <w:r w:rsidRPr="00C62790">
        <w:rPr>
          <w:lang w:val="fr-FR"/>
        </w:rPr>
        <w:t>6 de l</w:t>
      </w:r>
      <w:r>
        <w:rPr>
          <w:lang w:val="fr-FR"/>
        </w:rPr>
        <w:t>’</w:t>
      </w:r>
      <w:r w:rsidRPr="00C62790">
        <w:rPr>
          <w:lang w:val="fr-FR"/>
        </w:rPr>
        <w:t>article</w:t>
      </w:r>
      <w:r>
        <w:rPr>
          <w:lang w:val="fr-FR"/>
        </w:rPr>
        <w:t> </w:t>
      </w:r>
      <w:r w:rsidRPr="00C62790">
        <w:rPr>
          <w:lang w:val="fr-FR"/>
        </w:rPr>
        <w:t>5 de la Convention, d</w:t>
      </w:r>
      <w:r>
        <w:rPr>
          <w:lang w:val="fr-FR"/>
        </w:rPr>
        <w:t>’</w:t>
      </w:r>
      <w:r w:rsidRPr="00C62790">
        <w:rPr>
          <w:lang w:val="fr-FR"/>
        </w:rPr>
        <w:t xml:space="preserve">inscrire le </w:t>
      </w:r>
      <w:proofErr w:type="spellStart"/>
      <w:r w:rsidRPr="00C62790">
        <w:rPr>
          <w:lang w:val="fr-FR" w:eastAsia="en-GB"/>
        </w:rPr>
        <w:t>phorate</w:t>
      </w:r>
      <w:proofErr w:type="spellEnd"/>
      <w:r w:rsidRPr="00C62790">
        <w:rPr>
          <w:lang w:val="fr-FR" w:eastAsia="en-GB"/>
        </w:rPr>
        <w:t xml:space="preserve"> à l</w:t>
      </w:r>
      <w:r>
        <w:rPr>
          <w:lang w:val="fr-FR" w:eastAsia="en-GB"/>
        </w:rPr>
        <w:t>’</w:t>
      </w:r>
      <w:r w:rsidRPr="00C62790">
        <w:rPr>
          <w:lang w:val="fr-FR"/>
        </w:rPr>
        <w:t>Annexe</w:t>
      </w:r>
      <w:r>
        <w:rPr>
          <w:lang w:val="fr-FR"/>
        </w:rPr>
        <w:t> </w:t>
      </w:r>
      <w:r w:rsidRPr="00C62790">
        <w:rPr>
          <w:lang w:val="fr-FR"/>
        </w:rPr>
        <w:t>III de la Convention dans la catégorie des pesticides ;</w:t>
      </w:r>
    </w:p>
    <w:p w:rsidR="002A7C5D" w:rsidRPr="00C62790" w:rsidRDefault="002A7C5D" w:rsidP="002A7C5D">
      <w:pPr>
        <w:pStyle w:val="Normal-pool"/>
        <w:tabs>
          <w:tab w:val="clear" w:pos="1247"/>
          <w:tab w:val="clear" w:pos="1814"/>
          <w:tab w:val="clear" w:pos="2381"/>
          <w:tab w:val="clear" w:pos="2948"/>
          <w:tab w:val="clear" w:pos="3515"/>
          <w:tab w:val="left" w:pos="624"/>
          <w:tab w:val="left" w:pos="2520"/>
        </w:tabs>
        <w:spacing w:after="120"/>
        <w:ind w:left="1247" w:firstLine="624"/>
        <w:rPr>
          <w:lang w:val="fr-FR"/>
        </w:rPr>
      </w:pPr>
      <w:r w:rsidRPr="00C62790">
        <w:rPr>
          <w:iCs/>
          <w:lang w:val="fr-FR"/>
        </w:rPr>
        <w:t>4.</w:t>
      </w:r>
      <w:r w:rsidRPr="00C62790">
        <w:rPr>
          <w:iCs/>
          <w:lang w:val="fr-FR"/>
        </w:rPr>
        <w:tab/>
      </w:r>
      <w:r w:rsidRPr="00C62790">
        <w:rPr>
          <w:i/>
          <w:iCs/>
          <w:lang w:val="fr-FR"/>
        </w:rPr>
        <w:t xml:space="preserve">Décide, </w:t>
      </w:r>
      <w:r w:rsidRPr="00C62790">
        <w:rPr>
          <w:lang w:val="fr-FR"/>
        </w:rPr>
        <w:t>conformément au paragraphe</w:t>
      </w:r>
      <w:r>
        <w:rPr>
          <w:lang w:val="fr-FR"/>
        </w:rPr>
        <w:t> </w:t>
      </w:r>
      <w:r w:rsidRPr="00C62790">
        <w:rPr>
          <w:lang w:val="fr-FR"/>
        </w:rPr>
        <w:t>1 de l</w:t>
      </w:r>
      <w:r>
        <w:rPr>
          <w:lang w:val="fr-FR"/>
        </w:rPr>
        <w:t>’</w:t>
      </w:r>
      <w:r w:rsidRPr="00C62790">
        <w:rPr>
          <w:lang w:val="fr-FR"/>
        </w:rPr>
        <w:t>a</w:t>
      </w:r>
      <w:r>
        <w:rPr>
          <w:lang w:val="fr-FR"/>
        </w:rPr>
        <w:t>rticle </w:t>
      </w:r>
      <w:r w:rsidRPr="00C62790">
        <w:rPr>
          <w:lang w:val="fr-FR"/>
        </w:rPr>
        <w:t>7 de la Convention, de préparer un projet de document d</w:t>
      </w:r>
      <w:r>
        <w:rPr>
          <w:lang w:val="fr-FR"/>
        </w:rPr>
        <w:t>’</w:t>
      </w:r>
      <w:r w:rsidRPr="00C62790">
        <w:rPr>
          <w:lang w:val="fr-FR"/>
        </w:rPr>
        <w:t xml:space="preserve">orientation des décisions sur le </w:t>
      </w:r>
      <w:proofErr w:type="spellStart"/>
      <w:r w:rsidRPr="00C62790">
        <w:rPr>
          <w:lang w:val="fr-FR" w:eastAsia="en-GB"/>
        </w:rPr>
        <w:t>phorate</w:t>
      </w:r>
      <w:proofErr w:type="spellEnd"/>
      <w:r>
        <w:rPr>
          <w:lang w:val="fr-FR" w:eastAsia="en-GB"/>
        </w:rPr>
        <w:t> </w:t>
      </w:r>
      <w:r w:rsidRPr="00C62790">
        <w:rPr>
          <w:lang w:val="fr-FR"/>
        </w:rPr>
        <w:t>;</w:t>
      </w:r>
    </w:p>
    <w:p w:rsidR="002A7C5D" w:rsidRPr="00C62790" w:rsidRDefault="002A7C5D" w:rsidP="002A7C5D">
      <w:pPr>
        <w:tabs>
          <w:tab w:val="left" w:pos="4082"/>
        </w:tabs>
        <w:spacing w:after="120"/>
        <w:ind w:left="1247" w:firstLine="624"/>
        <w:rPr>
          <w:bCs/>
          <w:iCs/>
        </w:rPr>
      </w:pPr>
      <w:r w:rsidRPr="00C62790">
        <w:t>5.</w:t>
      </w:r>
      <w:r w:rsidRPr="00C62790">
        <w:tab/>
      </w:r>
      <w:r w:rsidRPr="00C62790">
        <w:rPr>
          <w:i/>
        </w:rPr>
        <w:t>Décide également</w:t>
      </w:r>
      <w:r w:rsidRPr="00C62790">
        <w:t>, conformément à la procédure à suivre pour l</w:t>
      </w:r>
      <w:r>
        <w:t>’</w:t>
      </w:r>
      <w:r w:rsidRPr="00C62790">
        <w:t>élaboration des documents d</w:t>
      </w:r>
      <w:r>
        <w:t>’</w:t>
      </w:r>
      <w:r w:rsidRPr="00C62790">
        <w:t>orientation des déc</w:t>
      </w:r>
      <w:r>
        <w:t>isions décrite dans la décision </w:t>
      </w:r>
      <w:r w:rsidRPr="00C62790">
        <w:t>RC-2/2, tel</w:t>
      </w:r>
      <w:r>
        <w:t>le</w:t>
      </w:r>
      <w:r w:rsidRPr="00C62790">
        <w:t xml:space="preserve"> qu</w:t>
      </w:r>
      <w:r>
        <w:t>’</w:t>
      </w:r>
      <w:r w:rsidRPr="00C62790">
        <w:t>amendé</w:t>
      </w:r>
      <w:r>
        <w:t>e</w:t>
      </w:r>
      <w:r w:rsidRPr="00C62790">
        <w:t xml:space="preserve"> par la décision RC-6/3, que la composition du groupe de rédaction intersessions chargé d</w:t>
      </w:r>
      <w:r>
        <w:t>’</w:t>
      </w:r>
      <w:r w:rsidRPr="00C62790">
        <w:t>élaborer le projet de document d</w:t>
      </w:r>
      <w:r>
        <w:t>’</w:t>
      </w:r>
      <w:r w:rsidRPr="00C62790">
        <w:t xml:space="preserve">orientation des décisions sur le </w:t>
      </w:r>
      <w:proofErr w:type="spellStart"/>
      <w:r w:rsidRPr="00C62790">
        <w:t>phorate</w:t>
      </w:r>
      <w:proofErr w:type="spellEnd"/>
      <w:r w:rsidRPr="00C62790">
        <w:t xml:space="preserve"> et que le plan de travail du groupe seront, respectivement, c</w:t>
      </w:r>
      <w:r>
        <w:t>eux dans figurant les annexes II et III a</w:t>
      </w:r>
      <w:r w:rsidRPr="00C62790">
        <w:t>u rapport du Comité sur les travaux sa treizième réunion.</w:t>
      </w:r>
    </w:p>
    <w:p w:rsidR="002A7C5D" w:rsidRPr="00C62790" w:rsidRDefault="002A7C5D" w:rsidP="002A7C5D">
      <w:pPr>
        <w:pStyle w:val="CH1"/>
        <w:rPr>
          <w:lang w:val="fr-FR"/>
        </w:rPr>
      </w:pPr>
      <w:r w:rsidRPr="00C62790">
        <w:rPr>
          <w:lang w:val="fr-FR"/>
        </w:rPr>
        <w:tab/>
      </w:r>
      <w:r w:rsidRPr="00C62790">
        <w:rPr>
          <w:lang w:val="fr-FR"/>
        </w:rPr>
        <w:tab/>
        <w:t>Annexe à la dé</w:t>
      </w:r>
      <w:r>
        <w:rPr>
          <w:lang w:val="fr-FR"/>
        </w:rPr>
        <w:t>cision </w:t>
      </w:r>
      <w:r w:rsidRPr="00C62790">
        <w:rPr>
          <w:lang w:val="fr-FR"/>
        </w:rPr>
        <w:t>CRC-13/4</w:t>
      </w:r>
    </w:p>
    <w:p w:rsidR="002A7C5D" w:rsidRPr="00C62790" w:rsidRDefault="002A7C5D" w:rsidP="002A7C5D">
      <w:pPr>
        <w:pStyle w:val="CH1"/>
        <w:rPr>
          <w:lang w:val="fr-FR"/>
        </w:rPr>
      </w:pPr>
      <w:r w:rsidRPr="00C62790">
        <w:rPr>
          <w:lang w:val="fr-FR"/>
        </w:rPr>
        <w:tab/>
      </w:r>
      <w:r w:rsidRPr="00C62790">
        <w:rPr>
          <w:lang w:val="fr-FR"/>
        </w:rPr>
        <w:tab/>
        <w:t>Justification de la conclusion du Comité d</w:t>
      </w:r>
      <w:r>
        <w:rPr>
          <w:lang w:val="fr-FR"/>
        </w:rPr>
        <w:t>’</w:t>
      </w:r>
      <w:r w:rsidRPr="00C62790">
        <w:rPr>
          <w:lang w:val="fr-FR"/>
        </w:rPr>
        <w:t>étude des produits chimiques selon laquel</w:t>
      </w:r>
      <w:r>
        <w:rPr>
          <w:lang w:val="fr-FR"/>
        </w:rPr>
        <w:t>le la notification de mesure de </w:t>
      </w:r>
      <w:r w:rsidRPr="00C62790">
        <w:rPr>
          <w:lang w:val="fr-FR"/>
        </w:rPr>
        <w:t xml:space="preserve">réglementation finale concernant le </w:t>
      </w:r>
      <w:proofErr w:type="spellStart"/>
      <w:r w:rsidRPr="00C62790">
        <w:rPr>
          <w:lang w:val="fr-FR"/>
        </w:rPr>
        <w:t>phorate</w:t>
      </w:r>
      <w:proofErr w:type="spellEnd"/>
      <w:r w:rsidRPr="00C62790">
        <w:rPr>
          <w:lang w:val="fr-FR"/>
        </w:rPr>
        <w:t xml:space="preserve"> dans la ca</w:t>
      </w:r>
      <w:r>
        <w:rPr>
          <w:lang w:val="fr-FR"/>
        </w:rPr>
        <w:t>tégorie des pesticides soumise</w:t>
      </w:r>
      <w:r w:rsidRPr="00C62790">
        <w:rPr>
          <w:lang w:val="fr-FR"/>
        </w:rPr>
        <w:t xml:space="preserve"> par le Brésil satisfai</w:t>
      </w:r>
      <w:r>
        <w:rPr>
          <w:lang w:val="fr-FR"/>
        </w:rPr>
        <w:t>t aux critères de </w:t>
      </w:r>
      <w:r w:rsidRPr="00C62790">
        <w:rPr>
          <w:lang w:val="fr-FR"/>
        </w:rPr>
        <w:t>l</w:t>
      </w:r>
      <w:r>
        <w:rPr>
          <w:lang w:val="fr-FR"/>
        </w:rPr>
        <w:t>’</w:t>
      </w:r>
      <w:r w:rsidRPr="00C62790">
        <w:rPr>
          <w:lang w:val="fr-FR"/>
        </w:rPr>
        <w:t xml:space="preserve">Annexe II </w:t>
      </w:r>
      <w:r>
        <w:rPr>
          <w:lang w:val="fr-FR"/>
        </w:rPr>
        <w:t>de</w:t>
      </w:r>
      <w:r w:rsidRPr="00C62790">
        <w:rPr>
          <w:lang w:val="fr-FR"/>
        </w:rPr>
        <w:t xml:space="preserve"> la Convention de Rotterdam</w:t>
      </w:r>
    </w:p>
    <w:p w:rsidR="002A7C5D" w:rsidRPr="00C62790" w:rsidRDefault="002A7C5D" w:rsidP="002A7C5D">
      <w:pPr>
        <w:pStyle w:val="Normalnumber"/>
        <w:numPr>
          <w:ilvl w:val="0"/>
          <w:numId w:val="6"/>
        </w:numPr>
        <w:tabs>
          <w:tab w:val="num" w:pos="624"/>
        </w:tabs>
        <w:ind w:left="1247" w:firstLine="0"/>
        <w:rPr>
          <w:lang w:val="fr-FR"/>
        </w:rPr>
      </w:pPr>
      <w:r w:rsidRPr="00C62790">
        <w:rPr>
          <w:lang w:val="fr-FR"/>
        </w:rPr>
        <w:t xml:space="preserve">Après avoir examiné la notification de mesure de réglementation finale soumise par le Brésil, interdisant le </w:t>
      </w:r>
      <w:proofErr w:type="spellStart"/>
      <w:r w:rsidRPr="00C62790">
        <w:rPr>
          <w:lang w:val="fr-FR"/>
        </w:rPr>
        <w:t>phorate</w:t>
      </w:r>
      <w:proofErr w:type="spellEnd"/>
      <w:r w:rsidRPr="00C62790">
        <w:rPr>
          <w:lang w:val="fr-FR"/>
        </w:rPr>
        <w:t xml:space="preserve"> en tant que pesticide, ainsi que la documentation à l</w:t>
      </w:r>
      <w:r>
        <w:rPr>
          <w:lang w:val="fr-FR"/>
        </w:rPr>
        <w:t>’</w:t>
      </w:r>
      <w:r w:rsidRPr="00C62790">
        <w:rPr>
          <w:lang w:val="fr-FR"/>
        </w:rPr>
        <w:t>appui fournie par cette Partie, le Comité a pu confirmer que la mesure avait été prise pour protéger la santé humaine. La notification contenait les informations demandées dans l</w:t>
      </w:r>
      <w:r>
        <w:rPr>
          <w:lang w:val="fr-FR"/>
        </w:rPr>
        <w:t>’</w:t>
      </w:r>
      <w:r w:rsidRPr="00C62790">
        <w:rPr>
          <w:lang w:val="fr-FR"/>
        </w:rPr>
        <w:t>Annexe</w:t>
      </w:r>
      <w:r>
        <w:rPr>
          <w:lang w:val="fr-FR"/>
        </w:rPr>
        <w:t> </w:t>
      </w:r>
      <w:r w:rsidRPr="00C62790">
        <w:rPr>
          <w:lang w:val="fr-FR"/>
        </w:rPr>
        <w:t>I, de sorte que les critères énoncés dans l</w:t>
      </w:r>
      <w:r>
        <w:rPr>
          <w:lang w:val="fr-FR"/>
        </w:rPr>
        <w:t>’</w:t>
      </w:r>
      <w:r w:rsidRPr="00C62790">
        <w:rPr>
          <w:lang w:val="fr-FR"/>
        </w:rPr>
        <w:t xml:space="preserve">Annexe II </w:t>
      </w:r>
      <w:r>
        <w:rPr>
          <w:lang w:val="fr-FR"/>
        </w:rPr>
        <w:t>de</w:t>
      </w:r>
      <w:r w:rsidRPr="00C62790">
        <w:rPr>
          <w:lang w:val="fr-FR"/>
        </w:rPr>
        <w:t xml:space="preserve"> la Convention de Rotterdam étaient satisfaits. </w:t>
      </w:r>
    </w:p>
    <w:p w:rsidR="002A7C5D" w:rsidRPr="00C62790" w:rsidRDefault="002A7C5D" w:rsidP="002A7C5D">
      <w:pPr>
        <w:pStyle w:val="Normalnumber"/>
        <w:numPr>
          <w:ilvl w:val="0"/>
          <w:numId w:val="6"/>
        </w:numPr>
        <w:tabs>
          <w:tab w:val="num" w:pos="624"/>
        </w:tabs>
        <w:ind w:left="1247" w:firstLine="0"/>
        <w:rPr>
          <w:lang w:val="fr-FR"/>
        </w:rPr>
      </w:pPr>
      <w:r w:rsidRPr="00C62790">
        <w:rPr>
          <w:lang w:val="fr-FR"/>
        </w:rPr>
        <w:t>La notification et la documentation à l</w:t>
      </w:r>
      <w:r>
        <w:rPr>
          <w:lang w:val="fr-FR"/>
        </w:rPr>
        <w:t>’</w:t>
      </w:r>
      <w:r w:rsidRPr="00C62790">
        <w:rPr>
          <w:lang w:val="fr-FR"/>
        </w:rPr>
        <w:t>appui</w:t>
      </w:r>
      <w:r>
        <w:rPr>
          <w:lang w:val="fr-FR"/>
        </w:rPr>
        <w:t xml:space="preserve"> (voir </w:t>
      </w:r>
      <w:r w:rsidRPr="00C62790">
        <w:rPr>
          <w:lang w:val="fr-FR"/>
        </w:rPr>
        <w:t>les documents</w:t>
      </w:r>
      <w:r>
        <w:rPr>
          <w:lang w:val="fr-FR"/>
        </w:rPr>
        <w:t xml:space="preserve"> </w:t>
      </w:r>
      <w:r w:rsidRPr="00C62790">
        <w:rPr>
          <w:lang w:val="fr-FR"/>
        </w:rPr>
        <w:t>UNEP/FAO/RC/CRC.13/13 et UNEP/FAO/RC/CRC.13/INF/29) ont été soumises au Comité pour examen.</w:t>
      </w:r>
    </w:p>
    <w:p w:rsidR="002A7C5D" w:rsidRPr="00C62790" w:rsidRDefault="002A7C5D" w:rsidP="002A7C5D">
      <w:pPr>
        <w:pStyle w:val="Normalnumber"/>
        <w:numPr>
          <w:ilvl w:val="0"/>
          <w:numId w:val="6"/>
        </w:numPr>
        <w:tabs>
          <w:tab w:val="num" w:pos="624"/>
        </w:tabs>
        <w:ind w:left="1247" w:firstLine="0"/>
        <w:rPr>
          <w:lang w:val="fr-FR"/>
        </w:rPr>
      </w:pPr>
      <w:r w:rsidRPr="00C62790">
        <w:rPr>
          <w:lang w:val="fr-FR"/>
        </w:rPr>
        <w:t>Après avoir examiné la notification</w:t>
      </w:r>
      <w:r>
        <w:rPr>
          <w:lang w:val="fr-FR"/>
        </w:rPr>
        <w:t xml:space="preserve"> </w:t>
      </w:r>
      <w:r w:rsidRPr="00C62790">
        <w:rPr>
          <w:lang w:val="fr-FR"/>
        </w:rPr>
        <w:t>de mesure de réglementation finale soumise par le Brésil, ainsi que la documentation à l</w:t>
      </w:r>
      <w:r>
        <w:rPr>
          <w:lang w:val="fr-FR"/>
        </w:rPr>
        <w:t>’</w:t>
      </w:r>
      <w:r w:rsidRPr="00C62790">
        <w:rPr>
          <w:lang w:val="fr-FR"/>
        </w:rPr>
        <w:t xml:space="preserve">appui fournie par cette Partie, le Comité a pu confirmer que la mesure avait été prise pour protéger la santé humaine. </w:t>
      </w:r>
    </w:p>
    <w:p w:rsidR="002A7C5D" w:rsidRPr="00C62790" w:rsidRDefault="002A7C5D" w:rsidP="002A7C5D">
      <w:pPr>
        <w:pStyle w:val="CH3"/>
        <w:rPr>
          <w:lang w:val="fr-FR"/>
        </w:rPr>
      </w:pPr>
      <w:r w:rsidRPr="00C62790">
        <w:rPr>
          <w:lang w:val="fr-FR"/>
        </w:rPr>
        <w:lastRenderedPageBreak/>
        <w:tab/>
        <w:t>a)</w:t>
      </w:r>
      <w:r w:rsidRPr="00C62790">
        <w:rPr>
          <w:lang w:val="fr-FR"/>
        </w:rPr>
        <w:tab/>
        <w:t>Portée de la</w:t>
      </w:r>
      <w:r>
        <w:rPr>
          <w:lang w:val="fr-FR"/>
        </w:rPr>
        <w:t xml:space="preserve"> mesure de réglementation</w:t>
      </w:r>
      <w:r w:rsidRPr="00C62790">
        <w:rPr>
          <w:lang w:val="fr-FR"/>
        </w:rPr>
        <w:t xml:space="preserve"> notifiée</w:t>
      </w:r>
    </w:p>
    <w:p w:rsidR="002A7C5D" w:rsidRPr="00C62790" w:rsidRDefault="002A7C5D" w:rsidP="002A7C5D">
      <w:pPr>
        <w:pStyle w:val="Normalnumber"/>
        <w:numPr>
          <w:ilvl w:val="0"/>
          <w:numId w:val="6"/>
        </w:numPr>
        <w:tabs>
          <w:tab w:val="num" w:pos="624"/>
        </w:tabs>
        <w:ind w:left="1247" w:firstLine="0"/>
        <w:rPr>
          <w:snapToGrid w:val="0"/>
          <w:lang w:val="fr-FR"/>
        </w:rPr>
      </w:pPr>
      <w:r w:rsidRPr="00C62790">
        <w:rPr>
          <w:snapToGrid w:val="0"/>
          <w:lang w:val="fr-FR"/>
        </w:rPr>
        <w:t xml:space="preserve">La mesure de réglementation finale notifiée concerne le </w:t>
      </w:r>
      <w:proofErr w:type="spellStart"/>
      <w:r w:rsidRPr="00C62790">
        <w:rPr>
          <w:snapToGrid w:val="0"/>
          <w:lang w:val="fr-FR"/>
        </w:rPr>
        <w:t>phorate</w:t>
      </w:r>
      <w:proofErr w:type="spellEnd"/>
      <w:r w:rsidRPr="00C62790">
        <w:rPr>
          <w:snapToGrid w:val="0"/>
          <w:lang w:val="fr-FR"/>
        </w:rPr>
        <w:t xml:space="preserve"> (</w:t>
      </w:r>
      <w:r>
        <w:rPr>
          <w:snapToGrid w:val="0"/>
          <w:lang w:val="fr-FR"/>
        </w:rPr>
        <w:t>n° </w:t>
      </w:r>
      <w:r w:rsidRPr="00C62790">
        <w:rPr>
          <w:snapToGrid w:val="0"/>
          <w:lang w:val="fr-FR"/>
        </w:rPr>
        <w:t xml:space="preserve">CAS No. 298-02-2) dans la catégorie des pesticides. </w:t>
      </w:r>
    </w:p>
    <w:p w:rsidR="002A7C5D" w:rsidRPr="00C62790" w:rsidRDefault="002A7C5D" w:rsidP="002A7C5D">
      <w:pPr>
        <w:pStyle w:val="Normalnumber"/>
        <w:numPr>
          <w:ilvl w:val="0"/>
          <w:numId w:val="6"/>
        </w:numPr>
        <w:tabs>
          <w:tab w:val="num" w:pos="624"/>
        </w:tabs>
        <w:ind w:left="1247" w:firstLine="0"/>
        <w:rPr>
          <w:snapToGrid w:val="0"/>
          <w:lang w:val="fr-FR"/>
        </w:rPr>
      </w:pPr>
      <w:r w:rsidRPr="00C62790">
        <w:rPr>
          <w:snapToGrid w:val="0"/>
          <w:lang w:val="fr-FR"/>
        </w:rPr>
        <w:t xml:space="preserve">Comme suite à une nouvelle évaluation toxicologique du </w:t>
      </w:r>
      <w:proofErr w:type="spellStart"/>
      <w:r w:rsidRPr="00C62790">
        <w:rPr>
          <w:snapToGrid w:val="0"/>
          <w:lang w:val="fr-FR"/>
        </w:rPr>
        <w:t>phorate</w:t>
      </w:r>
      <w:proofErr w:type="spellEnd"/>
      <w:r w:rsidRPr="00C62790">
        <w:rPr>
          <w:snapToGrid w:val="0"/>
          <w:lang w:val="fr-FR"/>
        </w:rPr>
        <w:t xml:space="preserve"> en tant que principe actif, le</w:t>
      </w:r>
      <w:r>
        <w:rPr>
          <w:snapToGrid w:val="0"/>
          <w:lang w:val="fr-FR"/>
        </w:rPr>
        <w:t> 13 </w:t>
      </w:r>
      <w:r w:rsidRPr="00C62790">
        <w:rPr>
          <w:snapToGrid w:val="0"/>
          <w:lang w:val="fr-FR"/>
        </w:rPr>
        <w:t>mars 2015, l</w:t>
      </w:r>
      <w:r>
        <w:rPr>
          <w:snapToGrid w:val="0"/>
          <w:lang w:val="fr-FR"/>
        </w:rPr>
        <w:t>’</w:t>
      </w:r>
      <w:r w:rsidRPr="00C62790">
        <w:rPr>
          <w:snapToGrid w:val="0"/>
          <w:lang w:val="fr-FR"/>
        </w:rPr>
        <w:t xml:space="preserve">Agence nationale de surveillance de la santé (ANVISA) </w:t>
      </w:r>
      <w:r>
        <w:rPr>
          <w:snapToGrid w:val="0"/>
          <w:lang w:val="fr-FR"/>
        </w:rPr>
        <w:t>avait publié sa résolution </w:t>
      </w:r>
      <w:r w:rsidRPr="00C62790">
        <w:rPr>
          <w:snapToGrid w:val="0"/>
          <w:lang w:val="fr-FR"/>
        </w:rPr>
        <w:t xml:space="preserve">RDC </w:t>
      </w:r>
      <w:r>
        <w:rPr>
          <w:snapToGrid w:val="0"/>
          <w:lang w:val="fr-FR"/>
        </w:rPr>
        <w:t>n</w:t>
      </w:r>
      <w:r w:rsidRPr="00AF21C6">
        <w:rPr>
          <w:snapToGrid w:val="0"/>
          <w:vertAlign w:val="superscript"/>
          <w:lang w:val="fr-FR"/>
        </w:rPr>
        <w:t>o</w:t>
      </w:r>
      <w:r>
        <w:rPr>
          <w:snapToGrid w:val="0"/>
          <w:lang w:val="fr-FR"/>
        </w:rPr>
        <w:t> </w:t>
      </w:r>
      <w:r w:rsidRPr="00C62790">
        <w:rPr>
          <w:snapToGrid w:val="0"/>
          <w:lang w:val="fr-FR"/>
        </w:rPr>
        <w:t>12 interdisant tous les produits techniques et toutes les préparations contenant du</w:t>
      </w:r>
      <w:r>
        <w:rPr>
          <w:snapToGrid w:val="0"/>
          <w:lang w:val="fr-FR"/>
        </w:rPr>
        <w:t> </w:t>
      </w:r>
      <w:proofErr w:type="spellStart"/>
      <w:r w:rsidRPr="00C62790">
        <w:rPr>
          <w:snapToGrid w:val="0"/>
          <w:lang w:val="fr-FR"/>
        </w:rPr>
        <w:t>phorate</w:t>
      </w:r>
      <w:proofErr w:type="spellEnd"/>
      <w:r w:rsidRPr="00C62790">
        <w:rPr>
          <w:snapToGrid w:val="0"/>
          <w:lang w:val="fr-FR"/>
        </w:rPr>
        <w:t xml:space="preserve"> comme principe actif. En conséquence, la production, l</w:t>
      </w:r>
      <w:r>
        <w:rPr>
          <w:snapToGrid w:val="0"/>
          <w:lang w:val="fr-FR"/>
        </w:rPr>
        <w:t>’</w:t>
      </w:r>
      <w:r w:rsidRPr="00C62790">
        <w:rPr>
          <w:snapToGrid w:val="0"/>
          <w:lang w:val="fr-FR"/>
        </w:rPr>
        <w:t>utilisation, le commerce, l</w:t>
      </w:r>
      <w:r>
        <w:rPr>
          <w:snapToGrid w:val="0"/>
          <w:lang w:val="fr-FR"/>
        </w:rPr>
        <w:t>’</w:t>
      </w:r>
      <w:r w:rsidRPr="00C62790">
        <w:rPr>
          <w:snapToGrid w:val="0"/>
          <w:lang w:val="fr-FR"/>
        </w:rPr>
        <w:t>importation et l</w:t>
      </w:r>
      <w:r>
        <w:rPr>
          <w:snapToGrid w:val="0"/>
          <w:lang w:val="fr-FR"/>
        </w:rPr>
        <w:t>’</w:t>
      </w:r>
      <w:r w:rsidRPr="00C62790">
        <w:rPr>
          <w:snapToGrid w:val="0"/>
          <w:lang w:val="fr-FR"/>
        </w:rPr>
        <w:t xml:space="preserve">exportation de </w:t>
      </w:r>
      <w:proofErr w:type="spellStart"/>
      <w:r w:rsidRPr="00C62790">
        <w:rPr>
          <w:snapToGrid w:val="0"/>
          <w:lang w:val="fr-FR"/>
        </w:rPr>
        <w:t>phorate</w:t>
      </w:r>
      <w:proofErr w:type="spellEnd"/>
      <w:r w:rsidRPr="00C62790">
        <w:rPr>
          <w:snapToGrid w:val="0"/>
          <w:lang w:val="fr-FR"/>
        </w:rPr>
        <w:t xml:space="preserve"> avaient été interdits. </w:t>
      </w:r>
    </w:p>
    <w:p w:rsidR="002A7C5D" w:rsidRPr="00C62790" w:rsidRDefault="002A7C5D" w:rsidP="002A7C5D">
      <w:pPr>
        <w:pStyle w:val="Normalnumber"/>
        <w:numPr>
          <w:ilvl w:val="0"/>
          <w:numId w:val="6"/>
        </w:numPr>
        <w:tabs>
          <w:tab w:val="num" w:pos="624"/>
        </w:tabs>
        <w:ind w:left="1247" w:firstLine="0"/>
        <w:rPr>
          <w:snapToGrid w:val="0"/>
          <w:lang w:val="fr-FR"/>
        </w:rPr>
      </w:pPr>
      <w:r w:rsidRPr="00C62790">
        <w:rPr>
          <w:snapToGrid w:val="0"/>
          <w:lang w:val="fr-FR"/>
        </w:rPr>
        <w:t>Avant la mesure de régleme</w:t>
      </w:r>
      <w:r>
        <w:rPr>
          <w:snapToGrid w:val="0"/>
          <w:lang w:val="fr-FR"/>
        </w:rPr>
        <w:t>ntation finale, l’utilisation du</w:t>
      </w:r>
      <w:r w:rsidRPr="00C62790">
        <w:rPr>
          <w:snapToGrid w:val="0"/>
          <w:lang w:val="fr-FR"/>
        </w:rPr>
        <w:t xml:space="preserve"> </w:t>
      </w:r>
      <w:proofErr w:type="spellStart"/>
      <w:r w:rsidRPr="00C62790">
        <w:rPr>
          <w:snapToGrid w:val="0"/>
          <w:lang w:val="fr-FR"/>
        </w:rPr>
        <w:t>phorate</w:t>
      </w:r>
      <w:proofErr w:type="spellEnd"/>
      <w:r w:rsidRPr="00C62790">
        <w:rPr>
          <w:snapToGrid w:val="0"/>
          <w:lang w:val="fr-FR"/>
        </w:rPr>
        <w:t xml:space="preserve"> était autorisée au Brésil </w:t>
      </w:r>
      <w:r>
        <w:rPr>
          <w:snapToGrid w:val="0"/>
          <w:lang w:val="fr-FR"/>
        </w:rPr>
        <w:t xml:space="preserve">exclusivement </w:t>
      </w:r>
      <w:r w:rsidRPr="00C62790">
        <w:rPr>
          <w:snapToGrid w:val="0"/>
          <w:lang w:val="fr-FR"/>
        </w:rPr>
        <w:t>en tant qu</w:t>
      </w:r>
      <w:r>
        <w:rPr>
          <w:snapToGrid w:val="0"/>
          <w:lang w:val="fr-FR"/>
        </w:rPr>
        <w:t>’</w:t>
      </w:r>
      <w:r w:rsidRPr="00C62790">
        <w:rPr>
          <w:snapToGrid w:val="0"/>
          <w:lang w:val="fr-FR"/>
        </w:rPr>
        <w:t xml:space="preserve">insecticide </w:t>
      </w:r>
      <w:r>
        <w:rPr>
          <w:snapToGrid w:val="0"/>
          <w:lang w:val="fr-FR"/>
        </w:rPr>
        <w:t>de</w:t>
      </w:r>
      <w:r w:rsidRPr="00C62790">
        <w:rPr>
          <w:snapToGrid w:val="0"/>
          <w:lang w:val="fr-FR"/>
        </w:rPr>
        <w:t xml:space="preserve">s fins agricoles. </w:t>
      </w:r>
    </w:p>
    <w:p w:rsidR="002A7C5D" w:rsidRPr="00C62790" w:rsidRDefault="002A7C5D" w:rsidP="002A7C5D">
      <w:pPr>
        <w:pStyle w:val="Normalnumber"/>
        <w:numPr>
          <w:ilvl w:val="0"/>
          <w:numId w:val="6"/>
        </w:numPr>
        <w:tabs>
          <w:tab w:val="num" w:pos="624"/>
        </w:tabs>
        <w:ind w:left="1247" w:firstLine="0"/>
        <w:rPr>
          <w:snapToGrid w:val="0"/>
          <w:lang w:val="fr-FR"/>
        </w:rPr>
      </w:pPr>
      <w:r w:rsidRPr="00C62790">
        <w:rPr>
          <w:snapToGrid w:val="0"/>
          <w:lang w:val="fr-FR"/>
        </w:rPr>
        <w:t>La notification</w:t>
      </w:r>
      <w:r>
        <w:rPr>
          <w:snapToGrid w:val="0"/>
          <w:lang w:val="fr-FR"/>
        </w:rPr>
        <w:t xml:space="preserve"> </w:t>
      </w:r>
      <w:r w:rsidRPr="00C62790">
        <w:rPr>
          <w:snapToGrid w:val="0"/>
          <w:lang w:val="fr-FR"/>
        </w:rPr>
        <w:t>contenait les informations demandées dans l</w:t>
      </w:r>
      <w:r>
        <w:rPr>
          <w:snapToGrid w:val="0"/>
          <w:lang w:val="fr-FR"/>
        </w:rPr>
        <w:t>’</w:t>
      </w:r>
      <w:r w:rsidRPr="00C62790">
        <w:rPr>
          <w:snapToGrid w:val="0"/>
          <w:lang w:val="fr-FR"/>
        </w:rPr>
        <w:t>Annexe</w:t>
      </w:r>
      <w:r>
        <w:rPr>
          <w:snapToGrid w:val="0"/>
          <w:lang w:val="fr-FR"/>
        </w:rPr>
        <w:t> </w:t>
      </w:r>
      <w:r w:rsidRPr="00C62790">
        <w:rPr>
          <w:snapToGrid w:val="0"/>
          <w:lang w:val="fr-FR"/>
        </w:rPr>
        <w:t xml:space="preserve">I. </w:t>
      </w:r>
    </w:p>
    <w:p w:rsidR="002A7C5D" w:rsidRPr="00C62790" w:rsidRDefault="002A7C5D" w:rsidP="002A7C5D">
      <w:pPr>
        <w:pStyle w:val="CH3"/>
        <w:rPr>
          <w:lang w:val="fr-FR"/>
        </w:rPr>
      </w:pPr>
      <w:r w:rsidRPr="00C62790">
        <w:rPr>
          <w:lang w:val="fr-FR"/>
        </w:rPr>
        <w:tab/>
        <w:t>b)</w:t>
      </w:r>
      <w:r w:rsidRPr="00C62790">
        <w:rPr>
          <w:lang w:val="fr-FR"/>
        </w:rPr>
        <w:tab/>
      </w:r>
      <w:r>
        <w:rPr>
          <w:lang w:val="fr-FR"/>
        </w:rPr>
        <w:t>Critère du paragraphe </w:t>
      </w:r>
      <w:r w:rsidRPr="00C62790">
        <w:rPr>
          <w:lang w:val="fr-FR"/>
        </w:rPr>
        <w:t>a) de l</w:t>
      </w:r>
      <w:r>
        <w:rPr>
          <w:lang w:val="fr-FR"/>
        </w:rPr>
        <w:t>’</w:t>
      </w:r>
      <w:r w:rsidRPr="00C62790">
        <w:rPr>
          <w:lang w:val="fr-FR"/>
        </w:rPr>
        <w:t>Annexe</w:t>
      </w:r>
      <w:r>
        <w:rPr>
          <w:lang w:val="fr-FR"/>
        </w:rPr>
        <w:t> </w:t>
      </w:r>
      <w:r w:rsidRPr="00C62790">
        <w:rPr>
          <w:lang w:val="fr-FR"/>
        </w:rPr>
        <w:t>II</w:t>
      </w:r>
    </w:p>
    <w:p w:rsidR="002A7C5D" w:rsidRPr="00C62790" w:rsidRDefault="002A7C5D" w:rsidP="002A7C5D">
      <w:pPr>
        <w:keepNext/>
        <w:keepLines/>
        <w:tabs>
          <w:tab w:val="left" w:pos="624"/>
        </w:tabs>
        <w:spacing w:after="120"/>
        <w:ind w:left="1247" w:firstLine="624"/>
        <w:rPr>
          <w:i/>
        </w:rPr>
      </w:pPr>
      <w:r w:rsidRPr="00C62790">
        <w:rPr>
          <w:i/>
        </w:rPr>
        <w:t>a)</w:t>
      </w:r>
      <w:r w:rsidRPr="00C62790">
        <w:rPr>
          <w:i/>
        </w:rPr>
        <w:tab/>
        <w:t>Confirme que la mesure de règlementation finale a été prise pour protéger la santé des personnes ou l</w:t>
      </w:r>
      <w:r>
        <w:rPr>
          <w:i/>
        </w:rPr>
        <w:t>’</w:t>
      </w:r>
      <w:r w:rsidRPr="00C62790">
        <w:rPr>
          <w:i/>
        </w:rPr>
        <w:t>environnement</w:t>
      </w:r>
      <w:r>
        <w:rPr>
          <w:i/>
        </w:rPr>
        <w:t> </w:t>
      </w:r>
      <w:r w:rsidRPr="00C62790">
        <w:rPr>
          <w:i/>
        </w:rPr>
        <w:t xml:space="preserve">; </w:t>
      </w:r>
    </w:p>
    <w:p w:rsidR="002A7C5D" w:rsidRPr="00C62790" w:rsidRDefault="002A7C5D" w:rsidP="002A7C5D">
      <w:pPr>
        <w:pStyle w:val="Normalnumber"/>
        <w:numPr>
          <w:ilvl w:val="0"/>
          <w:numId w:val="6"/>
        </w:numPr>
        <w:tabs>
          <w:tab w:val="num" w:pos="624"/>
        </w:tabs>
        <w:ind w:left="1247" w:firstLine="0"/>
        <w:rPr>
          <w:snapToGrid w:val="0"/>
          <w:lang w:val="fr-FR"/>
        </w:rPr>
      </w:pPr>
      <w:r w:rsidRPr="00C62790">
        <w:rPr>
          <w:snapToGrid w:val="0"/>
          <w:lang w:val="fr-FR"/>
        </w:rPr>
        <w:t xml:space="preserve">Comme indiqué dans la notification, la mesure de réglementation finale concernant le </w:t>
      </w:r>
      <w:proofErr w:type="spellStart"/>
      <w:r w:rsidRPr="00C62790">
        <w:rPr>
          <w:snapToGrid w:val="0"/>
          <w:lang w:val="fr-FR"/>
        </w:rPr>
        <w:t>phorate</w:t>
      </w:r>
      <w:proofErr w:type="spellEnd"/>
      <w:r w:rsidRPr="00C62790">
        <w:rPr>
          <w:snapToGrid w:val="0"/>
          <w:lang w:val="fr-FR"/>
        </w:rPr>
        <w:t xml:space="preserve"> prise par le Brésil interdisait tous les produits techniques et toutes les préparations contenant du </w:t>
      </w:r>
      <w:proofErr w:type="spellStart"/>
      <w:r w:rsidRPr="00C62790">
        <w:rPr>
          <w:snapToGrid w:val="0"/>
          <w:lang w:val="fr-FR"/>
        </w:rPr>
        <w:t>phorate</w:t>
      </w:r>
      <w:proofErr w:type="spellEnd"/>
      <w:r w:rsidRPr="00C62790">
        <w:rPr>
          <w:snapToGrid w:val="0"/>
          <w:lang w:val="fr-FR"/>
        </w:rPr>
        <w:t xml:space="preserve"> comme principe actif et interdisait la production, l</w:t>
      </w:r>
      <w:r>
        <w:rPr>
          <w:snapToGrid w:val="0"/>
          <w:lang w:val="fr-FR"/>
        </w:rPr>
        <w:t>’</w:t>
      </w:r>
      <w:r w:rsidRPr="00C62790">
        <w:rPr>
          <w:snapToGrid w:val="0"/>
          <w:lang w:val="fr-FR"/>
        </w:rPr>
        <w:t>utilisation, le commerce, l</w:t>
      </w:r>
      <w:r>
        <w:rPr>
          <w:snapToGrid w:val="0"/>
          <w:lang w:val="fr-FR"/>
        </w:rPr>
        <w:t>’</w:t>
      </w:r>
      <w:r w:rsidRPr="00C62790">
        <w:rPr>
          <w:snapToGrid w:val="0"/>
          <w:lang w:val="fr-FR"/>
        </w:rPr>
        <w:t>importation et l</w:t>
      </w:r>
      <w:r>
        <w:rPr>
          <w:snapToGrid w:val="0"/>
          <w:lang w:val="fr-FR"/>
        </w:rPr>
        <w:t>’</w:t>
      </w:r>
      <w:r w:rsidRPr="00C62790">
        <w:rPr>
          <w:snapToGrid w:val="0"/>
          <w:lang w:val="fr-FR"/>
        </w:rPr>
        <w:t xml:space="preserve">exportation de </w:t>
      </w:r>
      <w:r>
        <w:rPr>
          <w:snapToGrid w:val="0"/>
          <w:lang w:val="fr-FR"/>
        </w:rPr>
        <w:t>cette</w:t>
      </w:r>
      <w:r w:rsidRPr="00C62790">
        <w:rPr>
          <w:snapToGrid w:val="0"/>
          <w:lang w:val="fr-FR"/>
        </w:rPr>
        <w:t xml:space="preserve"> substance active (sections 2.2.1 et 2.3.3 de la notification). Avant l</w:t>
      </w:r>
      <w:r>
        <w:rPr>
          <w:snapToGrid w:val="0"/>
          <w:lang w:val="fr-FR"/>
        </w:rPr>
        <w:t>’</w:t>
      </w:r>
      <w:r w:rsidRPr="00C62790">
        <w:rPr>
          <w:snapToGrid w:val="0"/>
          <w:lang w:val="fr-FR"/>
        </w:rPr>
        <w:t xml:space="preserve">adoption de la mesure de réglementation finale, le </w:t>
      </w:r>
      <w:proofErr w:type="spellStart"/>
      <w:r w:rsidRPr="00C62790">
        <w:rPr>
          <w:snapToGrid w:val="0"/>
          <w:lang w:val="fr-FR"/>
        </w:rPr>
        <w:t>phorate</w:t>
      </w:r>
      <w:proofErr w:type="spellEnd"/>
      <w:r w:rsidRPr="00C62790">
        <w:rPr>
          <w:snapToGrid w:val="0"/>
          <w:lang w:val="fr-FR"/>
        </w:rPr>
        <w:t xml:space="preserve"> était utilisé au Brésil comme insecticide, son utilisation n</w:t>
      </w:r>
      <w:r>
        <w:rPr>
          <w:snapToGrid w:val="0"/>
          <w:lang w:val="fr-FR"/>
        </w:rPr>
        <w:t>’</w:t>
      </w:r>
      <w:r w:rsidRPr="00C62790">
        <w:rPr>
          <w:snapToGrid w:val="0"/>
          <w:lang w:val="fr-FR"/>
        </w:rPr>
        <w:t>étant autorisée qu</w:t>
      </w:r>
      <w:r>
        <w:rPr>
          <w:snapToGrid w:val="0"/>
          <w:lang w:val="fr-FR"/>
        </w:rPr>
        <w:t>’à de</w:t>
      </w:r>
      <w:r w:rsidRPr="00C62790">
        <w:rPr>
          <w:snapToGrid w:val="0"/>
          <w:lang w:val="fr-FR"/>
        </w:rPr>
        <w:t>s fins agricoles sur les cultures suivantes : coton, pomme de terre, café, haricots et maïs (</w:t>
      </w:r>
      <w:r w:rsidRPr="00C62790">
        <w:rPr>
          <w:lang w:val="fr-FR"/>
        </w:rPr>
        <w:t xml:space="preserve">UNEP/FAO/RC/CRC.13/13, annexe, </w:t>
      </w:r>
      <w:r w:rsidRPr="00C62790">
        <w:rPr>
          <w:snapToGrid w:val="0"/>
          <w:lang w:val="fr-FR"/>
        </w:rPr>
        <w:t xml:space="preserve">section 2.3.1). </w:t>
      </w:r>
    </w:p>
    <w:p w:rsidR="002A7C5D" w:rsidRPr="00C62790" w:rsidRDefault="002A7C5D" w:rsidP="002A7C5D">
      <w:pPr>
        <w:pStyle w:val="Normalnumber"/>
        <w:numPr>
          <w:ilvl w:val="0"/>
          <w:numId w:val="6"/>
        </w:numPr>
        <w:tabs>
          <w:tab w:val="num" w:pos="624"/>
        </w:tabs>
        <w:ind w:left="1247" w:firstLine="0"/>
        <w:rPr>
          <w:snapToGrid w:val="0"/>
          <w:lang w:val="fr-FR"/>
        </w:rPr>
      </w:pPr>
      <w:r w:rsidRPr="00C62790">
        <w:rPr>
          <w:snapToGrid w:val="0"/>
          <w:lang w:val="fr-FR"/>
        </w:rPr>
        <w:t>Comme indiqué dans la notification, la mesure de réglementation finale avait été prise dans la</w:t>
      </w:r>
      <w:r>
        <w:rPr>
          <w:snapToGrid w:val="0"/>
          <w:lang w:val="fr-FR"/>
        </w:rPr>
        <w:t> </w:t>
      </w:r>
      <w:r w:rsidRPr="00C62790">
        <w:rPr>
          <w:snapToGrid w:val="0"/>
          <w:lang w:val="fr-FR"/>
        </w:rPr>
        <w:t>catégorie des pesticides (voir le document UNEP/FAO/RC/CRC.13/13, annexe, section 2.3.2) pour</w:t>
      </w:r>
      <w:r>
        <w:rPr>
          <w:snapToGrid w:val="0"/>
          <w:lang w:val="fr-FR"/>
        </w:rPr>
        <w:t xml:space="preserve"> </w:t>
      </w:r>
      <w:r w:rsidRPr="00C62790">
        <w:rPr>
          <w:snapToGrid w:val="0"/>
          <w:lang w:val="fr-FR"/>
        </w:rPr>
        <w:t>protéger la santé humaine (voir le document UNEP/FAO/RC/CRC.13/13, annexe, section 2.4.2.1).</w:t>
      </w:r>
    </w:p>
    <w:p w:rsidR="002A7C5D" w:rsidRPr="00C62790" w:rsidRDefault="002A7C5D" w:rsidP="002A7C5D">
      <w:pPr>
        <w:pStyle w:val="Normalnumber"/>
        <w:numPr>
          <w:ilvl w:val="0"/>
          <w:numId w:val="6"/>
        </w:numPr>
        <w:tabs>
          <w:tab w:val="num" w:pos="624"/>
        </w:tabs>
        <w:ind w:left="1247" w:firstLine="0"/>
        <w:rPr>
          <w:snapToGrid w:val="0"/>
          <w:lang w:val="fr-FR"/>
        </w:rPr>
      </w:pPr>
      <w:r w:rsidRPr="00C62790">
        <w:rPr>
          <w:snapToGrid w:val="0"/>
          <w:lang w:val="fr-FR"/>
        </w:rPr>
        <w:t>Le Brésil avait entrepris, dans le cadre de sa réévaluation toxicologique du principe actif, une</w:t>
      </w:r>
      <w:r>
        <w:rPr>
          <w:snapToGrid w:val="0"/>
          <w:lang w:val="fr-FR"/>
        </w:rPr>
        <w:t> </w:t>
      </w:r>
      <w:r w:rsidRPr="00C62790">
        <w:rPr>
          <w:snapToGrid w:val="0"/>
          <w:lang w:val="fr-FR"/>
        </w:rPr>
        <w:t xml:space="preserve">étude approfondie des données pertinentes sur les dangers et risques associés au </w:t>
      </w:r>
      <w:proofErr w:type="spellStart"/>
      <w:r w:rsidRPr="00C62790">
        <w:rPr>
          <w:snapToGrid w:val="0"/>
          <w:lang w:val="fr-FR"/>
        </w:rPr>
        <w:t>phorate</w:t>
      </w:r>
      <w:proofErr w:type="spellEnd"/>
      <w:r w:rsidRPr="00C62790">
        <w:rPr>
          <w:snapToGrid w:val="0"/>
          <w:lang w:val="fr-FR"/>
        </w:rPr>
        <w:t xml:space="preserve"> tirées de documents revus par des pairs, de rapports publiés et de la littérature scientifique. </w:t>
      </w:r>
    </w:p>
    <w:p w:rsidR="002A7C5D" w:rsidRPr="00C62790" w:rsidRDefault="002A7C5D" w:rsidP="002A7C5D">
      <w:pPr>
        <w:pStyle w:val="Normalnumber"/>
        <w:numPr>
          <w:ilvl w:val="0"/>
          <w:numId w:val="6"/>
        </w:numPr>
        <w:tabs>
          <w:tab w:val="num" w:pos="624"/>
        </w:tabs>
        <w:ind w:left="1247" w:firstLine="0"/>
        <w:rPr>
          <w:snapToGrid w:val="0"/>
          <w:lang w:val="fr-FR"/>
        </w:rPr>
      </w:pPr>
      <w:r w:rsidRPr="00D44798">
        <w:rPr>
          <w:snapToGrid w:val="0"/>
          <w:lang w:val="fr-FR"/>
        </w:rPr>
        <w:t xml:space="preserve">Sur la base des données disponibles, on avait pu déterminer que le </w:t>
      </w:r>
      <w:proofErr w:type="spellStart"/>
      <w:r w:rsidRPr="00D44798">
        <w:rPr>
          <w:snapToGrid w:val="0"/>
          <w:lang w:val="fr-FR"/>
        </w:rPr>
        <w:t>phorate</w:t>
      </w:r>
      <w:proofErr w:type="spellEnd"/>
      <w:r w:rsidRPr="00D44798">
        <w:rPr>
          <w:snapToGrid w:val="0"/>
          <w:lang w:val="fr-FR"/>
        </w:rPr>
        <w:t xml:space="preserve"> et ses métabolites sont facilement absorbés par la peau et les muqueuses et qu</w:t>
      </w:r>
      <w:r>
        <w:rPr>
          <w:snapToGrid w:val="0"/>
          <w:lang w:val="fr-FR"/>
        </w:rPr>
        <w:t>’</w:t>
      </w:r>
      <w:r w:rsidRPr="00D44798">
        <w:rPr>
          <w:snapToGrid w:val="0"/>
          <w:lang w:val="fr-FR"/>
        </w:rPr>
        <w:t>ils peuvent bloquer de manière irréversible l</w:t>
      </w:r>
      <w:r>
        <w:rPr>
          <w:snapToGrid w:val="0"/>
          <w:lang w:val="fr-FR"/>
        </w:rPr>
        <w:t>’</w:t>
      </w:r>
      <w:r w:rsidRPr="00D44798">
        <w:rPr>
          <w:snapToGrid w:val="0"/>
          <w:lang w:val="fr-FR"/>
        </w:rPr>
        <w:t>activité catalytique de l</w:t>
      </w:r>
      <w:r>
        <w:rPr>
          <w:snapToGrid w:val="0"/>
          <w:lang w:val="fr-FR"/>
        </w:rPr>
        <w:t>’</w:t>
      </w:r>
      <w:r w:rsidRPr="00D44798">
        <w:rPr>
          <w:snapToGrid w:val="0"/>
          <w:lang w:val="fr-FR"/>
        </w:rPr>
        <w:t>acétylcholinestérase (</w:t>
      </w:r>
      <w:proofErr w:type="spellStart"/>
      <w:r w:rsidRPr="00D44798">
        <w:rPr>
          <w:snapToGrid w:val="0"/>
          <w:lang w:val="fr-FR"/>
        </w:rPr>
        <w:t>AChE</w:t>
      </w:r>
      <w:proofErr w:type="spellEnd"/>
      <w:r w:rsidRPr="00D44798">
        <w:rPr>
          <w:snapToGrid w:val="0"/>
          <w:lang w:val="fr-FR"/>
        </w:rPr>
        <w:t>), un</w:t>
      </w:r>
      <w:r>
        <w:rPr>
          <w:snapToGrid w:val="0"/>
          <w:lang w:val="fr-FR"/>
        </w:rPr>
        <w:t>e</w:t>
      </w:r>
      <w:r w:rsidRPr="00D44798">
        <w:rPr>
          <w:snapToGrid w:val="0"/>
          <w:lang w:val="fr-FR"/>
        </w:rPr>
        <w:t xml:space="preserve"> enzyme qui </w:t>
      </w:r>
      <w:r>
        <w:rPr>
          <w:snapToGrid w:val="0"/>
          <w:lang w:val="fr-FR"/>
        </w:rPr>
        <w:t xml:space="preserve">sert de médiateur dans </w:t>
      </w:r>
      <w:r w:rsidRPr="00D44798">
        <w:rPr>
          <w:snapToGrid w:val="0"/>
          <w:lang w:val="fr-FR"/>
        </w:rPr>
        <w:t>l</w:t>
      </w:r>
      <w:r>
        <w:rPr>
          <w:snapToGrid w:val="0"/>
          <w:lang w:val="fr-FR"/>
        </w:rPr>
        <w:t>’</w:t>
      </w:r>
      <w:r w:rsidRPr="00D44798">
        <w:rPr>
          <w:snapToGrid w:val="0"/>
          <w:lang w:val="fr-FR"/>
        </w:rPr>
        <w:t>hydrolyse de l</w:t>
      </w:r>
      <w:r>
        <w:rPr>
          <w:snapToGrid w:val="0"/>
          <w:lang w:val="fr-FR"/>
        </w:rPr>
        <w:t>’</w:t>
      </w:r>
      <w:r w:rsidRPr="00D44798">
        <w:rPr>
          <w:snapToGrid w:val="0"/>
          <w:lang w:val="fr-FR"/>
        </w:rPr>
        <w:t xml:space="preserve">acétylcholine </w:t>
      </w:r>
      <w:r>
        <w:rPr>
          <w:snapToGrid w:val="0"/>
          <w:lang w:val="fr-FR"/>
        </w:rPr>
        <w:t>en choline et acide</w:t>
      </w:r>
      <w:r w:rsidRPr="00D44798">
        <w:rPr>
          <w:snapToGrid w:val="0"/>
          <w:lang w:val="fr-FR"/>
        </w:rPr>
        <w:t xml:space="preserve"> acét</w:t>
      </w:r>
      <w:r>
        <w:rPr>
          <w:snapToGrid w:val="0"/>
          <w:lang w:val="fr-FR"/>
        </w:rPr>
        <w:t>ique</w:t>
      </w:r>
      <w:r w:rsidRPr="00D44798">
        <w:rPr>
          <w:snapToGrid w:val="0"/>
          <w:lang w:val="fr-FR"/>
        </w:rPr>
        <w:t>. Ils interrompent ainsi la transmission des influx nerveux dans les synapses cholinergiques du système nerveux central, du système nerveux autonome et de</w:t>
      </w:r>
      <w:r>
        <w:rPr>
          <w:snapToGrid w:val="0"/>
          <w:lang w:val="fr-FR"/>
        </w:rPr>
        <w:t>s</w:t>
      </w:r>
      <w:r w:rsidRPr="00D44798">
        <w:rPr>
          <w:snapToGrid w:val="0"/>
          <w:lang w:val="fr-FR"/>
        </w:rPr>
        <w:t xml:space="preserve"> jonction</w:t>
      </w:r>
      <w:r>
        <w:rPr>
          <w:snapToGrid w:val="0"/>
          <w:lang w:val="fr-FR"/>
        </w:rPr>
        <w:t>s</w:t>
      </w:r>
      <w:r w:rsidRPr="00D44798">
        <w:rPr>
          <w:snapToGrid w:val="0"/>
          <w:lang w:val="fr-FR"/>
        </w:rPr>
        <w:t xml:space="preserve"> neuromusculaire</w:t>
      </w:r>
      <w:r>
        <w:rPr>
          <w:snapToGrid w:val="0"/>
          <w:lang w:val="fr-FR"/>
        </w:rPr>
        <w:t>s</w:t>
      </w:r>
      <w:r w:rsidRPr="00D44798">
        <w:rPr>
          <w:snapToGrid w:val="0"/>
          <w:lang w:val="fr-FR"/>
        </w:rPr>
        <w:t>. L</w:t>
      </w:r>
      <w:r>
        <w:rPr>
          <w:snapToGrid w:val="0"/>
          <w:lang w:val="fr-FR"/>
        </w:rPr>
        <w:t>’</w:t>
      </w:r>
      <w:r w:rsidRPr="00D44798">
        <w:rPr>
          <w:snapToGrid w:val="0"/>
          <w:lang w:val="fr-FR"/>
        </w:rPr>
        <w:t>inactivation de l</w:t>
      </w:r>
      <w:r>
        <w:rPr>
          <w:snapToGrid w:val="0"/>
          <w:lang w:val="fr-FR"/>
        </w:rPr>
        <w:t>’</w:t>
      </w:r>
      <w:proofErr w:type="spellStart"/>
      <w:r w:rsidRPr="00D44798">
        <w:rPr>
          <w:snapToGrid w:val="0"/>
          <w:lang w:val="fr-FR"/>
        </w:rPr>
        <w:t>AChE</w:t>
      </w:r>
      <w:proofErr w:type="spellEnd"/>
      <w:r w:rsidRPr="00D44798">
        <w:rPr>
          <w:snapToGrid w:val="0"/>
          <w:lang w:val="fr-FR"/>
        </w:rPr>
        <w:t xml:space="preserve"> cause une hyperstimulation cholinergique par accumulation d</w:t>
      </w:r>
      <w:r>
        <w:rPr>
          <w:snapToGrid w:val="0"/>
          <w:lang w:val="fr-FR"/>
        </w:rPr>
        <w:t>’</w:t>
      </w:r>
      <w:r w:rsidRPr="00D44798">
        <w:rPr>
          <w:snapToGrid w:val="0"/>
          <w:lang w:val="fr-FR"/>
        </w:rPr>
        <w:t>acétylcholine dans la fente synaptique.</w:t>
      </w:r>
    </w:p>
    <w:p w:rsidR="002A7C5D" w:rsidRPr="00C62790" w:rsidRDefault="002A7C5D" w:rsidP="002A7C5D">
      <w:pPr>
        <w:pStyle w:val="Normalnumber"/>
        <w:numPr>
          <w:ilvl w:val="0"/>
          <w:numId w:val="6"/>
        </w:numPr>
        <w:tabs>
          <w:tab w:val="num" w:pos="624"/>
        </w:tabs>
        <w:ind w:left="1247" w:firstLine="0"/>
        <w:rPr>
          <w:snapToGrid w:val="0"/>
          <w:lang w:val="fr-FR"/>
        </w:rPr>
      </w:pPr>
      <w:r w:rsidRPr="00C62790">
        <w:rPr>
          <w:snapToGrid w:val="0"/>
          <w:lang w:val="fr-FR"/>
        </w:rPr>
        <w:t xml:space="preserve">Le </w:t>
      </w:r>
      <w:proofErr w:type="spellStart"/>
      <w:r w:rsidRPr="00C62790">
        <w:rPr>
          <w:snapToGrid w:val="0"/>
          <w:lang w:val="fr-FR"/>
        </w:rPr>
        <w:t>phorate</w:t>
      </w:r>
      <w:proofErr w:type="spellEnd"/>
      <w:r w:rsidRPr="00C62790">
        <w:rPr>
          <w:snapToGrid w:val="0"/>
          <w:lang w:val="fr-FR"/>
        </w:rPr>
        <w:t xml:space="preserve"> est considéré comme l</w:t>
      </w:r>
      <w:r>
        <w:rPr>
          <w:snapToGrid w:val="0"/>
          <w:lang w:val="fr-FR"/>
        </w:rPr>
        <w:t>’</w:t>
      </w:r>
      <w:r w:rsidRPr="00C62790">
        <w:rPr>
          <w:snapToGrid w:val="0"/>
          <w:lang w:val="fr-FR"/>
        </w:rPr>
        <w:t xml:space="preserve">un des inhibiteurs </w:t>
      </w:r>
      <w:proofErr w:type="spellStart"/>
      <w:r w:rsidRPr="00C62790">
        <w:rPr>
          <w:snapToGrid w:val="0"/>
          <w:lang w:val="fr-FR"/>
        </w:rPr>
        <w:t>organophosphatés</w:t>
      </w:r>
      <w:proofErr w:type="spellEnd"/>
      <w:r w:rsidRPr="00C62790">
        <w:rPr>
          <w:snapToGrid w:val="0"/>
          <w:lang w:val="fr-FR"/>
        </w:rPr>
        <w:t xml:space="preserve"> les plus toxiques pour l</w:t>
      </w:r>
      <w:r>
        <w:rPr>
          <w:snapToGrid w:val="0"/>
          <w:lang w:val="fr-FR"/>
        </w:rPr>
        <w:t>’</w:t>
      </w:r>
      <w:proofErr w:type="spellStart"/>
      <w:r w:rsidRPr="00C62790">
        <w:rPr>
          <w:snapToGrid w:val="0"/>
          <w:lang w:val="fr-FR"/>
        </w:rPr>
        <w:t>AChE</w:t>
      </w:r>
      <w:proofErr w:type="spellEnd"/>
      <w:r w:rsidRPr="00C62790">
        <w:rPr>
          <w:snapToGrid w:val="0"/>
          <w:lang w:val="fr-FR"/>
        </w:rPr>
        <w:t xml:space="preserve">, avec une dose létale moyenne (DL50) par voie orale chez les souris allant de 1,4 à </w:t>
      </w:r>
      <w:r>
        <w:rPr>
          <w:snapToGrid w:val="0"/>
          <w:lang w:val="fr-FR"/>
        </w:rPr>
        <w:t>10 </w:t>
      </w:r>
      <w:r w:rsidRPr="00C62790">
        <w:rPr>
          <w:snapToGrid w:val="0"/>
          <w:lang w:val="fr-FR"/>
        </w:rPr>
        <w:t>mg/kg de poids corporel (voir le document UNEP/FAO/RC/CRC.13/13, annexe, section</w:t>
      </w:r>
      <w:r>
        <w:rPr>
          <w:snapToGrid w:val="0"/>
          <w:lang w:val="fr-FR"/>
        </w:rPr>
        <w:t> </w:t>
      </w:r>
      <w:r w:rsidRPr="00C62790">
        <w:rPr>
          <w:snapToGrid w:val="0"/>
          <w:lang w:val="fr-FR"/>
        </w:rPr>
        <w:t xml:space="preserve">2.4.2.1). Les études expérimentales et épidémiologiques sur les voies respiratoires montrent que le </w:t>
      </w:r>
      <w:proofErr w:type="spellStart"/>
      <w:r w:rsidRPr="00C62790">
        <w:rPr>
          <w:snapToGrid w:val="0"/>
          <w:lang w:val="fr-FR"/>
        </w:rPr>
        <w:t>phorate</w:t>
      </w:r>
      <w:proofErr w:type="spellEnd"/>
      <w:r w:rsidRPr="00C62790">
        <w:rPr>
          <w:snapToGrid w:val="0"/>
          <w:lang w:val="fr-FR"/>
        </w:rPr>
        <w:t xml:space="preserve"> présente une toxicité élevée pour l</w:t>
      </w:r>
      <w:r>
        <w:rPr>
          <w:snapToGrid w:val="0"/>
          <w:lang w:val="fr-FR"/>
        </w:rPr>
        <w:t>’</w:t>
      </w:r>
      <w:r w:rsidRPr="00C62790">
        <w:rPr>
          <w:snapToGrid w:val="0"/>
          <w:lang w:val="fr-FR"/>
        </w:rPr>
        <w:t>appareil respiratoire (voir le document UNEP/FAO/RC/CRC.13/INF/29, p. 21).</w:t>
      </w:r>
    </w:p>
    <w:p w:rsidR="002A7C5D" w:rsidRPr="00C62790" w:rsidRDefault="002A7C5D" w:rsidP="002A7C5D">
      <w:pPr>
        <w:keepNext/>
        <w:keepLines/>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lastRenderedPageBreak/>
        <w:t xml:space="preserve">Les données confirment que le </w:t>
      </w:r>
      <w:proofErr w:type="spellStart"/>
      <w:r w:rsidRPr="00C62790">
        <w:rPr>
          <w:snapToGrid w:val="0"/>
        </w:rPr>
        <w:t>phorate</w:t>
      </w:r>
      <w:proofErr w:type="spellEnd"/>
      <w:r w:rsidRPr="00C62790">
        <w:rPr>
          <w:snapToGrid w:val="0"/>
        </w:rPr>
        <w:t xml:space="preserve"> peut causer des manifestations neurologiques cliniques complexes chez l</w:t>
      </w:r>
      <w:r>
        <w:rPr>
          <w:snapToGrid w:val="0"/>
        </w:rPr>
        <w:t>’</w:t>
      </w:r>
      <w:r w:rsidRPr="00C62790">
        <w:rPr>
          <w:snapToGrid w:val="0"/>
        </w:rPr>
        <w:t xml:space="preserve">homme (encéphalopathie, syndrome intermédiaire et </w:t>
      </w:r>
      <w:proofErr w:type="spellStart"/>
      <w:r w:rsidRPr="00C62790">
        <w:rPr>
          <w:snapToGrid w:val="0"/>
        </w:rPr>
        <w:t>polyneuropathie</w:t>
      </w:r>
      <w:proofErr w:type="spellEnd"/>
      <w:r w:rsidRPr="00C62790">
        <w:rPr>
          <w:snapToGrid w:val="0"/>
        </w:rPr>
        <w:t xml:space="preserve"> retardée), décrites par divers auteurs (Young, Jung, </w:t>
      </w:r>
      <w:proofErr w:type="spellStart"/>
      <w:r w:rsidRPr="00C62790">
        <w:rPr>
          <w:snapToGrid w:val="0"/>
        </w:rPr>
        <w:t>Ayer</w:t>
      </w:r>
      <w:proofErr w:type="spellEnd"/>
      <w:r w:rsidRPr="00C62790">
        <w:rPr>
          <w:snapToGrid w:val="0"/>
        </w:rPr>
        <w:t>, 1979</w:t>
      </w:r>
      <w:r>
        <w:rPr>
          <w:snapToGrid w:val="0"/>
        </w:rPr>
        <w:t> </w:t>
      </w:r>
      <w:r w:rsidRPr="00C62790">
        <w:rPr>
          <w:snapToGrid w:val="0"/>
        </w:rPr>
        <w:t xml:space="preserve">; </w:t>
      </w:r>
      <w:proofErr w:type="spellStart"/>
      <w:r w:rsidRPr="00C62790">
        <w:rPr>
          <w:snapToGrid w:val="0"/>
        </w:rPr>
        <w:t>Kashyap</w:t>
      </w:r>
      <w:proofErr w:type="spellEnd"/>
      <w:r w:rsidRPr="00C62790">
        <w:rPr>
          <w:snapToGrid w:val="0"/>
        </w:rPr>
        <w:t xml:space="preserve"> et </w:t>
      </w:r>
      <w:proofErr w:type="gramStart"/>
      <w:r w:rsidRPr="00C62790">
        <w:rPr>
          <w:snapToGrid w:val="0"/>
        </w:rPr>
        <w:t>al.,</w:t>
      </w:r>
      <w:proofErr w:type="gramEnd"/>
      <w:r w:rsidRPr="00C62790">
        <w:rPr>
          <w:snapToGrid w:val="0"/>
        </w:rPr>
        <w:t xml:space="preserve"> 1984</w:t>
      </w:r>
      <w:r>
        <w:rPr>
          <w:snapToGrid w:val="0"/>
        </w:rPr>
        <w:t> </w:t>
      </w:r>
      <w:r w:rsidRPr="00C62790">
        <w:rPr>
          <w:snapToGrid w:val="0"/>
        </w:rPr>
        <w:t>; WHO/FAO, 1988</w:t>
      </w:r>
      <w:r>
        <w:rPr>
          <w:snapToGrid w:val="0"/>
        </w:rPr>
        <w:t> </w:t>
      </w:r>
      <w:r w:rsidRPr="00C62790">
        <w:rPr>
          <w:snapToGrid w:val="0"/>
        </w:rPr>
        <w:t xml:space="preserve">; </w:t>
      </w:r>
      <w:proofErr w:type="spellStart"/>
      <w:r w:rsidRPr="00C62790">
        <w:rPr>
          <w:snapToGrid w:val="0"/>
        </w:rPr>
        <w:t>Kusic</w:t>
      </w:r>
      <w:proofErr w:type="spellEnd"/>
      <w:r w:rsidRPr="00C62790">
        <w:rPr>
          <w:snapToGrid w:val="0"/>
        </w:rPr>
        <w:t xml:space="preserve"> et al., 1991</w:t>
      </w:r>
      <w:r>
        <w:rPr>
          <w:snapToGrid w:val="0"/>
        </w:rPr>
        <w:t> </w:t>
      </w:r>
      <w:r w:rsidRPr="00C62790">
        <w:rPr>
          <w:snapToGrid w:val="0"/>
        </w:rPr>
        <w:t xml:space="preserve">; </w:t>
      </w:r>
      <w:proofErr w:type="spellStart"/>
      <w:r w:rsidRPr="00C62790">
        <w:rPr>
          <w:snapToGrid w:val="0"/>
        </w:rPr>
        <w:t>Dobozy</w:t>
      </w:r>
      <w:proofErr w:type="spellEnd"/>
      <w:r w:rsidRPr="00C62790">
        <w:rPr>
          <w:snapToGrid w:val="0"/>
        </w:rPr>
        <w:t>, 1998</w:t>
      </w:r>
      <w:r>
        <w:rPr>
          <w:snapToGrid w:val="0"/>
        </w:rPr>
        <w:t> </w:t>
      </w:r>
      <w:r w:rsidRPr="00C62790">
        <w:rPr>
          <w:snapToGrid w:val="0"/>
        </w:rPr>
        <w:t xml:space="preserve">; </w:t>
      </w:r>
      <w:proofErr w:type="spellStart"/>
      <w:r w:rsidRPr="00C62790">
        <w:rPr>
          <w:snapToGrid w:val="0"/>
        </w:rPr>
        <w:t>Das</w:t>
      </w:r>
      <w:proofErr w:type="spellEnd"/>
      <w:r w:rsidRPr="00C62790">
        <w:rPr>
          <w:snapToGrid w:val="0"/>
        </w:rPr>
        <w:t xml:space="preserve"> and Jena, 2000</w:t>
      </w:r>
      <w:r>
        <w:rPr>
          <w:snapToGrid w:val="0"/>
        </w:rPr>
        <w:t> </w:t>
      </w:r>
      <w:r w:rsidRPr="00C62790">
        <w:rPr>
          <w:snapToGrid w:val="0"/>
        </w:rPr>
        <w:t xml:space="preserve">; </w:t>
      </w:r>
      <w:proofErr w:type="spellStart"/>
      <w:r w:rsidRPr="00C62790">
        <w:rPr>
          <w:snapToGrid w:val="0"/>
        </w:rPr>
        <w:t>Thanal</w:t>
      </w:r>
      <w:proofErr w:type="spellEnd"/>
      <w:r w:rsidRPr="00C62790">
        <w:rPr>
          <w:snapToGrid w:val="0"/>
        </w:rPr>
        <w:t>, 2001</w:t>
      </w:r>
      <w:r>
        <w:rPr>
          <w:snapToGrid w:val="0"/>
        </w:rPr>
        <w:t> </w:t>
      </w:r>
      <w:r w:rsidRPr="00C62790">
        <w:rPr>
          <w:snapToGrid w:val="0"/>
        </w:rPr>
        <w:t xml:space="preserve">; </w:t>
      </w:r>
      <w:proofErr w:type="spellStart"/>
      <w:r w:rsidRPr="00C62790">
        <w:rPr>
          <w:snapToGrid w:val="0"/>
        </w:rPr>
        <w:t>Jayakumar</w:t>
      </w:r>
      <w:proofErr w:type="spellEnd"/>
      <w:r w:rsidRPr="00C62790">
        <w:rPr>
          <w:snapToGrid w:val="0"/>
        </w:rPr>
        <w:t>, 2002</w:t>
      </w:r>
      <w:r>
        <w:rPr>
          <w:snapToGrid w:val="0"/>
        </w:rPr>
        <w:t> </w:t>
      </w:r>
      <w:r w:rsidRPr="00C62790">
        <w:rPr>
          <w:snapToGrid w:val="0"/>
        </w:rPr>
        <w:t>; Mission, 2006</w:t>
      </w:r>
      <w:r>
        <w:rPr>
          <w:snapToGrid w:val="0"/>
        </w:rPr>
        <w:t> </w:t>
      </w:r>
      <w:r w:rsidRPr="00C62790">
        <w:rPr>
          <w:snapToGrid w:val="0"/>
        </w:rPr>
        <w:t xml:space="preserve">; Peter, </w:t>
      </w:r>
      <w:proofErr w:type="spellStart"/>
      <w:r w:rsidRPr="00C62790">
        <w:rPr>
          <w:snapToGrid w:val="0"/>
        </w:rPr>
        <w:t>Prabhakar</w:t>
      </w:r>
      <w:proofErr w:type="spellEnd"/>
      <w:r w:rsidRPr="00C62790">
        <w:rPr>
          <w:snapToGrid w:val="0"/>
        </w:rPr>
        <w:t xml:space="preserve">, </w:t>
      </w:r>
      <w:proofErr w:type="spellStart"/>
      <w:r w:rsidRPr="00C62790">
        <w:rPr>
          <w:snapToGrid w:val="0"/>
        </w:rPr>
        <w:t>Pichamuthu</w:t>
      </w:r>
      <w:proofErr w:type="spellEnd"/>
      <w:r w:rsidRPr="00C62790">
        <w:rPr>
          <w:snapToGrid w:val="0"/>
        </w:rPr>
        <w:t>, 2008a</w:t>
      </w:r>
      <w:r>
        <w:rPr>
          <w:snapToGrid w:val="0"/>
        </w:rPr>
        <w:t> </w:t>
      </w:r>
      <w:r w:rsidRPr="00C62790">
        <w:rPr>
          <w:snapToGrid w:val="0"/>
        </w:rPr>
        <w:t xml:space="preserve">; 2008b). Toutefois, aucun cas de syndrome intermédiaire ou de </w:t>
      </w:r>
      <w:proofErr w:type="spellStart"/>
      <w:r w:rsidRPr="00C62790">
        <w:rPr>
          <w:snapToGrid w:val="0"/>
        </w:rPr>
        <w:t>polyneuropathie</w:t>
      </w:r>
      <w:proofErr w:type="spellEnd"/>
      <w:r w:rsidRPr="00C62790">
        <w:rPr>
          <w:snapToGrid w:val="0"/>
        </w:rPr>
        <w:t xml:space="preserve"> retardée</w:t>
      </w:r>
      <w:r>
        <w:rPr>
          <w:snapToGrid w:val="0"/>
        </w:rPr>
        <w:t xml:space="preserve"> n’avait été observé chez les </w:t>
      </w:r>
      <w:r w:rsidRPr="009F6489">
        <w:rPr>
          <w:snapToGrid w:val="0"/>
        </w:rPr>
        <w:t xml:space="preserve">animaux de laboratoire </w:t>
      </w:r>
      <w:r>
        <w:rPr>
          <w:snapToGrid w:val="0"/>
        </w:rPr>
        <w:t xml:space="preserve">auxquels on avait </w:t>
      </w:r>
      <w:r w:rsidRPr="009F6489">
        <w:rPr>
          <w:snapToGrid w:val="0"/>
        </w:rPr>
        <w:t>administr</w:t>
      </w:r>
      <w:r>
        <w:rPr>
          <w:snapToGrid w:val="0"/>
        </w:rPr>
        <w:t>é</w:t>
      </w:r>
      <w:r w:rsidRPr="009F6489">
        <w:rPr>
          <w:snapToGrid w:val="0"/>
        </w:rPr>
        <w:t xml:space="preserve"> d</w:t>
      </w:r>
      <w:r>
        <w:rPr>
          <w:snapToGrid w:val="0"/>
        </w:rPr>
        <w:t>u</w:t>
      </w:r>
      <w:r w:rsidRPr="009F6489">
        <w:rPr>
          <w:snapToGrid w:val="0"/>
        </w:rPr>
        <w:t xml:space="preserve"> </w:t>
      </w:r>
      <w:proofErr w:type="spellStart"/>
      <w:r w:rsidRPr="009F6489">
        <w:rPr>
          <w:snapToGrid w:val="0"/>
        </w:rPr>
        <w:t>phorate</w:t>
      </w:r>
      <w:proofErr w:type="spellEnd"/>
      <w:r>
        <w:rPr>
          <w:snapToGrid w:val="0"/>
        </w:rPr>
        <w:t>, ce qui montre</w:t>
      </w:r>
      <w:r w:rsidRPr="00C62790">
        <w:rPr>
          <w:snapToGrid w:val="0"/>
        </w:rPr>
        <w:t xml:space="preserve"> que ce pesticide est plus toxique pour l</w:t>
      </w:r>
      <w:r>
        <w:rPr>
          <w:snapToGrid w:val="0"/>
        </w:rPr>
        <w:t>’</w:t>
      </w:r>
      <w:r w:rsidRPr="00C62790">
        <w:rPr>
          <w:snapToGrid w:val="0"/>
        </w:rPr>
        <w:t xml:space="preserve">homme que </w:t>
      </w:r>
      <w:r>
        <w:rPr>
          <w:snapToGrid w:val="0"/>
        </w:rPr>
        <w:t>ne le laissent</w:t>
      </w:r>
      <w:r w:rsidRPr="00C62790">
        <w:rPr>
          <w:snapToGrid w:val="0"/>
        </w:rPr>
        <w:t xml:space="preserve"> </w:t>
      </w:r>
      <w:r>
        <w:rPr>
          <w:snapToGrid w:val="0"/>
        </w:rPr>
        <w:t>conclure</w:t>
      </w:r>
      <w:r w:rsidRPr="00C62790">
        <w:rPr>
          <w:snapToGrid w:val="0"/>
        </w:rPr>
        <w:t xml:space="preserve"> les </w:t>
      </w:r>
      <w:r>
        <w:rPr>
          <w:snapToGrid w:val="0"/>
        </w:rPr>
        <w:t>essais</w:t>
      </w:r>
      <w:r w:rsidRPr="00C62790">
        <w:rPr>
          <w:snapToGrid w:val="0"/>
        </w:rPr>
        <w:t xml:space="preserve"> sur des animaux de laboratoire.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 xml:space="preserve">En plus de ses effets neurotoxiques, le </w:t>
      </w:r>
      <w:proofErr w:type="spellStart"/>
      <w:r w:rsidRPr="00C62790">
        <w:rPr>
          <w:snapToGrid w:val="0"/>
        </w:rPr>
        <w:t>phorate</w:t>
      </w:r>
      <w:proofErr w:type="spellEnd"/>
      <w:r w:rsidRPr="00C62790">
        <w:rPr>
          <w:snapToGrid w:val="0"/>
        </w:rPr>
        <w:t xml:space="preserve"> peut avoir des effets néfastes sur les processus de régulation de l</w:t>
      </w:r>
      <w:r>
        <w:rPr>
          <w:snapToGrid w:val="0"/>
        </w:rPr>
        <w:t>’</w:t>
      </w:r>
      <w:r w:rsidRPr="00C62790">
        <w:rPr>
          <w:snapToGrid w:val="0"/>
        </w:rPr>
        <w:t>activité endocrinienne impliquant les hormones stéroïdiennes chez l</w:t>
      </w:r>
      <w:r>
        <w:rPr>
          <w:snapToGrid w:val="0"/>
        </w:rPr>
        <w:t>’</w:t>
      </w:r>
      <w:r w:rsidRPr="00C62790">
        <w:rPr>
          <w:snapToGrid w:val="0"/>
        </w:rPr>
        <w:t>homme (</w:t>
      </w:r>
      <w:proofErr w:type="spellStart"/>
      <w:r w:rsidRPr="00C62790">
        <w:rPr>
          <w:snapToGrid w:val="0"/>
        </w:rPr>
        <w:t>Usmani</w:t>
      </w:r>
      <w:proofErr w:type="spellEnd"/>
      <w:r w:rsidRPr="00C62790">
        <w:rPr>
          <w:snapToGrid w:val="0"/>
        </w:rPr>
        <w:t>, 2003), qui pourraient contribuer à une augmentation de l</w:t>
      </w:r>
      <w:r>
        <w:rPr>
          <w:snapToGrid w:val="0"/>
        </w:rPr>
        <w:t>’</w:t>
      </w:r>
      <w:r w:rsidRPr="00C62790">
        <w:rPr>
          <w:snapToGrid w:val="0"/>
        </w:rPr>
        <w:t>incidence des cancers (</w:t>
      </w:r>
      <w:proofErr w:type="spellStart"/>
      <w:r w:rsidRPr="00C62790">
        <w:rPr>
          <w:snapToGrid w:val="0"/>
        </w:rPr>
        <w:t>Alavanja</w:t>
      </w:r>
      <w:proofErr w:type="spellEnd"/>
      <w:r>
        <w:rPr>
          <w:snapToGrid w:val="0"/>
        </w:rPr>
        <w:t> </w:t>
      </w:r>
      <w:r w:rsidRPr="00C62790">
        <w:rPr>
          <w:snapToGrid w:val="0"/>
        </w:rPr>
        <w:t>et</w:t>
      </w:r>
      <w:r>
        <w:rPr>
          <w:snapToGrid w:val="0"/>
        </w:rPr>
        <w:t> </w:t>
      </w:r>
      <w:proofErr w:type="gramStart"/>
      <w:r w:rsidRPr="00C62790">
        <w:rPr>
          <w:snapToGrid w:val="0"/>
        </w:rPr>
        <w:t>al.,</w:t>
      </w:r>
      <w:proofErr w:type="gramEnd"/>
      <w:r w:rsidRPr="00C62790">
        <w:rPr>
          <w:snapToGrid w:val="0"/>
        </w:rPr>
        <w:t xml:space="preserve"> 2002</w:t>
      </w:r>
      <w:r>
        <w:rPr>
          <w:snapToGrid w:val="0"/>
        </w:rPr>
        <w:t> </w:t>
      </w:r>
      <w:r w:rsidRPr="00C62790">
        <w:rPr>
          <w:snapToGrid w:val="0"/>
        </w:rPr>
        <w:t xml:space="preserve">; </w:t>
      </w:r>
      <w:proofErr w:type="spellStart"/>
      <w:r w:rsidRPr="00C62790">
        <w:rPr>
          <w:snapToGrid w:val="0"/>
        </w:rPr>
        <w:t>Mahajan</w:t>
      </w:r>
      <w:proofErr w:type="spellEnd"/>
      <w:r w:rsidRPr="00C62790">
        <w:rPr>
          <w:snapToGrid w:val="0"/>
        </w:rPr>
        <w:t xml:space="preserve"> et al., 2006 ; </w:t>
      </w:r>
      <w:proofErr w:type="spellStart"/>
      <w:r w:rsidRPr="00C62790">
        <w:rPr>
          <w:snapToGrid w:val="0"/>
        </w:rPr>
        <w:t>Koutros</w:t>
      </w:r>
      <w:proofErr w:type="spellEnd"/>
      <w:r w:rsidRPr="00C62790">
        <w:rPr>
          <w:snapToGrid w:val="0"/>
        </w:rPr>
        <w:t xml:space="preserve"> et al., 2010) (voir</w:t>
      </w:r>
      <w:r>
        <w:rPr>
          <w:snapToGrid w:val="0"/>
        </w:rPr>
        <w:t> </w:t>
      </w:r>
      <w:r w:rsidRPr="00C62790">
        <w:rPr>
          <w:snapToGrid w:val="0"/>
        </w:rPr>
        <w:t>les</w:t>
      </w:r>
      <w:r>
        <w:rPr>
          <w:snapToGrid w:val="0"/>
        </w:rPr>
        <w:t> </w:t>
      </w:r>
      <w:r w:rsidRPr="00C62790">
        <w:rPr>
          <w:snapToGrid w:val="0"/>
        </w:rPr>
        <w:t>documents</w:t>
      </w:r>
      <w:r>
        <w:rPr>
          <w:snapToGrid w:val="0"/>
        </w:rPr>
        <w:t> </w:t>
      </w:r>
      <w:r w:rsidRPr="00C62790">
        <w:t xml:space="preserve">UNEP/FAO/RC/CRC.13/13, annexe, </w:t>
      </w:r>
      <w:r w:rsidRPr="00C62790">
        <w:rPr>
          <w:snapToGrid w:val="0"/>
        </w:rPr>
        <w:t>section</w:t>
      </w:r>
      <w:r>
        <w:rPr>
          <w:snapToGrid w:val="0"/>
        </w:rPr>
        <w:t> </w:t>
      </w:r>
      <w:r w:rsidRPr="00C62790">
        <w:rPr>
          <w:snapToGrid w:val="0"/>
        </w:rPr>
        <w:t>2.4.2.1</w:t>
      </w:r>
      <w:r>
        <w:rPr>
          <w:snapToGrid w:val="0"/>
        </w:rPr>
        <w:t xml:space="preserve"> ; </w:t>
      </w:r>
      <w:r w:rsidRPr="00C62790">
        <w:rPr>
          <w:snapToGrid w:val="0"/>
        </w:rPr>
        <w:t>et</w:t>
      </w:r>
      <w:r>
        <w:rPr>
          <w:snapToGrid w:val="0"/>
        </w:rPr>
        <w:t> </w:t>
      </w:r>
      <w:r w:rsidRPr="00C62790">
        <w:rPr>
          <w:snapToGrid w:val="0"/>
        </w:rPr>
        <w:t xml:space="preserve">UNEP/FAO/RC/CRC.13/INF/29). </w:t>
      </w:r>
    </w:p>
    <w:p w:rsidR="002A7C5D" w:rsidRPr="00C62790" w:rsidRDefault="002A7C5D" w:rsidP="002A7C5D">
      <w:pPr>
        <w:keepNext/>
        <w:keepLines/>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Plusieurs études a</w:t>
      </w:r>
      <w:r>
        <w:rPr>
          <w:snapToGrid w:val="0"/>
        </w:rPr>
        <w:t>nalysées par le Brésil faisaient aussi</w:t>
      </w:r>
      <w:r w:rsidRPr="00C62790">
        <w:rPr>
          <w:snapToGrid w:val="0"/>
        </w:rPr>
        <w:t xml:space="preserve"> état de cas d</w:t>
      </w:r>
      <w:r>
        <w:rPr>
          <w:snapToGrid w:val="0"/>
        </w:rPr>
        <w:t>’</w:t>
      </w:r>
      <w:r w:rsidRPr="00C62790">
        <w:rPr>
          <w:snapToGrid w:val="0"/>
        </w:rPr>
        <w:t xml:space="preserve">empoissonnement parmi les travailleurs agricoles exposés à du </w:t>
      </w:r>
      <w:proofErr w:type="spellStart"/>
      <w:r w:rsidRPr="00C62790">
        <w:rPr>
          <w:snapToGrid w:val="0"/>
        </w:rPr>
        <w:t>phorate</w:t>
      </w:r>
      <w:proofErr w:type="spellEnd"/>
      <w:r w:rsidRPr="00C62790">
        <w:rPr>
          <w:snapToGrid w:val="0"/>
        </w:rPr>
        <w:t>, pouvant aller jusqu</w:t>
      </w:r>
      <w:r>
        <w:rPr>
          <w:snapToGrid w:val="0"/>
        </w:rPr>
        <w:t>’</w:t>
      </w:r>
      <w:r w:rsidRPr="00C62790">
        <w:rPr>
          <w:snapToGrid w:val="0"/>
        </w:rPr>
        <w:t>au décès de la victime, vu la toxicité du principe actif. L</w:t>
      </w:r>
      <w:r>
        <w:rPr>
          <w:snapToGrid w:val="0"/>
        </w:rPr>
        <w:t>’</w:t>
      </w:r>
      <w:r w:rsidRPr="00C62790">
        <w:rPr>
          <w:snapToGrid w:val="0"/>
        </w:rPr>
        <w:t>absence ou l</w:t>
      </w:r>
      <w:r>
        <w:rPr>
          <w:snapToGrid w:val="0"/>
        </w:rPr>
        <w:t>’</w:t>
      </w:r>
      <w:r w:rsidRPr="00C62790">
        <w:rPr>
          <w:snapToGrid w:val="0"/>
        </w:rPr>
        <w:t>inefficacité des équipements de protection individuelle rend</w:t>
      </w:r>
      <w:r>
        <w:rPr>
          <w:snapToGrid w:val="0"/>
        </w:rPr>
        <w:t>ait</w:t>
      </w:r>
      <w:r w:rsidRPr="00C62790">
        <w:rPr>
          <w:snapToGrid w:val="0"/>
        </w:rPr>
        <w:t xml:space="preserve"> cette exposition encore plus dangereuse (voir les documents </w:t>
      </w:r>
      <w:r w:rsidRPr="00C62790">
        <w:t xml:space="preserve">UNEP/FAO/RC/CRC.13/13, annexe, </w:t>
      </w:r>
      <w:r w:rsidRPr="00C62790">
        <w:rPr>
          <w:snapToGrid w:val="0"/>
        </w:rPr>
        <w:t>section 2.4.2.1</w:t>
      </w:r>
      <w:r>
        <w:rPr>
          <w:snapToGrid w:val="0"/>
        </w:rPr>
        <w:t> ;</w:t>
      </w:r>
      <w:r w:rsidRPr="00C62790">
        <w:rPr>
          <w:snapToGrid w:val="0"/>
        </w:rPr>
        <w:t xml:space="preserve"> et UNEP/FAO/RC/CRC.13/INF/29, p.</w:t>
      </w:r>
      <w:r>
        <w:rPr>
          <w:snapToGrid w:val="0"/>
        </w:rPr>
        <w:t xml:space="preserve"> </w:t>
      </w:r>
      <w:r w:rsidRPr="00C62790">
        <w:rPr>
          <w:snapToGrid w:val="0"/>
        </w:rPr>
        <w:t xml:space="preserve">21).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Une étude complète des conditions d</w:t>
      </w:r>
      <w:r>
        <w:rPr>
          <w:snapToGrid w:val="0"/>
        </w:rPr>
        <w:t>’</w:t>
      </w:r>
      <w:r w:rsidRPr="00C62790">
        <w:rPr>
          <w:snapToGrid w:val="0"/>
        </w:rPr>
        <w:t xml:space="preserve">utilisation des pesticides au Brésil a été réalisée par </w:t>
      </w:r>
      <w:proofErr w:type="spellStart"/>
      <w:r w:rsidRPr="00C62790">
        <w:rPr>
          <w:snapToGrid w:val="0"/>
        </w:rPr>
        <w:t>Waichman</w:t>
      </w:r>
      <w:proofErr w:type="spellEnd"/>
      <w:r w:rsidRPr="00C62790">
        <w:rPr>
          <w:snapToGrid w:val="0"/>
        </w:rPr>
        <w:t xml:space="preserve"> (2008) dans les municipalités brésiliennes de l</w:t>
      </w:r>
      <w:r>
        <w:rPr>
          <w:snapToGrid w:val="0"/>
        </w:rPr>
        <w:t>’</w:t>
      </w:r>
      <w:r w:rsidRPr="00C62790">
        <w:rPr>
          <w:snapToGrid w:val="0"/>
        </w:rPr>
        <w:t>État de l</w:t>
      </w:r>
      <w:r>
        <w:rPr>
          <w:snapToGrid w:val="0"/>
        </w:rPr>
        <w:t>’</w:t>
      </w:r>
      <w:r w:rsidRPr="00C62790">
        <w:rPr>
          <w:snapToGrid w:val="0"/>
        </w:rPr>
        <w:t xml:space="preserve">Amazonas (Manaus, </w:t>
      </w:r>
      <w:proofErr w:type="spellStart"/>
      <w:r w:rsidRPr="00C62790">
        <w:rPr>
          <w:snapToGrid w:val="0"/>
        </w:rPr>
        <w:t>Iranduba</w:t>
      </w:r>
      <w:proofErr w:type="spellEnd"/>
      <w:r w:rsidRPr="00C62790">
        <w:rPr>
          <w:snapToGrid w:val="0"/>
        </w:rPr>
        <w:t xml:space="preserve">, </w:t>
      </w:r>
      <w:proofErr w:type="spellStart"/>
      <w:r w:rsidRPr="00C62790">
        <w:rPr>
          <w:snapToGrid w:val="0"/>
        </w:rPr>
        <w:t>Careiro</w:t>
      </w:r>
      <w:proofErr w:type="spellEnd"/>
      <w:r w:rsidRPr="00C62790">
        <w:rPr>
          <w:snapToGrid w:val="0"/>
        </w:rPr>
        <w:t xml:space="preserve"> da </w:t>
      </w:r>
      <w:proofErr w:type="spellStart"/>
      <w:r w:rsidRPr="00C62790">
        <w:rPr>
          <w:snapToGrid w:val="0"/>
        </w:rPr>
        <w:t>Várzea</w:t>
      </w:r>
      <w:proofErr w:type="spellEnd"/>
      <w:r w:rsidRPr="00C62790">
        <w:rPr>
          <w:snapToGrid w:val="0"/>
        </w:rPr>
        <w:t xml:space="preserve"> et </w:t>
      </w:r>
      <w:proofErr w:type="spellStart"/>
      <w:r w:rsidRPr="00C62790">
        <w:rPr>
          <w:snapToGrid w:val="0"/>
        </w:rPr>
        <w:t>Manacapuru</w:t>
      </w:r>
      <w:proofErr w:type="spellEnd"/>
      <w:r w:rsidRPr="00C62790">
        <w:rPr>
          <w:snapToGrid w:val="0"/>
        </w:rPr>
        <w:t>). Cette étude concluait que les agriculteurs n</w:t>
      </w:r>
      <w:r>
        <w:rPr>
          <w:snapToGrid w:val="0"/>
        </w:rPr>
        <w:t>’</w:t>
      </w:r>
      <w:r w:rsidRPr="00C62790">
        <w:rPr>
          <w:snapToGrid w:val="0"/>
        </w:rPr>
        <w:t>étaient pas préparés à utiliser les pesticides dans de bonnes conditions, ignorant les risques posés par ces produits pour la santé humaine et l</w:t>
      </w:r>
      <w:r>
        <w:rPr>
          <w:snapToGrid w:val="0"/>
        </w:rPr>
        <w:t>’</w:t>
      </w:r>
      <w:r w:rsidRPr="00C62790">
        <w:rPr>
          <w:snapToGrid w:val="0"/>
        </w:rPr>
        <w:t xml:space="preserve">environnement. Le port </w:t>
      </w:r>
      <w:r>
        <w:rPr>
          <w:snapToGrid w:val="0"/>
        </w:rPr>
        <w:t>d’équipements</w:t>
      </w:r>
      <w:r w:rsidRPr="00C62790">
        <w:rPr>
          <w:snapToGrid w:val="0"/>
        </w:rPr>
        <w:t xml:space="preserve"> de protection individuelle n</w:t>
      </w:r>
      <w:r>
        <w:rPr>
          <w:snapToGrid w:val="0"/>
        </w:rPr>
        <w:t>’</w:t>
      </w:r>
      <w:r w:rsidRPr="00C62790">
        <w:rPr>
          <w:snapToGrid w:val="0"/>
        </w:rPr>
        <w:t>était pas répandu, ce type d</w:t>
      </w:r>
      <w:r>
        <w:rPr>
          <w:snapToGrid w:val="0"/>
        </w:rPr>
        <w:t>’</w:t>
      </w:r>
      <w:r w:rsidRPr="00C62790">
        <w:rPr>
          <w:snapToGrid w:val="0"/>
        </w:rPr>
        <w:t>équipement étant onéreux, inconfortable et inadapté au climat chaud de la région. L</w:t>
      </w:r>
      <w:r>
        <w:rPr>
          <w:snapToGrid w:val="0"/>
        </w:rPr>
        <w:t>’</w:t>
      </w:r>
      <w:r w:rsidRPr="00C62790">
        <w:rPr>
          <w:snapToGrid w:val="0"/>
        </w:rPr>
        <w:t>absence de formation et la méconnaissance des dangers posés par les pesticides contribuent à une mauvaise manipulation durant la préparation et l</w:t>
      </w:r>
      <w:r>
        <w:rPr>
          <w:snapToGrid w:val="0"/>
        </w:rPr>
        <w:t>’</w:t>
      </w:r>
      <w:r w:rsidRPr="00C62790">
        <w:rPr>
          <w:snapToGrid w:val="0"/>
        </w:rPr>
        <w:t>application du produit et l</w:t>
      </w:r>
      <w:r>
        <w:rPr>
          <w:snapToGrid w:val="0"/>
        </w:rPr>
        <w:t>’</w:t>
      </w:r>
      <w:r w:rsidRPr="00C62790">
        <w:rPr>
          <w:snapToGrid w:val="0"/>
        </w:rPr>
        <w:t>élimination des conteneurs vides. Dans de pareilles conditions, l</w:t>
      </w:r>
      <w:r>
        <w:rPr>
          <w:snapToGrid w:val="0"/>
        </w:rPr>
        <w:t>’</w:t>
      </w:r>
      <w:r w:rsidRPr="00C62790">
        <w:rPr>
          <w:snapToGrid w:val="0"/>
        </w:rPr>
        <w:t>exposition des travailleurs agricoles, de leur famille, des consommateurs et de l</w:t>
      </w:r>
      <w:r>
        <w:rPr>
          <w:snapToGrid w:val="0"/>
        </w:rPr>
        <w:t>’</w:t>
      </w:r>
      <w:r w:rsidRPr="00C62790">
        <w:rPr>
          <w:snapToGrid w:val="0"/>
        </w:rPr>
        <w:t xml:space="preserve">environnement est élevée.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Le Comité a noté qu</w:t>
      </w:r>
      <w:r>
        <w:rPr>
          <w:snapToGrid w:val="0"/>
        </w:rPr>
        <w:t>’</w:t>
      </w:r>
      <w:r w:rsidRPr="00C62790">
        <w:rPr>
          <w:snapToGrid w:val="0"/>
        </w:rPr>
        <w:t xml:space="preserve">en vertu de la législation brésilienne, les pesticides peuvent voir leur homologation annulée </w:t>
      </w:r>
      <w:r>
        <w:rPr>
          <w:snapToGrid w:val="0"/>
        </w:rPr>
        <w:t>pour des raisons se rapportant</w:t>
      </w:r>
      <w:r w:rsidRPr="00C62790">
        <w:rPr>
          <w:snapToGrid w:val="0"/>
        </w:rPr>
        <w:t xml:space="preserve"> à la santé humaine</w:t>
      </w:r>
      <w:r>
        <w:rPr>
          <w:snapToGrid w:val="0"/>
        </w:rPr>
        <w:t xml:space="preserve"> dans les cas suivants</w:t>
      </w:r>
      <w:r w:rsidRPr="00C62790">
        <w:rPr>
          <w:snapToGrid w:val="0"/>
        </w:rPr>
        <w:t xml:space="preserve"> : s</w:t>
      </w:r>
      <w:r>
        <w:rPr>
          <w:snapToGrid w:val="0"/>
        </w:rPr>
        <w:t>i aucun</w:t>
      </w:r>
      <w:r w:rsidRPr="00C62790">
        <w:rPr>
          <w:snapToGrid w:val="0"/>
        </w:rPr>
        <w:t xml:space="preserve"> antidote ou traitement effectif </w:t>
      </w:r>
      <w:r>
        <w:rPr>
          <w:snapToGrid w:val="0"/>
        </w:rPr>
        <w:t xml:space="preserve">de leurs effets n’est disponible </w:t>
      </w:r>
      <w:r w:rsidRPr="00C62790">
        <w:rPr>
          <w:snapToGrid w:val="0"/>
        </w:rPr>
        <w:t>au Brésil ; s</w:t>
      </w:r>
      <w:r>
        <w:rPr>
          <w:snapToGrid w:val="0"/>
        </w:rPr>
        <w:t>’</w:t>
      </w:r>
      <w:r w:rsidRPr="00C62790">
        <w:rPr>
          <w:snapToGrid w:val="0"/>
        </w:rPr>
        <w:t>ils sont tératogènes, mutagènes ou carcinogènes ; s</w:t>
      </w:r>
      <w:r>
        <w:rPr>
          <w:snapToGrid w:val="0"/>
        </w:rPr>
        <w:t>’</w:t>
      </w:r>
      <w:r w:rsidRPr="00C62790">
        <w:rPr>
          <w:snapToGrid w:val="0"/>
        </w:rPr>
        <w:t>ils sont des perturbateurs endocriniens et s</w:t>
      </w:r>
      <w:r>
        <w:rPr>
          <w:snapToGrid w:val="0"/>
        </w:rPr>
        <w:t>’</w:t>
      </w:r>
      <w:r w:rsidRPr="00C62790">
        <w:rPr>
          <w:snapToGrid w:val="0"/>
        </w:rPr>
        <w:t xml:space="preserve">ils endommagent </w:t>
      </w:r>
      <w:r>
        <w:rPr>
          <w:snapToGrid w:val="0"/>
        </w:rPr>
        <w:t>l’appareil reproducteur</w:t>
      </w:r>
      <w:r w:rsidRPr="00C62790">
        <w:rPr>
          <w:snapToGrid w:val="0"/>
        </w:rPr>
        <w:t>, ou s</w:t>
      </w:r>
      <w:r>
        <w:rPr>
          <w:snapToGrid w:val="0"/>
        </w:rPr>
        <w:t>’</w:t>
      </w:r>
      <w:r w:rsidRPr="00C62790">
        <w:rPr>
          <w:snapToGrid w:val="0"/>
        </w:rPr>
        <w:t xml:space="preserve">ils sont plus dangereux </w:t>
      </w:r>
      <w:r>
        <w:rPr>
          <w:snapToGrid w:val="0"/>
        </w:rPr>
        <w:t>pour</w:t>
      </w:r>
      <w:r w:rsidRPr="00C62790">
        <w:rPr>
          <w:snapToGrid w:val="0"/>
        </w:rPr>
        <w:t xml:space="preserve"> l</w:t>
      </w:r>
      <w:r>
        <w:rPr>
          <w:snapToGrid w:val="0"/>
        </w:rPr>
        <w:t>’</w:t>
      </w:r>
      <w:r w:rsidRPr="00C62790">
        <w:rPr>
          <w:snapToGrid w:val="0"/>
        </w:rPr>
        <w:t xml:space="preserve">homme </w:t>
      </w:r>
      <w:r>
        <w:rPr>
          <w:snapToGrid w:val="0"/>
        </w:rPr>
        <w:t>que ne le laissent conclure l</w:t>
      </w:r>
      <w:r w:rsidRPr="00C62790">
        <w:rPr>
          <w:snapToGrid w:val="0"/>
        </w:rPr>
        <w:t xml:space="preserve">es </w:t>
      </w:r>
      <w:r>
        <w:rPr>
          <w:snapToGrid w:val="0"/>
        </w:rPr>
        <w:t xml:space="preserve">essais </w:t>
      </w:r>
      <w:r w:rsidRPr="00C62790">
        <w:rPr>
          <w:snapToGrid w:val="0"/>
        </w:rPr>
        <w:t xml:space="preserve">sur des animaux de laboratoire (voir le document </w:t>
      </w:r>
      <w:r w:rsidRPr="00C62790">
        <w:t xml:space="preserve">UNEP/FAO/RC/CRC.13/13, annexe, </w:t>
      </w:r>
      <w:r w:rsidRPr="00C62790">
        <w:rPr>
          <w:snapToGrid w:val="0"/>
        </w:rPr>
        <w:t>section</w:t>
      </w:r>
      <w:r>
        <w:rPr>
          <w:snapToGrid w:val="0"/>
        </w:rPr>
        <w:t> </w:t>
      </w:r>
      <w:r w:rsidRPr="00C62790">
        <w:rPr>
          <w:snapToGrid w:val="0"/>
        </w:rPr>
        <w:t xml:space="preserve">2.4.2.1).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 xml:space="preserve">La réévaluation toxicologique entreprise par le Brésil a conduit à la conclusion </w:t>
      </w:r>
      <w:r>
        <w:rPr>
          <w:snapToGrid w:val="0"/>
        </w:rPr>
        <w:t>qu</w:t>
      </w:r>
      <w:r w:rsidRPr="00C62790">
        <w:rPr>
          <w:snapToGrid w:val="0"/>
        </w:rPr>
        <w:t xml:space="preserve">e, compte tenu de tous </w:t>
      </w:r>
      <w:r>
        <w:rPr>
          <w:snapToGrid w:val="0"/>
        </w:rPr>
        <w:t>s</w:t>
      </w:r>
      <w:r w:rsidRPr="00C62790">
        <w:rPr>
          <w:snapToGrid w:val="0"/>
        </w:rPr>
        <w:t>es effets toxicologiques associés en tant qu</w:t>
      </w:r>
      <w:r>
        <w:rPr>
          <w:snapToGrid w:val="0"/>
        </w:rPr>
        <w:t>’ingrédient</w:t>
      </w:r>
      <w:r w:rsidRPr="00C62790">
        <w:rPr>
          <w:snapToGrid w:val="0"/>
        </w:rPr>
        <w:t xml:space="preserve"> actif et de ses propriétés intrinsèques, </w:t>
      </w:r>
      <w:r>
        <w:rPr>
          <w:snapToGrid w:val="0"/>
        </w:rPr>
        <w:t xml:space="preserve">le </w:t>
      </w:r>
      <w:proofErr w:type="spellStart"/>
      <w:r>
        <w:rPr>
          <w:snapToGrid w:val="0"/>
        </w:rPr>
        <w:t>phorate</w:t>
      </w:r>
      <w:proofErr w:type="spellEnd"/>
      <w:r>
        <w:rPr>
          <w:snapToGrid w:val="0"/>
        </w:rPr>
        <w:t xml:space="preserve"> est</w:t>
      </w:r>
      <w:r w:rsidRPr="00C62790">
        <w:rPr>
          <w:snapToGrid w:val="0"/>
        </w:rPr>
        <w:t xml:space="preserve"> plus toxique pour l</w:t>
      </w:r>
      <w:r>
        <w:rPr>
          <w:snapToGrid w:val="0"/>
        </w:rPr>
        <w:t>’</w:t>
      </w:r>
      <w:r w:rsidRPr="00C62790">
        <w:rPr>
          <w:snapToGrid w:val="0"/>
        </w:rPr>
        <w:t>homme que pour l</w:t>
      </w:r>
      <w:r>
        <w:rPr>
          <w:snapToGrid w:val="0"/>
        </w:rPr>
        <w:t>’</w:t>
      </w:r>
      <w:r w:rsidRPr="00C62790">
        <w:rPr>
          <w:snapToGrid w:val="0"/>
        </w:rPr>
        <w:t>animal. Il fallait donc</w:t>
      </w:r>
      <w:r>
        <w:rPr>
          <w:snapToGrid w:val="0"/>
        </w:rPr>
        <w:t xml:space="preserve"> en interdire</w:t>
      </w:r>
      <w:r w:rsidRPr="00C62790">
        <w:rPr>
          <w:snapToGrid w:val="0"/>
        </w:rPr>
        <w:t xml:space="preserve"> </w:t>
      </w:r>
      <w:r>
        <w:rPr>
          <w:snapToGrid w:val="0"/>
        </w:rPr>
        <w:t>l’utilisation</w:t>
      </w:r>
      <w:r w:rsidRPr="00C62790">
        <w:rPr>
          <w:snapToGrid w:val="0"/>
        </w:rPr>
        <w:t xml:space="preserve"> au Brésil, afin de protéger la santé des travailleurs exposés, des consommateurs et de la population générale (voir le document </w:t>
      </w:r>
      <w:r w:rsidRPr="00C62790">
        <w:t xml:space="preserve">UNEP/FAO/RC/CRC.13/13, annexe, </w:t>
      </w:r>
      <w:r w:rsidRPr="00C62790">
        <w:rPr>
          <w:snapToGrid w:val="0"/>
        </w:rPr>
        <w:t>section</w:t>
      </w:r>
      <w:r>
        <w:rPr>
          <w:snapToGrid w:val="0"/>
        </w:rPr>
        <w:t> </w:t>
      </w:r>
      <w:r w:rsidRPr="00C62790">
        <w:rPr>
          <w:snapToGrid w:val="0"/>
        </w:rPr>
        <w:t>2.4.2.1).</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Après avoir analysé la notification de mesure de réglementation finale (voir le</w:t>
      </w:r>
      <w:r>
        <w:rPr>
          <w:snapToGrid w:val="0"/>
        </w:rPr>
        <w:t> </w:t>
      </w:r>
      <w:r w:rsidRPr="00C62790">
        <w:rPr>
          <w:snapToGrid w:val="0"/>
        </w:rPr>
        <w:t>document</w:t>
      </w:r>
      <w:r>
        <w:rPr>
          <w:snapToGrid w:val="0"/>
        </w:rPr>
        <w:t> </w:t>
      </w:r>
      <w:r w:rsidRPr="00C62790">
        <w:rPr>
          <w:snapToGrid w:val="0"/>
        </w:rPr>
        <w:t>UNEP/FAO/RC/CRC.13/13, annexe, section</w:t>
      </w:r>
      <w:r>
        <w:rPr>
          <w:snapToGrid w:val="0"/>
        </w:rPr>
        <w:t> </w:t>
      </w:r>
      <w:r w:rsidRPr="00C62790">
        <w:rPr>
          <w:snapToGrid w:val="0"/>
        </w:rPr>
        <w:t>2.4.2) et la documentation à l</w:t>
      </w:r>
      <w:r>
        <w:rPr>
          <w:snapToGrid w:val="0"/>
        </w:rPr>
        <w:t>’</w:t>
      </w:r>
      <w:r w:rsidRPr="00C62790">
        <w:rPr>
          <w:snapToGrid w:val="0"/>
        </w:rPr>
        <w:t>appui soumises par le Brésil (voir le document UNEP/FAO/RC/CRC.13/INF/29), le Comité confirme que la</w:t>
      </w:r>
      <w:r>
        <w:rPr>
          <w:snapToGrid w:val="0"/>
        </w:rPr>
        <w:t> </w:t>
      </w:r>
      <w:r w:rsidRPr="00C62790">
        <w:rPr>
          <w:snapToGrid w:val="0"/>
        </w:rPr>
        <w:t xml:space="preserve">mesure de réglementation finale a été prise pour protéger la santé humaine.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 xml:space="preserve">Par conséquent, le Comité confirme que le critère du paragraphe a) </w:t>
      </w:r>
      <w:r>
        <w:rPr>
          <w:snapToGrid w:val="0"/>
        </w:rPr>
        <w:t>est satisfait</w:t>
      </w:r>
      <w:r w:rsidRPr="00C62790">
        <w:rPr>
          <w:snapToGrid w:val="0"/>
        </w:rPr>
        <w:t>.</w:t>
      </w:r>
    </w:p>
    <w:p w:rsidR="002A7C5D" w:rsidRPr="00C62790" w:rsidRDefault="002A7C5D" w:rsidP="002A7C5D">
      <w:pPr>
        <w:pStyle w:val="CH3"/>
        <w:rPr>
          <w:lang w:val="fr-FR"/>
        </w:rPr>
      </w:pPr>
      <w:r w:rsidRPr="00C62790">
        <w:rPr>
          <w:lang w:val="fr-FR"/>
        </w:rPr>
        <w:lastRenderedPageBreak/>
        <w:tab/>
      </w:r>
      <w:r>
        <w:rPr>
          <w:lang w:val="fr-FR"/>
        </w:rPr>
        <w:t>c)</w:t>
      </w:r>
      <w:r>
        <w:rPr>
          <w:lang w:val="fr-FR"/>
        </w:rPr>
        <w:tab/>
        <w:t>Critères du paragraphe </w:t>
      </w:r>
      <w:r w:rsidRPr="00C62790">
        <w:rPr>
          <w:lang w:val="fr-FR"/>
        </w:rPr>
        <w:t>b) de l</w:t>
      </w:r>
      <w:r>
        <w:rPr>
          <w:lang w:val="fr-FR"/>
        </w:rPr>
        <w:t>’</w:t>
      </w:r>
      <w:r w:rsidRPr="00C62790">
        <w:rPr>
          <w:lang w:val="fr-FR"/>
        </w:rPr>
        <w:t>Annexe</w:t>
      </w:r>
      <w:r>
        <w:rPr>
          <w:lang w:val="fr-FR"/>
        </w:rPr>
        <w:t> </w:t>
      </w:r>
      <w:r w:rsidRPr="00C62790">
        <w:rPr>
          <w:lang w:val="fr-FR"/>
        </w:rPr>
        <w:t xml:space="preserve">II </w:t>
      </w:r>
    </w:p>
    <w:p w:rsidR="002A7C5D" w:rsidRPr="00C62790" w:rsidRDefault="002A7C5D" w:rsidP="002A7C5D">
      <w:pPr>
        <w:keepNext/>
        <w:keepLines/>
        <w:widowControl w:val="0"/>
        <w:tabs>
          <w:tab w:val="left" w:pos="624"/>
        </w:tabs>
        <w:snapToGrid w:val="0"/>
        <w:spacing w:after="120"/>
        <w:ind w:left="1247" w:firstLine="619"/>
        <w:rPr>
          <w:i/>
        </w:rPr>
      </w:pPr>
      <w:r w:rsidRPr="00C62790">
        <w:rPr>
          <w:i/>
        </w:rPr>
        <w:t>b)</w:t>
      </w:r>
      <w:r w:rsidRPr="00C62790">
        <w:rPr>
          <w:i/>
        </w:rPr>
        <w:tab/>
        <w:t>Vérifie que la mesure de réglementation finale a été prise après une évaluation des risques. Cette évaluation doit s</w:t>
      </w:r>
      <w:r>
        <w:rPr>
          <w:i/>
        </w:rPr>
        <w:t>’</w:t>
      </w:r>
      <w:r w:rsidRPr="00C62790">
        <w:rPr>
          <w:i/>
        </w:rPr>
        <w:t>appuyer sur une analyse des données scientifiques effectuée en tenant compte du contexte propre à la Partie considérée. À cette fin, la documentation fournie doit attester que</w:t>
      </w:r>
      <w:r>
        <w:rPr>
          <w:i/>
        </w:rPr>
        <w:t> </w:t>
      </w:r>
      <w:r w:rsidRPr="00C62790">
        <w:rPr>
          <w:i/>
        </w:rPr>
        <w:t>:</w:t>
      </w:r>
    </w:p>
    <w:p w:rsidR="002A7C5D" w:rsidRPr="00C62790" w:rsidRDefault="002A7C5D" w:rsidP="002A7C5D">
      <w:pPr>
        <w:widowControl w:val="0"/>
        <w:tabs>
          <w:tab w:val="left" w:pos="624"/>
        </w:tabs>
        <w:snapToGrid w:val="0"/>
        <w:spacing w:after="120"/>
        <w:ind w:left="2381" w:hanging="510"/>
        <w:rPr>
          <w:i/>
        </w:rPr>
      </w:pPr>
      <w:r w:rsidRPr="00C62790">
        <w:rPr>
          <w:i/>
        </w:rPr>
        <w:t xml:space="preserve"> i)</w:t>
      </w:r>
      <w:r w:rsidRPr="00C62790">
        <w:rPr>
          <w:i/>
        </w:rPr>
        <w:tab/>
        <w:t>Les données ont été obtenues par des méthodes scientifiquement reconnues</w:t>
      </w:r>
      <w:r>
        <w:rPr>
          <w:i/>
        </w:rPr>
        <w:t> </w:t>
      </w:r>
      <w:r w:rsidRPr="00C62790">
        <w:rPr>
          <w:i/>
        </w:rPr>
        <w:t>;</w:t>
      </w:r>
    </w:p>
    <w:p w:rsidR="002A7C5D" w:rsidRPr="00C62790" w:rsidRDefault="002A7C5D" w:rsidP="002A7C5D">
      <w:pPr>
        <w:widowControl w:val="0"/>
        <w:tabs>
          <w:tab w:val="left" w:pos="624"/>
        </w:tabs>
        <w:snapToGrid w:val="0"/>
        <w:spacing w:after="120"/>
        <w:ind w:left="2381" w:hanging="510"/>
        <w:rPr>
          <w:i/>
        </w:rPr>
      </w:pPr>
      <w:r w:rsidRPr="00C62790">
        <w:rPr>
          <w:i/>
        </w:rPr>
        <w:t xml:space="preserve"> ii)</w:t>
      </w:r>
      <w:r w:rsidRPr="00C62790">
        <w:rPr>
          <w:i/>
        </w:rPr>
        <w:tab/>
        <w:t>Ces données ont été analysées et étayées en respectant des principes et des méthodes scientifiquement reconnus</w:t>
      </w:r>
      <w:r>
        <w:rPr>
          <w:i/>
        </w:rPr>
        <w:t> </w:t>
      </w:r>
      <w:r w:rsidRPr="00C62790">
        <w:rPr>
          <w:i/>
        </w:rPr>
        <w:t xml:space="preserv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En janvier 2012, l</w:t>
      </w:r>
      <w:r>
        <w:rPr>
          <w:snapToGrid w:val="0"/>
        </w:rPr>
        <w:t>’</w:t>
      </w:r>
      <w:r w:rsidRPr="00C62790">
        <w:rPr>
          <w:snapToGrid w:val="0"/>
        </w:rPr>
        <w:t xml:space="preserve">ANVISA et des experts de la Fondation Oswaldo Cruz (FIOCRUZ) ont préparé une note technique sur la réévaluation toxicologique du </w:t>
      </w:r>
      <w:proofErr w:type="spellStart"/>
      <w:r w:rsidRPr="00C62790">
        <w:rPr>
          <w:snapToGrid w:val="0"/>
        </w:rPr>
        <w:t>phorate</w:t>
      </w:r>
      <w:proofErr w:type="spellEnd"/>
      <w:r w:rsidRPr="00C62790">
        <w:rPr>
          <w:snapToGrid w:val="0"/>
        </w:rPr>
        <w:t xml:space="preserve"> en tant que principe actif (</w:t>
      </w:r>
      <w:r>
        <w:rPr>
          <w:snapToGrid w:val="0"/>
        </w:rPr>
        <w:t>voir </w:t>
      </w:r>
      <w:r w:rsidRPr="00C62790">
        <w:rPr>
          <w:snapToGrid w:val="0"/>
        </w:rPr>
        <w:t>le document UNEP/FAO/RC/CRC.13/INF/29, p.</w:t>
      </w:r>
      <w:r>
        <w:rPr>
          <w:snapToGrid w:val="0"/>
        </w:rPr>
        <w:t> </w:t>
      </w:r>
      <w:r w:rsidRPr="00C62790">
        <w:rPr>
          <w:snapToGrid w:val="0"/>
        </w:rPr>
        <w:t>27). Cette note est le fruit d</w:t>
      </w:r>
      <w:r>
        <w:rPr>
          <w:snapToGrid w:val="0"/>
        </w:rPr>
        <w:t>’</w:t>
      </w:r>
      <w:r w:rsidRPr="00C62790">
        <w:rPr>
          <w:snapToGrid w:val="0"/>
        </w:rPr>
        <w:t xml:space="preserve">une analyse approfondie des données pertinentes sur les dangers et les risques associés au </w:t>
      </w:r>
      <w:proofErr w:type="spellStart"/>
      <w:r w:rsidRPr="00C62790">
        <w:rPr>
          <w:snapToGrid w:val="0"/>
        </w:rPr>
        <w:t>phorate</w:t>
      </w:r>
      <w:proofErr w:type="spellEnd"/>
      <w:r w:rsidRPr="00C62790">
        <w:rPr>
          <w:snapToGrid w:val="0"/>
        </w:rPr>
        <w:t> ; elle s</w:t>
      </w:r>
      <w:r>
        <w:rPr>
          <w:snapToGrid w:val="0"/>
        </w:rPr>
        <w:t>’</w:t>
      </w:r>
      <w:r w:rsidRPr="00C62790">
        <w:rPr>
          <w:snapToGrid w:val="0"/>
        </w:rPr>
        <w:t>appuie sur des documents revus par des pairs, des rapports publiés et la littérature scientifique, y compris des rapports d</w:t>
      </w:r>
      <w:r>
        <w:rPr>
          <w:snapToGrid w:val="0"/>
        </w:rPr>
        <w:t>’</w:t>
      </w:r>
      <w:r w:rsidRPr="00C62790">
        <w:rPr>
          <w:snapToGrid w:val="0"/>
        </w:rPr>
        <w:t>organismes ou d</w:t>
      </w:r>
      <w:r>
        <w:rPr>
          <w:snapToGrid w:val="0"/>
        </w:rPr>
        <w:t>’</w:t>
      </w:r>
      <w:r w:rsidRPr="00C62790">
        <w:rPr>
          <w:snapToGrid w:val="0"/>
        </w:rPr>
        <w:t>instituts internationaux comme l</w:t>
      </w:r>
      <w:r>
        <w:rPr>
          <w:snapToGrid w:val="0"/>
        </w:rPr>
        <w:t>’</w:t>
      </w:r>
      <w:r w:rsidRPr="00C62790">
        <w:rPr>
          <w:snapToGrid w:val="0"/>
        </w:rPr>
        <w:t xml:space="preserve">USEPA ou </w:t>
      </w:r>
      <w:r>
        <w:rPr>
          <w:snapToGrid w:val="0"/>
        </w:rPr>
        <w:t>le Programme international s</w:t>
      </w:r>
      <w:r w:rsidRPr="00C62790">
        <w:rPr>
          <w:snapToGrid w:val="0"/>
        </w:rPr>
        <w:t xml:space="preserve">ur la </w:t>
      </w:r>
      <w:r>
        <w:rPr>
          <w:snapToGrid w:val="0"/>
        </w:rPr>
        <w:t xml:space="preserve">sécurité </w:t>
      </w:r>
      <w:r w:rsidRPr="00C62790">
        <w:rPr>
          <w:snapToGrid w:val="0"/>
        </w:rPr>
        <w:t>des produits chimiques</w:t>
      </w:r>
      <w:r>
        <w:rPr>
          <w:snapToGrid w:val="0"/>
        </w:rPr>
        <w:t xml:space="preserve"> (PISC)</w:t>
      </w:r>
      <w:r w:rsidRPr="00C62790">
        <w:rPr>
          <w:snapToGrid w:val="0"/>
        </w:rPr>
        <w:t>, ainsi que des études soumises par l</w:t>
      </w:r>
      <w:r>
        <w:rPr>
          <w:snapToGrid w:val="0"/>
        </w:rPr>
        <w:t>’</w:t>
      </w:r>
      <w:r w:rsidRPr="00C62790">
        <w:rPr>
          <w:snapToGrid w:val="0"/>
        </w:rPr>
        <w:t>ANVISA versées au dossier toxicologique constitué à l</w:t>
      </w:r>
      <w:r>
        <w:rPr>
          <w:snapToGrid w:val="0"/>
        </w:rPr>
        <w:t>’</w:t>
      </w:r>
      <w:r w:rsidRPr="00C62790">
        <w:rPr>
          <w:snapToGrid w:val="0"/>
        </w:rPr>
        <w:t>appui de l</w:t>
      </w:r>
      <w:r>
        <w:rPr>
          <w:snapToGrid w:val="0"/>
        </w:rPr>
        <w:t>’</w:t>
      </w:r>
      <w:r w:rsidRPr="00C62790">
        <w:rPr>
          <w:snapToGrid w:val="0"/>
        </w:rPr>
        <w:t>homologation des produits techniques et des préparations. Les principales études versées au dossier toxicologique de l</w:t>
      </w:r>
      <w:r>
        <w:rPr>
          <w:snapToGrid w:val="0"/>
        </w:rPr>
        <w:t>’</w:t>
      </w:r>
      <w:r w:rsidRPr="00C62790">
        <w:rPr>
          <w:snapToGrid w:val="0"/>
        </w:rPr>
        <w:t xml:space="preserve">ANVISA concernent la toxicité aiguë, </w:t>
      </w:r>
      <w:proofErr w:type="spellStart"/>
      <w:r>
        <w:rPr>
          <w:snapToGrid w:val="0"/>
        </w:rPr>
        <w:t>subchronique</w:t>
      </w:r>
      <w:proofErr w:type="spellEnd"/>
      <w:r w:rsidRPr="00C62790">
        <w:rPr>
          <w:snapToGrid w:val="0"/>
        </w:rPr>
        <w:t xml:space="preserve"> et chronique</w:t>
      </w:r>
      <w:r>
        <w:rPr>
          <w:snapToGrid w:val="0"/>
        </w:rPr>
        <w:t xml:space="preserve"> (22 </w:t>
      </w:r>
      <w:r w:rsidRPr="00C62790">
        <w:rPr>
          <w:snapToGrid w:val="0"/>
        </w:rPr>
        <w:t xml:space="preserve">études), la </w:t>
      </w:r>
      <w:proofErr w:type="spellStart"/>
      <w:r w:rsidRPr="00C62790">
        <w:rPr>
          <w:snapToGrid w:val="0"/>
        </w:rPr>
        <w:t>carcinogénicité</w:t>
      </w:r>
      <w:proofErr w:type="spellEnd"/>
      <w:r w:rsidRPr="00C62790">
        <w:rPr>
          <w:snapToGrid w:val="0"/>
        </w:rPr>
        <w:t xml:space="preserve"> et la </w:t>
      </w:r>
      <w:proofErr w:type="spellStart"/>
      <w:r w:rsidRPr="00C62790">
        <w:rPr>
          <w:snapToGrid w:val="0"/>
        </w:rPr>
        <w:t>génotoxicité</w:t>
      </w:r>
      <w:proofErr w:type="spellEnd"/>
      <w:r w:rsidRPr="00C62790">
        <w:rPr>
          <w:snapToGrid w:val="0"/>
        </w:rPr>
        <w:t xml:space="preserve"> (9 études), la toxicité pour </w:t>
      </w:r>
      <w:proofErr w:type="gramStart"/>
      <w:r w:rsidRPr="00C62790">
        <w:rPr>
          <w:snapToGrid w:val="0"/>
        </w:rPr>
        <w:t>les systèmes endocrinien</w:t>
      </w:r>
      <w:proofErr w:type="gramEnd"/>
      <w:r w:rsidRPr="00C62790">
        <w:rPr>
          <w:snapToGrid w:val="0"/>
        </w:rPr>
        <w:t xml:space="preserve"> et reproduct</w:t>
      </w:r>
      <w:r>
        <w:rPr>
          <w:snapToGrid w:val="0"/>
        </w:rPr>
        <w:t>eur</w:t>
      </w:r>
      <w:r w:rsidRPr="00C62790">
        <w:rPr>
          <w:snapToGrid w:val="0"/>
        </w:rPr>
        <w:t xml:space="preserve"> (</w:t>
      </w:r>
      <w:r>
        <w:rPr>
          <w:snapToGrid w:val="0"/>
        </w:rPr>
        <w:t>2 </w:t>
      </w:r>
      <w:r w:rsidRPr="00C62790">
        <w:rPr>
          <w:snapToGrid w:val="0"/>
        </w:rPr>
        <w:t xml:space="preserve">études) et le développement </w:t>
      </w:r>
      <w:proofErr w:type="spellStart"/>
      <w:r w:rsidRPr="00C62790">
        <w:rPr>
          <w:snapToGrid w:val="0"/>
        </w:rPr>
        <w:t>embryofœtal</w:t>
      </w:r>
      <w:proofErr w:type="spellEnd"/>
      <w:r w:rsidRPr="00C62790">
        <w:rPr>
          <w:snapToGrid w:val="0"/>
        </w:rPr>
        <w:t xml:space="preserve"> (5 études) (voir le document UNEP/FAO/RC/CRC.13/INF/29, p.</w:t>
      </w:r>
      <w:r>
        <w:rPr>
          <w:snapToGrid w:val="0"/>
        </w:rPr>
        <w:t> </w:t>
      </w:r>
      <w:r w:rsidRPr="00C62790">
        <w:rPr>
          <w:snapToGrid w:val="0"/>
        </w:rPr>
        <w:t xml:space="preserve">20).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Après une analyse de la notification et de la documentation à l</w:t>
      </w:r>
      <w:r>
        <w:rPr>
          <w:snapToGrid w:val="0"/>
        </w:rPr>
        <w:t>’</w:t>
      </w:r>
      <w:r w:rsidRPr="00C62790">
        <w:rPr>
          <w:snapToGrid w:val="0"/>
        </w:rPr>
        <w:t>appui, le Comité a conclu que les données référencées et fournies dans ces documents avaient été obtenues par des méthodes scientifiques reconnues et qu</w:t>
      </w:r>
      <w:r>
        <w:rPr>
          <w:snapToGrid w:val="0"/>
        </w:rPr>
        <w:t>’</w:t>
      </w:r>
      <w:r w:rsidRPr="00C62790">
        <w:rPr>
          <w:snapToGrid w:val="0"/>
        </w:rPr>
        <w:t>elles avaient été analysées et étayées en respectant des principes et des méthodes scientifiques généralement reconnus.</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pPr>
      <w:r w:rsidRPr="00C62790">
        <w:rPr>
          <w:snapToGrid w:val="0"/>
        </w:rPr>
        <w:t>Par conséquent, le Comité confirme que les critères des paragraphes</w:t>
      </w:r>
      <w:r>
        <w:rPr>
          <w:snapToGrid w:val="0"/>
        </w:rPr>
        <w:t> </w:t>
      </w:r>
      <w:r w:rsidRPr="00C62790">
        <w:rPr>
          <w:snapToGrid w:val="0"/>
        </w:rPr>
        <w:t>b)</w:t>
      </w:r>
      <w:r>
        <w:rPr>
          <w:snapToGrid w:val="0"/>
        </w:rPr>
        <w:t> </w:t>
      </w:r>
      <w:r w:rsidRPr="00C62790">
        <w:rPr>
          <w:snapToGrid w:val="0"/>
        </w:rPr>
        <w:t>i) et ii)</w:t>
      </w:r>
      <w:r>
        <w:rPr>
          <w:snapToGrid w:val="0"/>
        </w:rPr>
        <w:t xml:space="preserve"> sont satisfaits</w:t>
      </w:r>
      <w:r w:rsidRPr="00C62790">
        <w:rPr>
          <w:snapToGrid w:val="0"/>
        </w:rPr>
        <w:t>.</w:t>
      </w:r>
    </w:p>
    <w:p w:rsidR="002A7C5D" w:rsidRPr="00C62790" w:rsidRDefault="002A7C5D" w:rsidP="002A7C5D">
      <w:pPr>
        <w:pStyle w:val="Normal-pool"/>
        <w:tabs>
          <w:tab w:val="clear" w:pos="1247"/>
          <w:tab w:val="clear" w:pos="1814"/>
          <w:tab w:val="clear" w:pos="2381"/>
          <w:tab w:val="clear" w:pos="2948"/>
          <w:tab w:val="clear" w:pos="3515"/>
          <w:tab w:val="clear" w:pos="4082"/>
          <w:tab w:val="left" w:pos="624"/>
        </w:tabs>
        <w:spacing w:after="120"/>
        <w:ind w:left="2495" w:hanging="624"/>
        <w:rPr>
          <w:i/>
          <w:lang w:val="fr-FR"/>
        </w:rPr>
      </w:pPr>
      <w:r w:rsidRPr="00C62790">
        <w:rPr>
          <w:i/>
          <w:lang w:val="fr-FR"/>
        </w:rPr>
        <w:t>iii)</w:t>
      </w:r>
      <w:r w:rsidRPr="00C62790">
        <w:rPr>
          <w:i/>
          <w:lang w:val="fr-FR"/>
        </w:rPr>
        <w:tab/>
        <w:t>La mesure de réglementation finale se fonde sur une évaluation des risques tenant compte du contexte propre à la Partie qui en est l</w:t>
      </w:r>
      <w:r>
        <w:rPr>
          <w:i/>
          <w:lang w:val="fr-FR"/>
        </w:rPr>
        <w:t>’</w:t>
      </w:r>
      <w:r w:rsidRPr="00C62790">
        <w:rPr>
          <w:i/>
          <w:lang w:val="fr-FR"/>
        </w:rPr>
        <w:t>auteur</w:t>
      </w:r>
      <w:r>
        <w:rPr>
          <w:i/>
          <w:lang w:val="fr-FR"/>
        </w:rPr>
        <w:t> </w:t>
      </w:r>
      <w:r w:rsidRPr="00C62790">
        <w:rPr>
          <w:i/>
          <w:lang w:val="fr-FR"/>
        </w:rPr>
        <w:t xml:space="preserv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La notification indique, à la</w:t>
      </w:r>
      <w:r>
        <w:rPr>
          <w:snapToGrid w:val="0"/>
        </w:rPr>
        <w:t xml:space="preserve"> section </w:t>
      </w:r>
      <w:r w:rsidRPr="00C62790">
        <w:rPr>
          <w:snapToGrid w:val="0"/>
        </w:rPr>
        <w:t>2.4, que la mesure de réglementation finale repose sur une évaluation des risques ou des dangers. En vertu de la loi brésilienne sur les pesticides, un ou plusieurs des organismes gouvernementaux chargés de l</w:t>
      </w:r>
      <w:r>
        <w:rPr>
          <w:snapToGrid w:val="0"/>
        </w:rPr>
        <w:t>’</w:t>
      </w:r>
      <w:r w:rsidRPr="00C62790">
        <w:rPr>
          <w:snapToGrid w:val="0"/>
        </w:rPr>
        <w:t>homologation des pesticides (IBAMA, ANVISA ou MAPA) peut réévaluer l</w:t>
      </w:r>
      <w:r>
        <w:rPr>
          <w:snapToGrid w:val="0"/>
        </w:rPr>
        <w:t>’</w:t>
      </w:r>
      <w:r w:rsidRPr="00C62790">
        <w:rPr>
          <w:snapToGrid w:val="0"/>
        </w:rPr>
        <w:t>homologation d</w:t>
      </w:r>
      <w:r>
        <w:rPr>
          <w:snapToGrid w:val="0"/>
        </w:rPr>
        <w:t>’</w:t>
      </w:r>
      <w:r w:rsidRPr="00C62790">
        <w:rPr>
          <w:snapToGrid w:val="0"/>
        </w:rPr>
        <w:t>un pesticide s</w:t>
      </w:r>
      <w:r>
        <w:rPr>
          <w:snapToGrid w:val="0"/>
        </w:rPr>
        <w:t>’</w:t>
      </w:r>
      <w:r w:rsidRPr="00C62790">
        <w:rPr>
          <w:snapToGrid w:val="0"/>
        </w:rPr>
        <w:t>il existe des preuves d</w:t>
      </w:r>
      <w:r>
        <w:rPr>
          <w:snapToGrid w:val="0"/>
        </w:rPr>
        <w:t>’</w:t>
      </w:r>
      <w:r w:rsidRPr="00C62790">
        <w:rPr>
          <w:snapToGrid w:val="0"/>
        </w:rPr>
        <w:t>une diminution de l</w:t>
      </w:r>
      <w:r>
        <w:rPr>
          <w:snapToGrid w:val="0"/>
        </w:rPr>
        <w:t>’</w:t>
      </w:r>
      <w:r w:rsidRPr="00C62790">
        <w:rPr>
          <w:snapToGrid w:val="0"/>
        </w:rPr>
        <w:t>efficience agronomique et/ou de changements des risques pour la santé humaine et l</w:t>
      </w:r>
      <w:r>
        <w:rPr>
          <w:snapToGrid w:val="0"/>
        </w:rPr>
        <w:t>’</w:t>
      </w:r>
      <w:r w:rsidRPr="00C62790">
        <w:rPr>
          <w:snapToGrid w:val="0"/>
        </w:rPr>
        <w:t>environnement. Pour mener à bien cette réévaluation, un comité technique est établi. Ce comité rédige des notes techniques sur la toxicologie et/ou les dangers possibles du principe actif pour l</w:t>
      </w:r>
      <w:r>
        <w:rPr>
          <w:snapToGrid w:val="0"/>
        </w:rPr>
        <w:t>’</w:t>
      </w:r>
      <w:r w:rsidRPr="00C62790">
        <w:rPr>
          <w:snapToGrid w:val="0"/>
        </w:rPr>
        <w:t>environnement, accompagnées d</w:t>
      </w:r>
      <w:r>
        <w:rPr>
          <w:snapToGrid w:val="0"/>
        </w:rPr>
        <w:t>’</w:t>
      </w:r>
      <w:r w:rsidRPr="00C62790">
        <w:rPr>
          <w:snapToGrid w:val="0"/>
        </w:rPr>
        <w:t>une analyse économique des solutions de remplacement du pesticide. Le comité se fonde pour ce faire sur des données d</w:t>
      </w:r>
      <w:r>
        <w:rPr>
          <w:snapToGrid w:val="0"/>
        </w:rPr>
        <w:t>’</w:t>
      </w:r>
      <w:r w:rsidRPr="00C62790">
        <w:rPr>
          <w:snapToGrid w:val="0"/>
        </w:rPr>
        <w:t>études et d</w:t>
      </w:r>
      <w:r>
        <w:rPr>
          <w:snapToGrid w:val="0"/>
        </w:rPr>
        <w:t>’</w:t>
      </w:r>
      <w:r w:rsidRPr="00C62790">
        <w:rPr>
          <w:snapToGrid w:val="0"/>
        </w:rPr>
        <w:t>enquêtes menées par des institutions nationales et internationales accréditées ainsi que sur des informations fournies par le Système national d</w:t>
      </w:r>
      <w:r>
        <w:rPr>
          <w:snapToGrid w:val="0"/>
        </w:rPr>
        <w:t>’</w:t>
      </w:r>
      <w:r w:rsidRPr="00C62790">
        <w:rPr>
          <w:snapToGrid w:val="0"/>
        </w:rPr>
        <w:t>information toxique et pharmacologique sur les intoxications et les empoisonnements (SINITOX), le Programme d</w:t>
      </w:r>
      <w:r>
        <w:rPr>
          <w:snapToGrid w:val="0"/>
        </w:rPr>
        <w:t>’</w:t>
      </w:r>
      <w:r w:rsidRPr="00C62790">
        <w:rPr>
          <w:snapToGrid w:val="0"/>
        </w:rPr>
        <w:t>analyse des résidus de pesticides dans les aliments ou les concessionnaires de l</w:t>
      </w:r>
      <w:r>
        <w:rPr>
          <w:snapToGrid w:val="0"/>
        </w:rPr>
        <w:t>’</w:t>
      </w:r>
      <w:r w:rsidRPr="00C62790">
        <w:rPr>
          <w:snapToGrid w:val="0"/>
        </w:rPr>
        <w:t>industrie des pesticides.</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Les notes techniques rédigées dans le cadre de la réévaluation se penchent sur les possibilités d</w:t>
      </w:r>
      <w:r>
        <w:rPr>
          <w:snapToGrid w:val="0"/>
        </w:rPr>
        <w:t>’</w:t>
      </w:r>
      <w:r w:rsidRPr="00C62790">
        <w:rPr>
          <w:snapToGrid w:val="0"/>
        </w:rPr>
        <w:t xml:space="preserve">exposition et les dangers de la substance, conformément </w:t>
      </w:r>
      <w:r>
        <w:rPr>
          <w:snapToGrid w:val="0"/>
        </w:rPr>
        <w:t>aux</w:t>
      </w:r>
      <w:r w:rsidRPr="00C62790">
        <w:rPr>
          <w:snapToGrid w:val="0"/>
        </w:rPr>
        <w:t xml:space="preserve"> paramètres et méthodes adoptés au niveau international, en particulier ceux de l</w:t>
      </w:r>
      <w:r>
        <w:rPr>
          <w:snapToGrid w:val="0"/>
        </w:rPr>
        <w:t>’</w:t>
      </w:r>
      <w:r w:rsidRPr="00C62790">
        <w:rPr>
          <w:snapToGrid w:val="0"/>
        </w:rPr>
        <w:t>Organisation mondiale de la Santé (OMS), de</w:t>
      </w:r>
      <w:r>
        <w:rPr>
          <w:snapToGrid w:val="0"/>
        </w:rPr>
        <w:t xml:space="preserve"> </w:t>
      </w:r>
      <w:r w:rsidRPr="00C62790">
        <w:rPr>
          <w:snapToGrid w:val="0"/>
        </w:rPr>
        <w:t>l</w:t>
      </w:r>
      <w:r>
        <w:rPr>
          <w:snapToGrid w:val="0"/>
        </w:rPr>
        <w:t>’</w:t>
      </w:r>
      <w:r w:rsidRPr="00C62790">
        <w:rPr>
          <w:snapToGrid w:val="0"/>
        </w:rPr>
        <w:t>Organisation des Nations Unies pour l</w:t>
      </w:r>
      <w:r>
        <w:rPr>
          <w:snapToGrid w:val="0"/>
        </w:rPr>
        <w:t>’</w:t>
      </w:r>
      <w:r w:rsidRPr="00C62790">
        <w:rPr>
          <w:snapToGrid w:val="0"/>
        </w:rPr>
        <w:t>alimentation et l</w:t>
      </w:r>
      <w:r>
        <w:rPr>
          <w:snapToGrid w:val="0"/>
        </w:rPr>
        <w:t>’</w:t>
      </w:r>
      <w:r w:rsidRPr="00C62790">
        <w:rPr>
          <w:snapToGrid w:val="0"/>
        </w:rPr>
        <w:t>agriculture (FAO), de l</w:t>
      </w:r>
      <w:r>
        <w:rPr>
          <w:snapToGrid w:val="0"/>
        </w:rPr>
        <w:t>’</w:t>
      </w:r>
      <w:r w:rsidRPr="00C62790">
        <w:rPr>
          <w:snapToGrid w:val="0"/>
        </w:rPr>
        <w:t>Organisation de coopération et de développement économiques (OCDE), de l</w:t>
      </w:r>
      <w:r>
        <w:rPr>
          <w:snapToGrid w:val="0"/>
        </w:rPr>
        <w:t>’</w:t>
      </w:r>
      <w:r w:rsidRPr="00C62790">
        <w:rPr>
          <w:snapToGrid w:val="0"/>
        </w:rPr>
        <w:t>USEPA et de l</w:t>
      </w:r>
      <w:r>
        <w:rPr>
          <w:snapToGrid w:val="0"/>
        </w:rPr>
        <w:t>’</w:t>
      </w:r>
      <w:r w:rsidRPr="00C62790">
        <w:rPr>
          <w:snapToGrid w:val="0"/>
        </w:rPr>
        <w:t>Union européenne. À l</w:t>
      </w:r>
      <w:r>
        <w:rPr>
          <w:snapToGrid w:val="0"/>
        </w:rPr>
        <w:t>’</w:t>
      </w:r>
      <w:r w:rsidRPr="00C62790">
        <w:rPr>
          <w:snapToGrid w:val="0"/>
        </w:rPr>
        <w:t>issue de la réévaluation, des mesures visant à restreindre, suspendre ou interdire la production et</w:t>
      </w:r>
      <w:r>
        <w:rPr>
          <w:snapToGrid w:val="0"/>
        </w:rPr>
        <w:t> </w:t>
      </w:r>
      <w:r w:rsidRPr="00C62790">
        <w:rPr>
          <w:snapToGrid w:val="0"/>
        </w:rPr>
        <w:t>l</w:t>
      </w:r>
      <w:r>
        <w:rPr>
          <w:snapToGrid w:val="0"/>
        </w:rPr>
        <w:t>’</w:t>
      </w:r>
      <w:r w:rsidRPr="00C62790">
        <w:rPr>
          <w:snapToGrid w:val="0"/>
        </w:rPr>
        <w:t xml:space="preserve">importation de pesticides </w:t>
      </w:r>
      <w:r>
        <w:rPr>
          <w:snapToGrid w:val="0"/>
        </w:rPr>
        <w:t>pourraient</w:t>
      </w:r>
      <w:r w:rsidRPr="00C62790">
        <w:rPr>
          <w:snapToGrid w:val="0"/>
        </w:rPr>
        <w:t xml:space="preserve"> être prises et l</w:t>
      </w:r>
      <w:r>
        <w:rPr>
          <w:snapToGrid w:val="0"/>
        </w:rPr>
        <w:t>’</w:t>
      </w:r>
      <w:r w:rsidRPr="00C62790">
        <w:rPr>
          <w:snapToGrid w:val="0"/>
        </w:rPr>
        <w:t xml:space="preserve">homologation de certains pesticides </w:t>
      </w:r>
      <w:r>
        <w:rPr>
          <w:snapToGrid w:val="0"/>
        </w:rPr>
        <w:t>pourrait</w:t>
      </w:r>
      <w:r w:rsidRPr="00C62790">
        <w:rPr>
          <w:snapToGrid w:val="0"/>
        </w:rPr>
        <w:t xml:space="preserve"> être</w:t>
      </w:r>
      <w:r>
        <w:rPr>
          <w:snapToGrid w:val="0"/>
        </w:rPr>
        <w:t> </w:t>
      </w:r>
      <w:r w:rsidRPr="00C62790">
        <w:rPr>
          <w:snapToGrid w:val="0"/>
        </w:rPr>
        <w:t>annulée, si l</w:t>
      </w:r>
      <w:r>
        <w:rPr>
          <w:snapToGrid w:val="0"/>
        </w:rPr>
        <w:t>’</w:t>
      </w:r>
      <w:r w:rsidRPr="00C62790">
        <w:rPr>
          <w:snapToGrid w:val="0"/>
        </w:rPr>
        <w:t>un des critères motivant l</w:t>
      </w:r>
      <w:r>
        <w:rPr>
          <w:snapToGrid w:val="0"/>
        </w:rPr>
        <w:t>’interdiction d’homologation est rempli</w:t>
      </w:r>
      <w:r w:rsidRPr="00C62790">
        <w:rPr>
          <w:snapToGrid w:val="0"/>
        </w:rPr>
        <w:t xml:space="preserve"> (</w:t>
      </w:r>
      <w:r>
        <w:rPr>
          <w:snapToGrid w:val="0"/>
        </w:rPr>
        <w:t>voir le document </w:t>
      </w:r>
      <w:r w:rsidRPr="00C62790">
        <w:rPr>
          <w:snapToGrid w:val="0"/>
        </w:rPr>
        <w:t>UNEP/FAO/RC/CRC.13/INF/29).</w:t>
      </w:r>
    </w:p>
    <w:p w:rsidR="002A7C5D" w:rsidRPr="00C62790" w:rsidRDefault="002A7C5D" w:rsidP="002A7C5D">
      <w:pPr>
        <w:keepNext/>
        <w:keepLines/>
        <w:numPr>
          <w:ilvl w:val="0"/>
          <w:numId w:val="6"/>
        </w:numPr>
        <w:tabs>
          <w:tab w:val="clear" w:pos="1247"/>
          <w:tab w:val="clear" w:pos="1814"/>
          <w:tab w:val="clear" w:pos="2381"/>
          <w:tab w:val="clear" w:pos="2948"/>
          <w:tab w:val="clear" w:pos="3515"/>
          <w:tab w:val="left" w:pos="624"/>
        </w:tabs>
        <w:snapToGrid w:val="0"/>
        <w:spacing w:after="120"/>
        <w:ind w:left="1253" w:firstLine="0"/>
        <w:rPr>
          <w:snapToGrid w:val="0"/>
        </w:rPr>
      </w:pPr>
      <w:r w:rsidRPr="00C62790">
        <w:rPr>
          <w:snapToGrid w:val="0"/>
        </w:rPr>
        <w:lastRenderedPageBreak/>
        <w:t>L</w:t>
      </w:r>
      <w:r>
        <w:rPr>
          <w:snapToGrid w:val="0"/>
        </w:rPr>
        <w:t>’</w:t>
      </w:r>
      <w:r w:rsidRPr="00C62790">
        <w:rPr>
          <w:snapToGrid w:val="0"/>
        </w:rPr>
        <w:t xml:space="preserve">évaluation des risques posés par le </w:t>
      </w:r>
      <w:proofErr w:type="spellStart"/>
      <w:r w:rsidRPr="00C62790">
        <w:rPr>
          <w:snapToGrid w:val="0"/>
        </w:rPr>
        <w:t>phorate</w:t>
      </w:r>
      <w:proofErr w:type="spellEnd"/>
      <w:r w:rsidRPr="00C62790">
        <w:rPr>
          <w:snapToGrid w:val="0"/>
        </w:rPr>
        <w:t xml:space="preserve"> réalisée au Brésil tenait compte de la toxi</w:t>
      </w:r>
      <w:r>
        <w:rPr>
          <w:snapToGrid w:val="0"/>
        </w:rPr>
        <w:t>cologie et de la santé publique </w:t>
      </w:r>
      <w:r w:rsidRPr="00C62790">
        <w:rPr>
          <w:snapToGrid w:val="0"/>
        </w:rPr>
        <w:t>; de la santé et de la sécurité professionnelles ; de son impact sur l</w:t>
      </w:r>
      <w:r>
        <w:rPr>
          <w:snapToGrid w:val="0"/>
        </w:rPr>
        <w:t>’</w:t>
      </w:r>
      <w:r w:rsidRPr="00C62790">
        <w:rPr>
          <w:snapToGrid w:val="0"/>
        </w:rPr>
        <w:t>environnement et de la disponibilité de solutions de remplacement présentant moins de risques (</w:t>
      </w:r>
      <w:r>
        <w:rPr>
          <w:snapToGrid w:val="0"/>
        </w:rPr>
        <w:t xml:space="preserve">voir le document </w:t>
      </w:r>
      <w:r w:rsidRPr="00C62790">
        <w:rPr>
          <w:snapToGrid w:val="0"/>
        </w:rPr>
        <w:t xml:space="preserve">UNEP/FAO/RC/CRC.13/INF/29). Une analyse approfondie des données pertinentes concernant les dangers et les risques associés au </w:t>
      </w:r>
      <w:proofErr w:type="spellStart"/>
      <w:r w:rsidRPr="00C62790">
        <w:rPr>
          <w:snapToGrid w:val="0"/>
        </w:rPr>
        <w:t>phorate</w:t>
      </w:r>
      <w:proofErr w:type="spellEnd"/>
      <w:r w:rsidRPr="00C62790">
        <w:rPr>
          <w:snapToGrid w:val="0"/>
        </w:rPr>
        <w:t xml:space="preserve"> a été entreprise sur la base de </w:t>
      </w:r>
      <w:r>
        <w:rPr>
          <w:snapToGrid w:val="0"/>
        </w:rPr>
        <w:t>documents revus par des pairs,</w:t>
      </w:r>
      <w:r w:rsidRPr="00C62790">
        <w:rPr>
          <w:snapToGrid w:val="0"/>
        </w:rPr>
        <w:t xml:space="preserve"> de rapports publiés et de la littérature scientifique.</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La réévaluation tenait compte, notamment, d</w:t>
      </w:r>
      <w:r>
        <w:rPr>
          <w:snapToGrid w:val="0"/>
        </w:rPr>
        <w:t>’</w:t>
      </w:r>
      <w:r w:rsidRPr="00C62790">
        <w:rPr>
          <w:snapToGrid w:val="0"/>
        </w:rPr>
        <w:t>une étude complète des conditions d</w:t>
      </w:r>
      <w:r>
        <w:rPr>
          <w:snapToGrid w:val="0"/>
        </w:rPr>
        <w:t>’</w:t>
      </w:r>
      <w:r w:rsidRPr="00C62790">
        <w:rPr>
          <w:snapToGrid w:val="0"/>
        </w:rPr>
        <w:t xml:space="preserve">utilisation des pesticides au Brésil réalisée par </w:t>
      </w:r>
      <w:proofErr w:type="spellStart"/>
      <w:r w:rsidRPr="00C62790">
        <w:rPr>
          <w:snapToGrid w:val="0"/>
        </w:rPr>
        <w:t>Waichman</w:t>
      </w:r>
      <w:proofErr w:type="spellEnd"/>
      <w:r w:rsidRPr="00C62790">
        <w:rPr>
          <w:snapToGrid w:val="0"/>
        </w:rPr>
        <w:t xml:space="preserve"> (2008) dans les municipalités brésiliennes de l</w:t>
      </w:r>
      <w:r>
        <w:rPr>
          <w:snapToGrid w:val="0"/>
        </w:rPr>
        <w:t>’</w:t>
      </w:r>
      <w:r w:rsidRPr="00C62790">
        <w:rPr>
          <w:snapToGrid w:val="0"/>
        </w:rPr>
        <w:t>État de l</w:t>
      </w:r>
      <w:r>
        <w:rPr>
          <w:snapToGrid w:val="0"/>
        </w:rPr>
        <w:t>’</w:t>
      </w:r>
      <w:r w:rsidRPr="00C62790">
        <w:rPr>
          <w:snapToGrid w:val="0"/>
        </w:rPr>
        <w:t xml:space="preserve">Amazonas (Manaus, </w:t>
      </w:r>
      <w:proofErr w:type="spellStart"/>
      <w:r w:rsidRPr="00C62790">
        <w:rPr>
          <w:snapToGrid w:val="0"/>
        </w:rPr>
        <w:t>Iranduba</w:t>
      </w:r>
      <w:proofErr w:type="spellEnd"/>
      <w:r w:rsidRPr="00C62790">
        <w:rPr>
          <w:snapToGrid w:val="0"/>
        </w:rPr>
        <w:t xml:space="preserve">, </w:t>
      </w:r>
      <w:proofErr w:type="spellStart"/>
      <w:r w:rsidRPr="00C62790">
        <w:rPr>
          <w:snapToGrid w:val="0"/>
        </w:rPr>
        <w:t>Careiro</w:t>
      </w:r>
      <w:proofErr w:type="spellEnd"/>
      <w:r w:rsidRPr="00C62790">
        <w:rPr>
          <w:snapToGrid w:val="0"/>
        </w:rPr>
        <w:t xml:space="preserve"> da </w:t>
      </w:r>
      <w:proofErr w:type="spellStart"/>
      <w:r w:rsidRPr="00C62790">
        <w:rPr>
          <w:snapToGrid w:val="0"/>
        </w:rPr>
        <w:t>Várzea</w:t>
      </w:r>
      <w:proofErr w:type="spellEnd"/>
      <w:r w:rsidRPr="00C62790">
        <w:rPr>
          <w:snapToGrid w:val="0"/>
        </w:rPr>
        <w:t xml:space="preserve"> et </w:t>
      </w:r>
      <w:proofErr w:type="spellStart"/>
      <w:r w:rsidRPr="00C62790">
        <w:rPr>
          <w:snapToGrid w:val="0"/>
        </w:rPr>
        <w:t>Manacapuru</w:t>
      </w:r>
      <w:proofErr w:type="spellEnd"/>
      <w:r w:rsidRPr="00C62790">
        <w:rPr>
          <w:snapToGrid w:val="0"/>
        </w:rPr>
        <w:t>). Cette étude concluait que les</w:t>
      </w:r>
      <w:r>
        <w:rPr>
          <w:snapToGrid w:val="0"/>
        </w:rPr>
        <w:t xml:space="preserve"> travailleurs agricoles</w:t>
      </w:r>
      <w:r w:rsidRPr="00C62790">
        <w:rPr>
          <w:snapToGrid w:val="0"/>
        </w:rPr>
        <w:t xml:space="preserve"> n</w:t>
      </w:r>
      <w:r>
        <w:rPr>
          <w:snapToGrid w:val="0"/>
        </w:rPr>
        <w:t>’</w:t>
      </w:r>
      <w:r w:rsidRPr="00C62790">
        <w:rPr>
          <w:snapToGrid w:val="0"/>
        </w:rPr>
        <w:t>étaient pas préparés à utiliser les pesticides dans de bonnes conditions, ignorant les risques posés par ces produits pour la santé humaine et l</w:t>
      </w:r>
      <w:r>
        <w:rPr>
          <w:snapToGrid w:val="0"/>
        </w:rPr>
        <w:t>’</w:t>
      </w:r>
      <w:r w:rsidRPr="00C62790">
        <w:rPr>
          <w:snapToGrid w:val="0"/>
        </w:rPr>
        <w:t xml:space="preserve">environnement. Le port </w:t>
      </w:r>
      <w:r>
        <w:rPr>
          <w:snapToGrid w:val="0"/>
        </w:rPr>
        <w:t>d’équipements</w:t>
      </w:r>
      <w:r w:rsidRPr="00C62790">
        <w:rPr>
          <w:snapToGrid w:val="0"/>
        </w:rPr>
        <w:t xml:space="preserve"> de pro</w:t>
      </w:r>
      <w:r>
        <w:rPr>
          <w:snapToGrid w:val="0"/>
        </w:rPr>
        <w:t xml:space="preserve">tection individuelle n’était guère </w:t>
      </w:r>
      <w:r w:rsidRPr="00C62790">
        <w:rPr>
          <w:snapToGrid w:val="0"/>
        </w:rPr>
        <w:t>répandu, ce type d</w:t>
      </w:r>
      <w:r>
        <w:rPr>
          <w:snapToGrid w:val="0"/>
        </w:rPr>
        <w:t>’</w:t>
      </w:r>
      <w:r w:rsidRPr="00C62790">
        <w:rPr>
          <w:snapToGrid w:val="0"/>
        </w:rPr>
        <w:t>équipement étant onéreux, inconfortable et inadapté au climat chaud de la région. L</w:t>
      </w:r>
      <w:r>
        <w:rPr>
          <w:snapToGrid w:val="0"/>
        </w:rPr>
        <w:t>’</w:t>
      </w:r>
      <w:r w:rsidRPr="00C62790">
        <w:rPr>
          <w:snapToGrid w:val="0"/>
        </w:rPr>
        <w:t>absence de formation et la méconnaissance des dangers posés par les pesticides contribuaient à une mauvaise manipulation durant la préparation et l</w:t>
      </w:r>
      <w:r>
        <w:rPr>
          <w:snapToGrid w:val="0"/>
        </w:rPr>
        <w:t>’</w:t>
      </w:r>
      <w:r w:rsidRPr="00C62790">
        <w:rPr>
          <w:snapToGrid w:val="0"/>
        </w:rPr>
        <w:t>application du produit et l</w:t>
      </w:r>
      <w:r>
        <w:rPr>
          <w:snapToGrid w:val="0"/>
        </w:rPr>
        <w:t>’</w:t>
      </w:r>
      <w:r w:rsidRPr="00C62790">
        <w:rPr>
          <w:snapToGrid w:val="0"/>
        </w:rPr>
        <w:t>élimination des conteneurs vides. Dans de telles conditions, l</w:t>
      </w:r>
      <w:r>
        <w:rPr>
          <w:snapToGrid w:val="0"/>
        </w:rPr>
        <w:t>’</w:t>
      </w:r>
      <w:r w:rsidRPr="00C62790">
        <w:rPr>
          <w:snapToGrid w:val="0"/>
        </w:rPr>
        <w:t>exposition des travailleurs agricoles, de leur famille, des consommateurs et de l</w:t>
      </w:r>
      <w:r>
        <w:rPr>
          <w:snapToGrid w:val="0"/>
        </w:rPr>
        <w:t>’</w:t>
      </w:r>
      <w:r w:rsidRPr="00C62790">
        <w:rPr>
          <w:snapToGrid w:val="0"/>
        </w:rPr>
        <w:t>environnement est élevée. Des informations complètes sur les conditions d</w:t>
      </w:r>
      <w:r>
        <w:rPr>
          <w:snapToGrid w:val="0"/>
        </w:rPr>
        <w:t>’</w:t>
      </w:r>
      <w:r w:rsidRPr="00C62790">
        <w:rPr>
          <w:snapToGrid w:val="0"/>
        </w:rPr>
        <w:t>utilisation des pesticides prévalant au Brésil sont donc disponibles et le Brésil s</w:t>
      </w:r>
      <w:r>
        <w:rPr>
          <w:snapToGrid w:val="0"/>
        </w:rPr>
        <w:t>’</w:t>
      </w:r>
      <w:r w:rsidRPr="00C62790">
        <w:rPr>
          <w:snapToGrid w:val="0"/>
        </w:rPr>
        <w:t xml:space="preserve">en est servi pour établir son évaluation des risques.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Le Comité a noté que, dans sa notification, le Brésil soulignait que la mesure de réglementation finale reposait, entre autres, sur une observation</w:t>
      </w:r>
      <w:r>
        <w:rPr>
          <w:snapToGrid w:val="0"/>
        </w:rPr>
        <w:t xml:space="preserve"> </w:t>
      </w:r>
      <w:r w:rsidRPr="00C62790">
        <w:rPr>
          <w:snapToGrid w:val="0"/>
        </w:rPr>
        <w:t xml:space="preserve">ayant mis en évidence la toxicité plus élevée du </w:t>
      </w:r>
      <w:proofErr w:type="spellStart"/>
      <w:r w:rsidRPr="00C62790">
        <w:rPr>
          <w:snapToGrid w:val="0"/>
        </w:rPr>
        <w:t>phorate</w:t>
      </w:r>
      <w:proofErr w:type="spellEnd"/>
      <w:r w:rsidRPr="00C62790">
        <w:rPr>
          <w:snapToGrid w:val="0"/>
        </w:rPr>
        <w:t xml:space="preserve"> pour l</w:t>
      </w:r>
      <w:r>
        <w:rPr>
          <w:snapToGrid w:val="0"/>
        </w:rPr>
        <w:t>’</w:t>
      </w:r>
      <w:r w:rsidRPr="00C62790">
        <w:rPr>
          <w:snapToGrid w:val="0"/>
        </w:rPr>
        <w:t>homme que pour l</w:t>
      </w:r>
      <w:r>
        <w:rPr>
          <w:snapToGrid w:val="0"/>
        </w:rPr>
        <w:t>’</w:t>
      </w:r>
      <w:r w:rsidRPr="00C62790">
        <w:rPr>
          <w:snapToGrid w:val="0"/>
        </w:rPr>
        <w:t>animal et ses caractéristiques de perturbateur endocrinien, faisant qu</w:t>
      </w:r>
      <w:r>
        <w:rPr>
          <w:snapToGrid w:val="0"/>
        </w:rPr>
        <w:t>’</w:t>
      </w:r>
      <w:r w:rsidRPr="00C62790">
        <w:rPr>
          <w:snapToGrid w:val="0"/>
        </w:rPr>
        <w:t xml:space="preserve">il remplissait les critères empêchant son homologation dans la catégorie des pesticides au Brésil.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En outre, il est indiqué au deuxième paragraphe d</w:t>
      </w:r>
      <w:r>
        <w:rPr>
          <w:snapToGrid w:val="0"/>
        </w:rPr>
        <w:t>e la section </w:t>
      </w:r>
      <w:r w:rsidRPr="00C62790">
        <w:rPr>
          <w:snapToGrid w:val="0"/>
        </w:rPr>
        <w:t>III, 1</w:t>
      </w:r>
      <w:r>
        <w:rPr>
          <w:snapToGrid w:val="0"/>
        </w:rPr>
        <w:t> </w:t>
      </w:r>
      <w:r w:rsidRPr="00C62790">
        <w:rPr>
          <w:snapToGrid w:val="0"/>
        </w:rPr>
        <w:t>b) du document de travail sur l</w:t>
      </w:r>
      <w:r>
        <w:rPr>
          <w:snapToGrid w:val="0"/>
        </w:rPr>
        <w:t>’</w:t>
      </w:r>
      <w:r w:rsidRPr="00C62790">
        <w:rPr>
          <w:snapToGrid w:val="0"/>
        </w:rPr>
        <w:t>application</w:t>
      </w:r>
      <w:r>
        <w:rPr>
          <w:snapToGrid w:val="0"/>
        </w:rPr>
        <w:t xml:space="preserve"> du critère </w:t>
      </w:r>
      <w:r w:rsidRPr="00C62790">
        <w:rPr>
          <w:snapToGrid w:val="0"/>
        </w:rPr>
        <w:t>b)</w:t>
      </w:r>
      <w:r>
        <w:rPr>
          <w:snapToGrid w:val="0"/>
        </w:rPr>
        <w:t> </w:t>
      </w:r>
      <w:r w:rsidRPr="00C62790">
        <w:rPr>
          <w:snapToGrid w:val="0"/>
        </w:rPr>
        <w:t>iii) de l</w:t>
      </w:r>
      <w:r>
        <w:rPr>
          <w:snapToGrid w:val="0"/>
        </w:rPr>
        <w:t>’</w:t>
      </w:r>
      <w:r w:rsidRPr="00C62790">
        <w:rPr>
          <w:snapToGrid w:val="0"/>
        </w:rPr>
        <w:t>Annexe</w:t>
      </w:r>
      <w:r>
        <w:rPr>
          <w:snapToGrid w:val="0"/>
        </w:rPr>
        <w:t> </w:t>
      </w:r>
      <w:r w:rsidRPr="00C62790">
        <w:rPr>
          <w:snapToGrid w:val="0"/>
        </w:rPr>
        <w:t xml:space="preserve">II du </w:t>
      </w:r>
      <w:r w:rsidRPr="00C62790">
        <w:t>Manuel relatif aux méthodes de travail et aux orientations générales</w:t>
      </w:r>
      <w:r w:rsidRPr="00C62790">
        <w:rPr>
          <w:snapToGrid w:val="0"/>
          <w:szCs w:val="18"/>
        </w:rPr>
        <w:t xml:space="preserve"> que pour les </w:t>
      </w:r>
      <w:r w:rsidRPr="00C62790">
        <w:rPr>
          <w:snapToGrid w:val="0"/>
        </w:rPr>
        <w:t xml:space="preserve">pesticides présentant une toxicité aiguë ou les produits chimiques à usage industriel, la description des conditions prévalant dans la Partie </w:t>
      </w:r>
      <w:proofErr w:type="spellStart"/>
      <w:r w:rsidRPr="00C62790">
        <w:rPr>
          <w:snapToGrid w:val="0"/>
        </w:rPr>
        <w:t>notifiante</w:t>
      </w:r>
      <w:proofErr w:type="spellEnd"/>
      <w:r w:rsidRPr="00C62790">
        <w:rPr>
          <w:snapToGrid w:val="0"/>
        </w:rPr>
        <w:t xml:space="preserve"> pourrait comporter des informations sur la disponibilité et l</w:t>
      </w:r>
      <w:r>
        <w:rPr>
          <w:snapToGrid w:val="0"/>
        </w:rPr>
        <w:t>’</w:t>
      </w:r>
      <w:r w:rsidRPr="00C62790">
        <w:rPr>
          <w:snapToGrid w:val="0"/>
        </w:rPr>
        <w:t>utilisation courante d</w:t>
      </w:r>
      <w:r>
        <w:rPr>
          <w:snapToGrid w:val="0"/>
        </w:rPr>
        <w:t>’</w:t>
      </w:r>
      <w:r w:rsidRPr="00C62790">
        <w:rPr>
          <w:snapToGrid w:val="0"/>
        </w:rPr>
        <w:t>équipement</w:t>
      </w:r>
      <w:r>
        <w:rPr>
          <w:snapToGrid w:val="0"/>
        </w:rPr>
        <w:t>s</w:t>
      </w:r>
      <w:r w:rsidRPr="00C62790">
        <w:rPr>
          <w:snapToGrid w:val="0"/>
        </w:rPr>
        <w:t xml:space="preserve"> de protection et la mise en place de scénarios d</w:t>
      </w:r>
      <w:r>
        <w:rPr>
          <w:snapToGrid w:val="0"/>
        </w:rPr>
        <w:t>’</w:t>
      </w:r>
      <w:r w:rsidRPr="00C62790">
        <w:rPr>
          <w:snapToGrid w:val="0"/>
        </w:rPr>
        <w:t xml:space="preserve">empoisonnement (si pertinents et disponibles). </w:t>
      </w:r>
    </w:p>
    <w:p w:rsidR="002A7C5D" w:rsidRPr="00C62790" w:rsidRDefault="002A7C5D" w:rsidP="002A7C5D">
      <w:pPr>
        <w:keepNext/>
        <w:keepLines/>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 xml:space="preserve">Étant donné que le </w:t>
      </w:r>
      <w:proofErr w:type="spellStart"/>
      <w:r w:rsidRPr="00C62790">
        <w:rPr>
          <w:snapToGrid w:val="0"/>
        </w:rPr>
        <w:t>phorate</w:t>
      </w:r>
      <w:proofErr w:type="spellEnd"/>
      <w:r w:rsidRPr="00C62790">
        <w:rPr>
          <w:snapToGrid w:val="0"/>
        </w:rPr>
        <w:t xml:space="preserve"> est un pesticide présentant une toxicité aiguë, les résultats de l</w:t>
      </w:r>
      <w:r>
        <w:rPr>
          <w:snapToGrid w:val="0"/>
        </w:rPr>
        <w:t>’</w:t>
      </w:r>
      <w:r w:rsidRPr="00C62790">
        <w:rPr>
          <w:snapToGrid w:val="0"/>
        </w:rPr>
        <w:t>étude sur les pratiques courantes dans l</w:t>
      </w:r>
      <w:r>
        <w:rPr>
          <w:snapToGrid w:val="0"/>
        </w:rPr>
        <w:t>’</w:t>
      </w:r>
      <w:r w:rsidRPr="00C62790">
        <w:rPr>
          <w:snapToGrid w:val="0"/>
        </w:rPr>
        <w:t>utilisation des pesticides au Brésil, qui ont mis en évidence des problèmes liés à l</w:t>
      </w:r>
      <w:r>
        <w:rPr>
          <w:snapToGrid w:val="0"/>
        </w:rPr>
        <w:t>’</w:t>
      </w:r>
      <w:r w:rsidRPr="00C62790">
        <w:rPr>
          <w:snapToGrid w:val="0"/>
        </w:rPr>
        <w:t xml:space="preserve">utilisation </w:t>
      </w:r>
      <w:r>
        <w:rPr>
          <w:snapToGrid w:val="0"/>
        </w:rPr>
        <w:t>d’équipements</w:t>
      </w:r>
      <w:r w:rsidRPr="00C62790">
        <w:rPr>
          <w:snapToGrid w:val="0"/>
        </w:rPr>
        <w:t xml:space="preserve"> de protection individuelle, </w:t>
      </w:r>
      <w:r>
        <w:rPr>
          <w:snapToGrid w:val="0"/>
        </w:rPr>
        <w:t xml:space="preserve">et </w:t>
      </w:r>
      <w:r w:rsidRPr="00C62790">
        <w:rPr>
          <w:snapToGrid w:val="0"/>
        </w:rPr>
        <w:t>mentionnant également des cas d</w:t>
      </w:r>
      <w:r>
        <w:rPr>
          <w:snapToGrid w:val="0"/>
        </w:rPr>
        <w:t>’</w:t>
      </w:r>
      <w:r w:rsidRPr="00C62790">
        <w:rPr>
          <w:snapToGrid w:val="0"/>
        </w:rPr>
        <w:t>empoisonnement en Inde, le Comité est d</w:t>
      </w:r>
      <w:r>
        <w:rPr>
          <w:snapToGrid w:val="0"/>
        </w:rPr>
        <w:t>’</w:t>
      </w:r>
      <w:r w:rsidRPr="00C62790">
        <w:rPr>
          <w:snapToGrid w:val="0"/>
        </w:rPr>
        <w:t>avis que les conditions prévalant au Brésil ont été prises en compte dans l</w:t>
      </w:r>
      <w:r>
        <w:rPr>
          <w:snapToGrid w:val="0"/>
        </w:rPr>
        <w:t>’</w:t>
      </w:r>
      <w:r w:rsidRPr="00C62790">
        <w:rPr>
          <w:snapToGrid w:val="0"/>
        </w:rPr>
        <w:t xml:space="preserve">évaluation des risques réalisée par le Brésil.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Par conséquent, le Comité confir</w:t>
      </w:r>
      <w:r>
        <w:rPr>
          <w:snapToGrid w:val="0"/>
        </w:rPr>
        <w:t>me que le critère du paragraphe </w:t>
      </w:r>
      <w:r w:rsidRPr="00C62790">
        <w:rPr>
          <w:snapToGrid w:val="0"/>
        </w:rPr>
        <w:t>b)</w:t>
      </w:r>
      <w:r>
        <w:rPr>
          <w:snapToGrid w:val="0"/>
        </w:rPr>
        <w:t> </w:t>
      </w:r>
      <w:r w:rsidRPr="00C62790">
        <w:rPr>
          <w:snapToGrid w:val="0"/>
        </w:rPr>
        <w:t>iii)</w:t>
      </w:r>
      <w:r>
        <w:rPr>
          <w:snapToGrid w:val="0"/>
        </w:rPr>
        <w:t xml:space="preserve"> est satisfait</w:t>
      </w:r>
      <w:r w:rsidRPr="00C62790">
        <w:rPr>
          <w:snapToGrid w:val="0"/>
        </w:rPr>
        <w:t>.</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Le Comité confirme que les critèr</w:t>
      </w:r>
      <w:r>
        <w:rPr>
          <w:snapToGrid w:val="0"/>
        </w:rPr>
        <w:t>es du paragraphe b) sont satisfaits</w:t>
      </w:r>
      <w:r w:rsidRPr="00C62790">
        <w:rPr>
          <w:snapToGrid w:val="0"/>
        </w:rPr>
        <w:t>.</w:t>
      </w:r>
    </w:p>
    <w:p w:rsidR="002A7C5D" w:rsidRPr="00C62790" w:rsidRDefault="002A7C5D" w:rsidP="002A7C5D">
      <w:pPr>
        <w:pStyle w:val="CH3"/>
        <w:rPr>
          <w:lang w:val="fr-FR"/>
        </w:rPr>
      </w:pPr>
      <w:r>
        <w:rPr>
          <w:lang w:val="fr-FR"/>
        </w:rPr>
        <w:tab/>
        <w:t>d)</w:t>
      </w:r>
      <w:r>
        <w:rPr>
          <w:lang w:val="fr-FR"/>
        </w:rPr>
        <w:tab/>
        <w:t>Critères du paragraphe </w:t>
      </w:r>
      <w:r w:rsidRPr="00C62790">
        <w:rPr>
          <w:lang w:val="fr-FR"/>
        </w:rPr>
        <w:t xml:space="preserve">c) </w:t>
      </w:r>
      <w:r>
        <w:rPr>
          <w:lang w:val="fr-FR"/>
        </w:rPr>
        <w:t>de l’Annexe </w:t>
      </w:r>
      <w:r w:rsidRPr="00C62790">
        <w:rPr>
          <w:lang w:val="fr-FR"/>
        </w:rPr>
        <w:t>II</w:t>
      </w:r>
    </w:p>
    <w:p w:rsidR="002A7C5D" w:rsidRPr="00C62790" w:rsidRDefault="002A7C5D" w:rsidP="002A7C5D">
      <w:pPr>
        <w:keepNext/>
        <w:keepLines/>
        <w:snapToGrid w:val="0"/>
        <w:spacing w:after="120"/>
        <w:ind w:left="1247" w:firstLine="624"/>
        <w:rPr>
          <w:i/>
        </w:rPr>
      </w:pPr>
      <w:r w:rsidRPr="00C62790">
        <w:rPr>
          <w:i/>
        </w:rPr>
        <w:t>c)</w:t>
      </w:r>
      <w:r w:rsidRPr="00C62790">
        <w:rPr>
          <w:i/>
        </w:rPr>
        <w:tab/>
        <w:t>Détermine si la mesure de réglementation finale suffit à justifier l</w:t>
      </w:r>
      <w:r>
        <w:rPr>
          <w:i/>
        </w:rPr>
        <w:t>’</w:t>
      </w:r>
      <w:r w:rsidRPr="00C62790">
        <w:rPr>
          <w:i/>
        </w:rPr>
        <w:t>inscription du produi</w:t>
      </w:r>
      <w:r>
        <w:rPr>
          <w:i/>
        </w:rPr>
        <w:t>t chimique considéré à l’Annexe </w:t>
      </w:r>
      <w:r w:rsidRPr="00C62790">
        <w:rPr>
          <w:i/>
        </w:rPr>
        <w:t>III après avoir déterminé</w:t>
      </w:r>
      <w:r>
        <w:rPr>
          <w:i/>
        </w:rPr>
        <w:t> </w:t>
      </w:r>
      <w:r w:rsidRPr="00C62790">
        <w:rPr>
          <w:i/>
        </w:rPr>
        <w:t xml:space="preserve">: </w:t>
      </w:r>
    </w:p>
    <w:p w:rsidR="002A7C5D" w:rsidRPr="00C62790" w:rsidRDefault="002A7C5D" w:rsidP="002A7C5D">
      <w:pPr>
        <w:pStyle w:val="Normal-pool"/>
        <w:tabs>
          <w:tab w:val="clear" w:pos="1247"/>
          <w:tab w:val="clear" w:pos="1814"/>
          <w:tab w:val="clear" w:pos="2381"/>
          <w:tab w:val="clear" w:pos="2948"/>
          <w:tab w:val="clear" w:pos="3515"/>
          <w:tab w:val="left" w:pos="624"/>
        </w:tabs>
        <w:spacing w:after="120"/>
        <w:ind w:left="2495" w:hanging="624"/>
        <w:rPr>
          <w:i/>
          <w:lang w:val="fr-FR"/>
        </w:rPr>
      </w:pPr>
      <w:r w:rsidRPr="00C62790">
        <w:rPr>
          <w:i/>
          <w:lang w:val="fr-FR"/>
        </w:rPr>
        <w:t>i)</w:t>
      </w:r>
      <w:r w:rsidRPr="00C62790">
        <w:rPr>
          <w:i/>
          <w:lang w:val="fr-FR"/>
        </w:rPr>
        <w:tab/>
        <w:t>Si l</w:t>
      </w:r>
      <w:r>
        <w:rPr>
          <w:i/>
          <w:lang w:val="fr-FR"/>
        </w:rPr>
        <w:t>’</w:t>
      </w:r>
      <w:r w:rsidRPr="00C62790">
        <w:rPr>
          <w:i/>
          <w:lang w:val="fr-FR"/>
        </w:rPr>
        <w:t>application de la mesure de réglementation finale a entraîné, ou devrait entraîner, une diminution sensible de la consommation du produit chimique ou du nombre de ses em</w:t>
      </w:r>
      <w:r>
        <w:rPr>
          <w:i/>
          <w:lang w:val="fr-FR"/>
        </w:rPr>
        <w:t>plois </w:t>
      </w:r>
      <w:r w:rsidRPr="00C62790">
        <w:rPr>
          <w:i/>
          <w:lang w:val="fr-FR"/>
        </w:rPr>
        <w:t xml:space="preserv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iCs/>
        </w:rPr>
        <w:t xml:space="preserve">Sur la base des données présentées dans la </w:t>
      </w:r>
      <w:r>
        <w:rPr>
          <w:iCs/>
        </w:rPr>
        <w:t>section </w:t>
      </w:r>
      <w:r w:rsidRPr="00C62790">
        <w:rPr>
          <w:iCs/>
        </w:rPr>
        <w:t xml:space="preserve">2.5.1 de la notification, et dans la </w:t>
      </w:r>
      <w:r w:rsidRPr="00C62790">
        <w:rPr>
          <w:snapToGrid w:val="0"/>
        </w:rPr>
        <w:t>documentation à l</w:t>
      </w:r>
      <w:r>
        <w:rPr>
          <w:snapToGrid w:val="0"/>
        </w:rPr>
        <w:t>’</w:t>
      </w:r>
      <w:r w:rsidRPr="00C62790">
        <w:rPr>
          <w:snapToGrid w:val="0"/>
        </w:rPr>
        <w:t>appui</w:t>
      </w:r>
      <w:r w:rsidRPr="00C62790">
        <w:rPr>
          <w:iCs/>
        </w:rPr>
        <w:t xml:space="preserve"> (voir le document </w:t>
      </w:r>
      <w:r w:rsidRPr="00C62790">
        <w:rPr>
          <w:snapToGrid w:val="0"/>
        </w:rPr>
        <w:t xml:space="preserve">UNEP/FAO/RC/CRC.13/INF/29, </w:t>
      </w:r>
      <w:r w:rsidRPr="00C62790">
        <w:rPr>
          <w:iCs/>
        </w:rPr>
        <w:t>p. 22), la production, l</w:t>
      </w:r>
      <w:r>
        <w:rPr>
          <w:iCs/>
        </w:rPr>
        <w:t>’</w:t>
      </w:r>
      <w:r w:rsidRPr="00C62790">
        <w:rPr>
          <w:iCs/>
        </w:rPr>
        <w:t>importation et l</w:t>
      </w:r>
      <w:r>
        <w:rPr>
          <w:iCs/>
        </w:rPr>
        <w:t>’</w:t>
      </w:r>
      <w:r w:rsidRPr="00C62790">
        <w:rPr>
          <w:iCs/>
        </w:rPr>
        <w:t xml:space="preserve">exportation de </w:t>
      </w:r>
      <w:proofErr w:type="spellStart"/>
      <w:r w:rsidRPr="00C62790">
        <w:rPr>
          <w:iCs/>
        </w:rPr>
        <w:t>phorate</w:t>
      </w:r>
      <w:proofErr w:type="spellEnd"/>
      <w:r w:rsidRPr="00C62790">
        <w:rPr>
          <w:iCs/>
        </w:rPr>
        <w:t xml:space="preserve"> a cessé au Brésil, comme le montre le tableau ci-dessous.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iCs/>
        </w:rPr>
        <w:t>La mesure de réglementation finale prise par le Brésil en 2015 est de nature à prévenir toute nouvelle production, importation, exportation et utilisation.</w:t>
      </w:r>
    </w:p>
    <w:tbl>
      <w:tblPr>
        <w:tblStyle w:val="TableGrid"/>
        <w:tblW w:w="0" w:type="auto"/>
        <w:tblInd w:w="1368" w:type="dxa"/>
        <w:tblLook w:val="04A0"/>
      </w:tblPr>
      <w:tblGrid>
        <w:gridCol w:w="1149"/>
        <w:gridCol w:w="4660"/>
        <w:gridCol w:w="2399"/>
      </w:tblGrid>
      <w:tr w:rsidR="002A7C5D" w:rsidRPr="00C62790" w:rsidTr="000306C3">
        <w:tc>
          <w:tcPr>
            <w:tcW w:w="1150" w:type="dxa"/>
          </w:tcPr>
          <w:p w:rsidR="002A7C5D" w:rsidRPr="00C62790" w:rsidRDefault="002A7C5D" w:rsidP="000306C3">
            <w:pPr>
              <w:tabs>
                <w:tab w:val="left" w:pos="720"/>
              </w:tabs>
              <w:snapToGrid w:val="0"/>
              <w:spacing w:after="120"/>
              <w:rPr>
                <w:sz w:val="18"/>
                <w:szCs w:val="18"/>
              </w:rPr>
            </w:pPr>
          </w:p>
        </w:tc>
        <w:tc>
          <w:tcPr>
            <w:tcW w:w="4679" w:type="dxa"/>
          </w:tcPr>
          <w:p w:rsidR="002A7C5D" w:rsidRPr="00C62790" w:rsidRDefault="002A7C5D" w:rsidP="000306C3">
            <w:pPr>
              <w:autoSpaceDE w:val="0"/>
              <w:autoSpaceDN w:val="0"/>
              <w:adjustRightInd w:val="0"/>
              <w:snapToGrid w:val="0"/>
              <w:spacing w:after="120"/>
              <w:rPr>
                <w:bCs/>
                <w:i/>
                <w:sz w:val="18"/>
                <w:szCs w:val="18"/>
              </w:rPr>
            </w:pPr>
            <w:r w:rsidRPr="00C62790">
              <w:rPr>
                <w:bCs/>
                <w:i/>
                <w:sz w:val="18"/>
                <w:szCs w:val="18"/>
              </w:rPr>
              <w:t>Quantité annuelle (en tonnes)</w:t>
            </w:r>
          </w:p>
        </w:tc>
        <w:tc>
          <w:tcPr>
            <w:tcW w:w="2409" w:type="dxa"/>
          </w:tcPr>
          <w:p w:rsidR="002A7C5D" w:rsidRPr="00C62790" w:rsidRDefault="002A7C5D" w:rsidP="000306C3">
            <w:pPr>
              <w:tabs>
                <w:tab w:val="left" w:pos="720"/>
              </w:tabs>
              <w:snapToGrid w:val="0"/>
              <w:spacing w:after="120"/>
              <w:rPr>
                <w:i/>
                <w:iCs/>
                <w:sz w:val="18"/>
                <w:szCs w:val="18"/>
              </w:rPr>
            </w:pPr>
            <w:r w:rsidRPr="00C62790">
              <w:rPr>
                <w:i/>
                <w:iCs/>
                <w:sz w:val="18"/>
                <w:szCs w:val="18"/>
              </w:rPr>
              <w:t xml:space="preserve">Année </w:t>
            </w:r>
          </w:p>
        </w:tc>
      </w:tr>
      <w:tr w:rsidR="002A7C5D" w:rsidRPr="00C62790" w:rsidTr="000306C3">
        <w:tc>
          <w:tcPr>
            <w:tcW w:w="1150" w:type="dxa"/>
          </w:tcPr>
          <w:p w:rsidR="002A7C5D" w:rsidRPr="00C62790" w:rsidRDefault="002A7C5D" w:rsidP="000306C3">
            <w:pPr>
              <w:tabs>
                <w:tab w:val="left" w:pos="720"/>
              </w:tabs>
              <w:snapToGrid w:val="0"/>
              <w:spacing w:after="120"/>
              <w:rPr>
                <w:iCs/>
                <w:sz w:val="18"/>
                <w:szCs w:val="18"/>
              </w:rPr>
            </w:pPr>
            <w:r w:rsidRPr="00C62790">
              <w:rPr>
                <w:sz w:val="18"/>
                <w:szCs w:val="18"/>
              </w:rPr>
              <w:t>Produite</w:t>
            </w:r>
          </w:p>
        </w:tc>
        <w:tc>
          <w:tcPr>
            <w:tcW w:w="4679" w:type="dxa"/>
          </w:tcPr>
          <w:p w:rsidR="002A7C5D" w:rsidRPr="00C62790" w:rsidRDefault="002A7C5D" w:rsidP="000306C3">
            <w:pPr>
              <w:tabs>
                <w:tab w:val="left" w:pos="720"/>
              </w:tabs>
              <w:snapToGrid w:val="0"/>
              <w:spacing w:after="120"/>
              <w:rPr>
                <w:iCs/>
                <w:sz w:val="18"/>
                <w:szCs w:val="18"/>
              </w:rPr>
            </w:pPr>
            <w:r w:rsidRPr="00C62790">
              <w:rPr>
                <w:sz w:val="18"/>
                <w:szCs w:val="18"/>
              </w:rPr>
              <w:t>Préparations (produit fini)</w:t>
            </w:r>
            <w:r>
              <w:rPr>
                <w:sz w:val="18"/>
                <w:szCs w:val="18"/>
              </w:rPr>
              <w:t> : 153,9 </w:t>
            </w:r>
            <w:r w:rsidRPr="00C62790">
              <w:rPr>
                <w:sz w:val="18"/>
                <w:szCs w:val="18"/>
              </w:rPr>
              <w:t>t</w:t>
            </w:r>
          </w:p>
        </w:tc>
        <w:tc>
          <w:tcPr>
            <w:tcW w:w="2409" w:type="dxa"/>
          </w:tcPr>
          <w:p w:rsidR="002A7C5D" w:rsidRPr="00C62790" w:rsidRDefault="002A7C5D" w:rsidP="000306C3">
            <w:pPr>
              <w:tabs>
                <w:tab w:val="left" w:pos="720"/>
              </w:tabs>
              <w:snapToGrid w:val="0"/>
              <w:spacing w:after="120"/>
              <w:rPr>
                <w:iCs/>
                <w:sz w:val="18"/>
                <w:szCs w:val="18"/>
              </w:rPr>
            </w:pPr>
            <w:r w:rsidRPr="00C62790">
              <w:rPr>
                <w:iCs/>
                <w:sz w:val="18"/>
                <w:szCs w:val="18"/>
              </w:rPr>
              <w:t>2009</w:t>
            </w:r>
          </w:p>
        </w:tc>
      </w:tr>
      <w:tr w:rsidR="002A7C5D" w:rsidRPr="00C62790" w:rsidTr="000306C3">
        <w:tc>
          <w:tcPr>
            <w:tcW w:w="1150" w:type="dxa"/>
          </w:tcPr>
          <w:p w:rsidR="002A7C5D" w:rsidRPr="00C62790" w:rsidRDefault="002A7C5D" w:rsidP="000306C3">
            <w:pPr>
              <w:tabs>
                <w:tab w:val="left" w:pos="720"/>
              </w:tabs>
              <w:snapToGrid w:val="0"/>
              <w:spacing w:after="120"/>
              <w:rPr>
                <w:iCs/>
                <w:sz w:val="18"/>
                <w:szCs w:val="18"/>
              </w:rPr>
            </w:pPr>
            <w:r w:rsidRPr="00C62790">
              <w:rPr>
                <w:sz w:val="18"/>
                <w:szCs w:val="18"/>
              </w:rPr>
              <w:lastRenderedPageBreak/>
              <w:t>Importée</w:t>
            </w:r>
          </w:p>
        </w:tc>
        <w:tc>
          <w:tcPr>
            <w:tcW w:w="4679" w:type="dxa"/>
          </w:tcPr>
          <w:p w:rsidR="002A7C5D" w:rsidRPr="00C62790" w:rsidRDefault="002A7C5D" w:rsidP="000306C3">
            <w:pPr>
              <w:tabs>
                <w:tab w:val="left" w:pos="720"/>
              </w:tabs>
              <w:snapToGrid w:val="0"/>
              <w:spacing w:after="120"/>
              <w:rPr>
                <w:iCs/>
                <w:sz w:val="18"/>
                <w:szCs w:val="18"/>
              </w:rPr>
            </w:pPr>
            <w:r w:rsidRPr="00C62790">
              <w:rPr>
                <w:sz w:val="18"/>
                <w:szCs w:val="18"/>
              </w:rPr>
              <w:t>Principe actif</w:t>
            </w:r>
            <w:r>
              <w:rPr>
                <w:sz w:val="18"/>
                <w:szCs w:val="18"/>
              </w:rPr>
              <w:t> : 17,15 </w:t>
            </w:r>
            <w:r w:rsidRPr="00C62790">
              <w:rPr>
                <w:sz w:val="18"/>
                <w:szCs w:val="18"/>
              </w:rPr>
              <w:t>t</w:t>
            </w:r>
          </w:p>
        </w:tc>
        <w:tc>
          <w:tcPr>
            <w:tcW w:w="2409" w:type="dxa"/>
          </w:tcPr>
          <w:p w:rsidR="002A7C5D" w:rsidRPr="00C62790" w:rsidRDefault="002A7C5D" w:rsidP="000306C3">
            <w:pPr>
              <w:tabs>
                <w:tab w:val="left" w:pos="720"/>
              </w:tabs>
              <w:snapToGrid w:val="0"/>
              <w:spacing w:after="120"/>
              <w:rPr>
                <w:iCs/>
                <w:sz w:val="18"/>
                <w:szCs w:val="18"/>
              </w:rPr>
            </w:pPr>
            <w:r w:rsidRPr="00C62790">
              <w:rPr>
                <w:iCs/>
                <w:sz w:val="18"/>
                <w:szCs w:val="18"/>
              </w:rPr>
              <w:t>2009</w:t>
            </w:r>
          </w:p>
        </w:tc>
      </w:tr>
      <w:tr w:rsidR="002A7C5D" w:rsidRPr="00C62790" w:rsidTr="000306C3">
        <w:tc>
          <w:tcPr>
            <w:tcW w:w="1150" w:type="dxa"/>
          </w:tcPr>
          <w:p w:rsidR="002A7C5D" w:rsidRPr="00C62790" w:rsidRDefault="002A7C5D" w:rsidP="000306C3">
            <w:pPr>
              <w:tabs>
                <w:tab w:val="left" w:pos="720"/>
              </w:tabs>
              <w:snapToGrid w:val="0"/>
              <w:spacing w:after="120"/>
              <w:rPr>
                <w:iCs/>
                <w:sz w:val="18"/>
                <w:szCs w:val="18"/>
              </w:rPr>
            </w:pPr>
            <w:r w:rsidRPr="00C62790">
              <w:rPr>
                <w:sz w:val="18"/>
                <w:szCs w:val="18"/>
              </w:rPr>
              <w:t>Exportée</w:t>
            </w:r>
          </w:p>
        </w:tc>
        <w:tc>
          <w:tcPr>
            <w:tcW w:w="4679" w:type="dxa"/>
          </w:tcPr>
          <w:p w:rsidR="002A7C5D" w:rsidRPr="00C62790" w:rsidRDefault="002A7C5D" w:rsidP="000306C3">
            <w:pPr>
              <w:tabs>
                <w:tab w:val="left" w:pos="720"/>
              </w:tabs>
              <w:snapToGrid w:val="0"/>
              <w:spacing w:after="120"/>
              <w:rPr>
                <w:iCs/>
                <w:sz w:val="18"/>
                <w:szCs w:val="18"/>
              </w:rPr>
            </w:pPr>
            <w:r w:rsidRPr="00C62790">
              <w:rPr>
                <w:sz w:val="18"/>
                <w:szCs w:val="18"/>
              </w:rPr>
              <w:t>Principe actif</w:t>
            </w:r>
            <w:r>
              <w:rPr>
                <w:sz w:val="18"/>
                <w:szCs w:val="18"/>
              </w:rPr>
              <w:t> : 35,96 </w:t>
            </w:r>
            <w:r w:rsidRPr="00C62790">
              <w:rPr>
                <w:sz w:val="18"/>
                <w:szCs w:val="18"/>
              </w:rPr>
              <w:t>t</w:t>
            </w:r>
          </w:p>
        </w:tc>
        <w:tc>
          <w:tcPr>
            <w:tcW w:w="2409" w:type="dxa"/>
          </w:tcPr>
          <w:p w:rsidR="002A7C5D" w:rsidRPr="00C62790" w:rsidRDefault="002A7C5D" w:rsidP="000306C3">
            <w:pPr>
              <w:tabs>
                <w:tab w:val="left" w:pos="720"/>
              </w:tabs>
              <w:snapToGrid w:val="0"/>
              <w:spacing w:after="120"/>
              <w:rPr>
                <w:iCs/>
                <w:sz w:val="18"/>
                <w:szCs w:val="18"/>
              </w:rPr>
            </w:pPr>
            <w:r w:rsidRPr="00C62790">
              <w:rPr>
                <w:iCs/>
                <w:sz w:val="18"/>
                <w:szCs w:val="18"/>
              </w:rPr>
              <w:t>2011</w:t>
            </w:r>
          </w:p>
        </w:tc>
      </w:tr>
      <w:tr w:rsidR="002A7C5D" w:rsidRPr="00C62790" w:rsidTr="000306C3">
        <w:tc>
          <w:tcPr>
            <w:tcW w:w="1150" w:type="dxa"/>
            <w:vMerge w:val="restart"/>
          </w:tcPr>
          <w:p w:rsidR="002A7C5D" w:rsidRPr="00C62790" w:rsidRDefault="002A7C5D" w:rsidP="000306C3">
            <w:pPr>
              <w:autoSpaceDE w:val="0"/>
              <w:autoSpaceDN w:val="0"/>
              <w:adjustRightInd w:val="0"/>
              <w:snapToGrid w:val="0"/>
              <w:spacing w:after="120"/>
              <w:rPr>
                <w:sz w:val="18"/>
                <w:szCs w:val="18"/>
              </w:rPr>
            </w:pPr>
            <w:r w:rsidRPr="00C62790">
              <w:rPr>
                <w:sz w:val="18"/>
                <w:szCs w:val="18"/>
              </w:rPr>
              <w:t>Utilisée</w:t>
            </w:r>
          </w:p>
          <w:p w:rsidR="002A7C5D" w:rsidRPr="00C62790" w:rsidRDefault="002A7C5D" w:rsidP="000306C3">
            <w:pPr>
              <w:keepNext/>
              <w:keepLines/>
              <w:tabs>
                <w:tab w:val="left" w:pos="720"/>
                <w:tab w:val="left" w:pos="4082"/>
              </w:tabs>
              <w:suppressAutoHyphens/>
              <w:snapToGrid w:val="0"/>
              <w:spacing w:after="120"/>
              <w:ind w:left="1247"/>
              <w:rPr>
                <w:iCs/>
                <w:sz w:val="18"/>
                <w:szCs w:val="18"/>
              </w:rPr>
            </w:pPr>
          </w:p>
        </w:tc>
        <w:tc>
          <w:tcPr>
            <w:tcW w:w="4679" w:type="dxa"/>
          </w:tcPr>
          <w:p w:rsidR="002A7C5D" w:rsidRPr="00C62790" w:rsidRDefault="002A7C5D" w:rsidP="000306C3">
            <w:pPr>
              <w:tabs>
                <w:tab w:val="left" w:pos="720"/>
              </w:tabs>
              <w:snapToGrid w:val="0"/>
              <w:spacing w:after="120"/>
              <w:rPr>
                <w:iCs/>
                <w:sz w:val="18"/>
                <w:szCs w:val="18"/>
              </w:rPr>
            </w:pPr>
            <w:r w:rsidRPr="00C62790">
              <w:rPr>
                <w:sz w:val="18"/>
                <w:szCs w:val="18"/>
              </w:rPr>
              <w:t>Ventes de principe actif</w:t>
            </w:r>
            <w:r>
              <w:rPr>
                <w:sz w:val="18"/>
                <w:szCs w:val="18"/>
              </w:rPr>
              <w:t> </w:t>
            </w:r>
            <w:r w:rsidRPr="00C62790">
              <w:rPr>
                <w:sz w:val="18"/>
                <w:szCs w:val="18"/>
              </w:rPr>
              <w:t>: 26,49</w:t>
            </w:r>
            <w:r>
              <w:rPr>
                <w:sz w:val="18"/>
                <w:szCs w:val="18"/>
              </w:rPr>
              <w:t> </w:t>
            </w:r>
            <w:r w:rsidRPr="00C62790">
              <w:rPr>
                <w:sz w:val="18"/>
                <w:szCs w:val="18"/>
              </w:rPr>
              <w:t>t</w:t>
            </w:r>
          </w:p>
        </w:tc>
        <w:tc>
          <w:tcPr>
            <w:tcW w:w="2409" w:type="dxa"/>
          </w:tcPr>
          <w:p w:rsidR="002A7C5D" w:rsidRPr="00C62790" w:rsidRDefault="002A7C5D" w:rsidP="000306C3">
            <w:pPr>
              <w:tabs>
                <w:tab w:val="left" w:pos="720"/>
              </w:tabs>
              <w:snapToGrid w:val="0"/>
              <w:spacing w:after="120"/>
              <w:rPr>
                <w:iCs/>
                <w:sz w:val="18"/>
                <w:szCs w:val="18"/>
              </w:rPr>
            </w:pPr>
            <w:r w:rsidRPr="00C62790">
              <w:rPr>
                <w:iCs/>
                <w:sz w:val="18"/>
                <w:szCs w:val="18"/>
              </w:rPr>
              <w:t>2009</w:t>
            </w:r>
          </w:p>
        </w:tc>
      </w:tr>
      <w:tr w:rsidR="002A7C5D" w:rsidRPr="00C62790" w:rsidTr="000306C3">
        <w:tc>
          <w:tcPr>
            <w:tcW w:w="1150" w:type="dxa"/>
            <w:vMerge/>
          </w:tcPr>
          <w:p w:rsidR="002A7C5D" w:rsidRPr="00C62790" w:rsidRDefault="002A7C5D" w:rsidP="000306C3">
            <w:pPr>
              <w:autoSpaceDE w:val="0"/>
              <w:autoSpaceDN w:val="0"/>
              <w:adjustRightInd w:val="0"/>
              <w:snapToGrid w:val="0"/>
              <w:spacing w:after="120"/>
              <w:rPr>
                <w:sz w:val="18"/>
                <w:szCs w:val="18"/>
              </w:rPr>
            </w:pPr>
          </w:p>
        </w:tc>
        <w:tc>
          <w:tcPr>
            <w:tcW w:w="4679" w:type="dxa"/>
          </w:tcPr>
          <w:p w:rsidR="002A7C5D" w:rsidRPr="00C62790" w:rsidRDefault="002A7C5D" w:rsidP="000306C3">
            <w:pPr>
              <w:tabs>
                <w:tab w:val="left" w:pos="720"/>
              </w:tabs>
              <w:snapToGrid w:val="0"/>
              <w:spacing w:after="120"/>
              <w:rPr>
                <w:iCs/>
                <w:sz w:val="18"/>
                <w:szCs w:val="18"/>
              </w:rPr>
            </w:pPr>
            <w:r w:rsidRPr="00C62790">
              <w:rPr>
                <w:sz w:val="18"/>
                <w:szCs w:val="18"/>
              </w:rPr>
              <w:t>Ventes de préparations (produit fini)</w:t>
            </w:r>
            <w:r>
              <w:rPr>
                <w:sz w:val="18"/>
                <w:szCs w:val="18"/>
              </w:rPr>
              <w:t> </w:t>
            </w:r>
            <w:r w:rsidRPr="00C62790">
              <w:rPr>
                <w:sz w:val="18"/>
                <w:szCs w:val="18"/>
              </w:rPr>
              <w:t>: 272,58</w:t>
            </w:r>
            <w:r>
              <w:rPr>
                <w:sz w:val="18"/>
                <w:szCs w:val="18"/>
              </w:rPr>
              <w:t> </w:t>
            </w:r>
            <w:r w:rsidRPr="00C62790">
              <w:rPr>
                <w:sz w:val="18"/>
                <w:szCs w:val="18"/>
              </w:rPr>
              <w:t>t</w:t>
            </w:r>
          </w:p>
        </w:tc>
        <w:tc>
          <w:tcPr>
            <w:tcW w:w="2409" w:type="dxa"/>
          </w:tcPr>
          <w:p w:rsidR="002A7C5D" w:rsidRPr="00C62790" w:rsidRDefault="002A7C5D" w:rsidP="000306C3">
            <w:pPr>
              <w:tabs>
                <w:tab w:val="left" w:pos="720"/>
              </w:tabs>
              <w:snapToGrid w:val="0"/>
              <w:spacing w:after="120"/>
              <w:rPr>
                <w:iCs/>
                <w:sz w:val="18"/>
                <w:szCs w:val="18"/>
              </w:rPr>
            </w:pPr>
            <w:r w:rsidRPr="00C62790">
              <w:rPr>
                <w:iCs/>
                <w:sz w:val="18"/>
                <w:szCs w:val="18"/>
              </w:rPr>
              <w:t>2009</w:t>
            </w:r>
          </w:p>
        </w:tc>
      </w:tr>
      <w:tr w:rsidR="002A7C5D" w:rsidRPr="00C62790" w:rsidTr="000306C3">
        <w:tc>
          <w:tcPr>
            <w:tcW w:w="1150" w:type="dxa"/>
            <w:vMerge/>
          </w:tcPr>
          <w:p w:rsidR="002A7C5D" w:rsidRPr="00C62790" w:rsidRDefault="002A7C5D" w:rsidP="000306C3">
            <w:pPr>
              <w:autoSpaceDE w:val="0"/>
              <w:autoSpaceDN w:val="0"/>
              <w:adjustRightInd w:val="0"/>
              <w:snapToGrid w:val="0"/>
              <w:spacing w:after="120"/>
              <w:rPr>
                <w:sz w:val="18"/>
                <w:szCs w:val="18"/>
              </w:rPr>
            </w:pPr>
          </w:p>
        </w:tc>
        <w:tc>
          <w:tcPr>
            <w:tcW w:w="4679" w:type="dxa"/>
          </w:tcPr>
          <w:p w:rsidR="002A7C5D" w:rsidRPr="00C62790" w:rsidRDefault="002A7C5D" w:rsidP="000306C3">
            <w:pPr>
              <w:tabs>
                <w:tab w:val="left" w:pos="720"/>
              </w:tabs>
              <w:snapToGrid w:val="0"/>
              <w:spacing w:after="120"/>
              <w:rPr>
                <w:iCs/>
                <w:sz w:val="18"/>
                <w:szCs w:val="18"/>
              </w:rPr>
            </w:pPr>
            <w:r w:rsidRPr="00C62790">
              <w:rPr>
                <w:sz w:val="18"/>
                <w:szCs w:val="18"/>
              </w:rPr>
              <w:t>Ventes de préparations (produit fini)</w:t>
            </w:r>
            <w:r>
              <w:rPr>
                <w:sz w:val="18"/>
                <w:szCs w:val="18"/>
              </w:rPr>
              <w:t> </w:t>
            </w:r>
            <w:r w:rsidRPr="00C62790">
              <w:rPr>
                <w:sz w:val="18"/>
                <w:szCs w:val="18"/>
              </w:rPr>
              <w:t>: 6,72</w:t>
            </w:r>
            <w:r>
              <w:rPr>
                <w:sz w:val="18"/>
                <w:szCs w:val="18"/>
              </w:rPr>
              <w:t> </w:t>
            </w:r>
            <w:r w:rsidRPr="00C62790">
              <w:rPr>
                <w:sz w:val="18"/>
                <w:szCs w:val="18"/>
              </w:rPr>
              <w:t>t</w:t>
            </w:r>
          </w:p>
        </w:tc>
        <w:tc>
          <w:tcPr>
            <w:tcW w:w="2409" w:type="dxa"/>
          </w:tcPr>
          <w:p w:rsidR="002A7C5D" w:rsidRPr="00C62790" w:rsidRDefault="002A7C5D" w:rsidP="000306C3">
            <w:pPr>
              <w:tabs>
                <w:tab w:val="left" w:pos="720"/>
              </w:tabs>
              <w:snapToGrid w:val="0"/>
              <w:spacing w:after="120"/>
              <w:rPr>
                <w:iCs/>
                <w:sz w:val="18"/>
                <w:szCs w:val="18"/>
              </w:rPr>
            </w:pPr>
            <w:r w:rsidRPr="00C62790">
              <w:rPr>
                <w:iCs/>
                <w:sz w:val="18"/>
                <w:szCs w:val="18"/>
              </w:rPr>
              <w:t>2010</w:t>
            </w:r>
          </w:p>
        </w:tc>
      </w:tr>
      <w:tr w:rsidR="002A7C5D" w:rsidRPr="00C62790" w:rsidTr="000306C3">
        <w:tc>
          <w:tcPr>
            <w:tcW w:w="1150" w:type="dxa"/>
            <w:vMerge/>
          </w:tcPr>
          <w:p w:rsidR="002A7C5D" w:rsidRPr="00C62790" w:rsidRDefault="002A7C5D" w:rsidP="000306C3">
            <w:pPr>
              <w:autoSpaceDE w:val="0"/>
              <w:autoSpaceDN w:val="0"/>
              <w:adjustRightInd w:val="0"/>
              <w:snapToGrid w:val="0"/>
              <w:spacing w:after="120"/>
              <w:rPr>
                <w:sz w:val="18"/>
                <w:szCs w:val="18"/>
              </w:rPr>
            </w:pPr>
          </w:p>
        </w:tc>
        <w:tc>
          <w:tcPr>
            <w:tcW w:w="4679" w:type="dxa"/>
          </w:tcPr>
          <w:p w:rsidR="002A7C5D" w:rsidRPr="00C62790" w:rsidRDefault="002A7C5D" w:rsidP="000306C3">
            <w:pPr>
              <w:tabs>
                <w:tab w:val="left" w:pos="720"/>
              </w:tabs>
              <w:snapToGrid w:val="0"/>
              <w:spacing w:after="120"/>
              <w:rPr>
                <w:sz w:val="18"/>
                <w:szCs w:val="18"/>
              </w:rPr>
            </w:pPr>
            <w:r w:rsidRPr="00C62790">
              <w:rPr>
                <w:sz w:val="18"/>
                <w:szCs w:val="18"/>
              </w:rPr>
              <w:t>Ventes</w:t>
            </w:r>
            <w:r>
              <w:rPr>
                <w:sz w:val="18"/>
                <w:szCs w:val="18"/>
              </w:rPr>
              <w:t xml:space="preserve"> de préparations (produit fini) : 0,</w:t>
            </w:r>
            <w:r w:rsidRPr="00EC053F">
              <w:t>01t</w:t>
            </w:r>
          </w:p>
        </w:tc>
        <w:tc>
          <w:tcPr>
            <w:tcW w:w="2409" w:type="dxa"/>
          </w:tcPr>
          <w:p w:rsidR="002A7C5D" w:rsidRPr="00C62790" w:rsidRDefault="002A7C5D" w:rsidP="000306C3">
            <w:pPr>
              <w:tabs>
                <w:tab w:val="left" w:pos="720"/>
              </w:tabs>
              <w:snapToGrid w:val="0"/>
              <w:spacing w:after="120"/>
              <w:rPr>
                <w:iCs/>
                <w:sz w:val="18"/>
                <w:szCs w:val="18"/>
              </w:rPr>
            </w:pPr>
            <w:r w:rsidRPr="00C62790">
              <w:rPr>
                <w:iCs/>
                <w:sz w:val="18"/>
                <w:szCs w:val="18"/>
              </w:rPr>
              <w:t>2011</w:t>
            </w:r>
          </w:p>
        </w:tc>
      </w:tr>
      <w:tr w:rsidR="002A7C5D" w:rsidRPr="00C62790" w:rsidTr="000306C3">
        <w:tc>
          <w:tcPr>
            <w:tcW w:w="1150" w:type="dxa"/>
            <w:vMerge/>
          </w:tcPr>
          <w:p w:rsidR="002A7C5D" w:rsidRPr="00C62790" w:rsidRDefault="002A7C5D" w:rsidP="000306C3">
            <w:pPr>
              <w:autoSpaceDE w:val="0"/>
              <w:autoSpaceDN w:val="0"/>
              <w:adjustRightInd w:val="0"/>
              <w:snapToGrid w:val="0"/>
              <w:spacing w:after="120"/>
              <w:rPr>
                <w:sz w:val="18"/>
                <w:szCs w:val="18"/>
              </w:rPr>
            </w:pPr>
          </w:p>
        </w:tc>
        <w:tc>
          <w:tcPr>
            <w:tcW w:w="4679" w:type="dxa"/>
          </w:tcPr>
          <w:p w:rsidR="002A7C5D" w:rsidRPr="00C62790" w:rsidRDefault="002A7C5D" w:rsidP="000306C3">
            <w:pPr>
              <w:tabs>
                <w:tab w:val="left" w:pos="720"/>
              </w:tabs>
              <w:snapToGrid w:val="0"/>
              <w:spacing w:after="120"/>
              <w:rPr>
                <w:sz w:val="18"/>
                <w:szCs w:val="18"/>
              </w:rPr>
            </w:pPr>
            <w:r w:rsidRPr="00C62790">
              <w:rPr>
                <w:sz w:val="18"/>
                <w:szCs w:val="18"/>
              </w:rPr>
              <w:t>Pas de production, d</w:t>
            </w:r>
            <w:r>
              <w:rPr>
                <w:sz w:val="18"/>
                <w:szCs w:val="18"/>
              </w:rPr>
              <w:t>’</w:t>
            </w:r>
            <w:r w:rsidRPr="00C62790">
              <w:rPr>
                <w:sz w:val="18"/>
                <w:szCs w:val="18"/>
              </w:rPr>
              <w:t>importations, d</w:t>
            </w:r>
            <w:r>
              <w:rPr>
                <w:sz w:val="18"/>
                <w:szCs w:val="18"/>
              </w:rPr>
              <w:t>’</w:t>
            </w:r>
            <w:r w:rsidRPr="00C62790">
              <w:rPr>
                <w:sz w:val="18"/>
                <w:szCs w:val="18"/>
              </w:rPr>
              <w:t>exportations et de ventes.</w:t>
            </w:r>
          </w:p>
        </w:tc>
        <w:tc>
          <w:tcPr>
            <w:tcW w:w="2409" w:type="dxa"/>
          </w:tcPr>
          <w:p w:rsidR="002A7C5D" w:rsidRPr="00C62790" w:rsidRDefault="002A7C5D" w:rsidP="000306C3">
            <w:pPr>
              <w:tabs>
                <w:tab w:val="left" w:pos="720"/>
              </w:tabs>
              <w:snapToGrid w:val="0"/>
              <w:spacing w:after="120"/>
              <w:rPr>
                <w:iCs/>
                <w:sz w:val="18"/>
                <w:szCs w:val="18"/>
              </w:rPr>
            </w:pPr>
            <w:r w:rsidRPr="00C62790">
              <w:rPr>
                <w:iCs/>
                <w:sz w:val="18"/>
                <w:szCs w:val="18"/>
              </w:rPr>
              <w:t>2012, 2013, 2014, 2015</w:t>
            </w:r>
          </w:p>
        </w:tc>
      </w:tr>
    </w:tbl>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before="240" w:after="120"/>
        <w:ind w:left="1247" w:firstLine="0"/>
        <w:rPr>
          <w:snapToGrid w:val="0"/>
        </w:rPr>
      </w:pPr>
      <w:r w:rsidRPr="00C62790">
        <w:rPr>
          <w:snapToGrid w:val="0"/>
        </w:rPr>
        <w:t>Par conséquent, le Comité confir</w:t>
      </w:r>
      <w:r>
        <w:rPr>
          <w:snapToGrid w:val="0"/>
        </w:rPr>
        <w:t>me que le critère du paragraphe c) </w:t>
      </w:r>
      <w:r w:rsidRPr="00C62790">
        <w:rPr>
          <w:snapToGrid w:val="0"/>
        </w:rPr>
        <w:t xml:space="preserve">i) </w:t>
      </w:r>
      <w:r>
        <w:rPr>
          <w:snapToGrid w:val="0"/>
        </w:rPr>
        <w:t>est satisfait</w:t>
      </w:r>
      <w:r w:rsidRPr="00C62790">
        <w:rPr>
          <w:snapToGrid w:val="0"/>
        </w:rPr>
        <w:t xml:space="preserve">. </w:t>
      </w:r>
    </w:p>
    <w:p w:rsidR="002A7C5D" w:rsidRPr="00C62790" w:rsidRDefault="002A7C5D" w:rsidP="002A7C5D">
      <w:pPr>
        <w:pStyle w:val="Normal-pool"/>
        <w:tabs>
          <w:tab w:val="clear" w:pos="1247"/>
          <w:tab w:val="clear" w:pos="1814"/>
          <w:tab w:val="clear" w:pos="2381"/>
          <w:tab w:val="clear" w:pos="2948"/>
          <w:tab w:val="clear" w:pos="3515"/>
          <w:tab w:val="clear" w:pos="4082"/>
          <w:tab w:val="left" w:pos="624"/>
        </w:tabs>
        <w:spacing w:after="120"/>
        <w:ind w:left="2495" w:hanging="624"/>
        <w:rPr>
          <w:i/>
          <w:lang w:val="fr-FR"/>
        </w:rPr>
      </w:pPr>
      <w:r w:rsidRPr="00C62790">
        <w:rPr>
          <w:i/>
          <w:lang w:val="fr-FR"/>
        </w:rPr>
        <w:t>ii)</w:t>
      </w:r>
      <w:r w:rsidRPr="00C62790">
        <w:rPr>
          <w:i/>
          <w:lang w:val="fr-FR"/>
        </w:rPr>
        <w:tab/>
        <w:t>Si l</w:t>
      </w:r>
      <w:r>
        <w:rPr>
          <w:i/>
          <w:lang w:val="fr-FR"/>
        </w:rPr>
        <w:t>’</w:t>
      </w:r>
      <w:r w:rsidRPr="00C62790">
        <w:rPr>
          <w:i/>
          <w:lang w:val="fr-FR"/>
        </w:rPr>
        <w:t>application de la mesure de réglementation finale a effectivement entraîné, ou devrait entraîner, une diminution importante des risques pesant sur la santé des personnes ou sur l</w:t>
      </w:r>
      <w:r>
        <w:rPr>
          <w:i/>
          <w:lang w:val="fr-FR"/>
        </w:rPr>
        <w:t>’</w:t>
      </w:r>
      <w:r w:rsidRPr="00C62790">
        <w:rPr>
          <w:i/>
          <w:lang w:val="fr-FR"/>
        </w:rPr>
        <w:t>environnement dans la Part</w:t>
      </w:r>
      <w:r>
        <w:rPr>
          <w:i/>
          <w:lang w:val="fr-FR"/>
        </w:rPr>
        <w:t>ie qui a soumis la notification </w:t>
      </w:r>
      <w:r w:rsidRPr="00C62790">
        <w:rPr>
          <w:i/>
          <w:lang w:val="fr-FR"/>
        </w:rPr>
        <w:t xml:space="preserv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iCs/>
        </w:rPr>
        <w:t>La mesure de réglementation finale interdit la production, l</w:t>
      </w:r>
      <w:r>
        <w:rPr>
          <w:iCs/>
        </w:rPr>
        <w:t>’</w:t>
      </w:r>
      <w:r w:rsidRPr="00C62790">
        <w:rPr>
          <w:iCs/>
        </w:rPr>
        <w:t>utilisation, le commerce, l</w:t>
      </w:r>
      <w:r>
        <w:rPr>
          <w:iCs/>
        </w:rPr>
        <w:t>’</w:t>
      </w:r>
      <w:r w:rsidRPr="00C62790">
        <w:rPr>
          <w:iCs/>
        </w:rPr>
        <w:t>importation et l</w:t>
      </w:r>
      <w:r>
        <w:rPr>
          <w:iCs/>
        </w:rPr>
        <w:t>’</w:t>
      </w:r>
      <w:r w:rsidRPr="00C62790">
        <w:rPr>
          <w:iCs/>
        </w:rPr>
        <w:t xml:space="preserve">exportation de </w:t>
      </w:r>
      <w:proofErr w:type="spellStart"/>
      <w:r w:rsidRPr="00C62790">
        <w:rPr>
          <w:iCs/>
        </w:rPr>
        <w:t>phorate</w:t>
      </w:r>
      <w:proofErr w:type="spellEnd"/>
      <w:r w:rsidRPr="00C62790">
        <w:rPr>
          <w:iCs/>
        </w:rPr>
        <w:t>. Les i</w:t>
      </w:r>
      <w:r w:rsidRPr="00C62790">
        <w:rPr>
          <w:snapToGrid w:val="0"/>
        </w:rPr>
        <w:t xml:space="preserve">nformations présentées dans la </w:t>
      </w:r>
      <w:r>
        <w:rPr>
          <w:iCs/>
        </w:rPr>
        <w:t>section </w:t>
      </w:r>
      <w:r w:rsidRPr="00C62790">
        <w:rPr>
          <w:iCs/>
        </w:rPr>
        <w:t>2.5.1 de la notification et dans la documentation à l</w:t>
      </w:r>
      <w:r>
        <w:rPr>
          <w:iCs/>
        </w:rPr>
        <w:t>’</w:t>
      </w:r>
      <w:r w:rsidRPr="00C62790">
        <w:rPr>
          <w:iCs/>
        </w:rPr>
        <w:t xml:space="preserve">appui confirment que plus aucune quantité de </w:t>
      </w:r>
      <w:proofErr w:type="spellStart"/>
      <w:r w:rsidRPr="00C62790">
        <w:rPr>
          <w:iCs/>
        </w:rPr>
        <w:t>phorate</w:t>
      </w:r>
      <w:proofErr w:type="spellEnd"/>
      <w:r w:rsidRPr="00C62790">
        <w:rPr>
          <w:iCs/>
        </w:rPr>
        <w:t xml:space="preserve"> n</w:t>
      </w:r>
      <w:r>
        <w:rPr>
          <w:iCs/>
        </w:rPr>
        <w:t>’</w:t>
      </w:r>
      <w:r w:rsidRPr="00C62790">
        <w:rPr>
          <w:iCs/>
        </w:rPr>
        <w:t xml:space="preserve">est produite et mise sur le marché au Brésil. Par suite, les risques pour la santé humaine associés au </w:t>
      </w:r>
      <w:proofErr w:type="spellStart"/>
      <w:r w:rsidRPr="00C62790">
        <w:rPr>
          <w:iCs/>
        </w:rPr>
        <w:t>phorate</w:t>
      </w:r>
      <w:proofErr w:type="spellEnd"/>
      <w:r w:rsidRPr="00C62790">
        <w:rPr>
          <w:iCs/>
        </w:rPr>
        <w:t xml:space="preserve"> ont sensiblement</w:t>
      </w:r>
      <w:r>
        <w:rPr>
          <w:iCs/>
        </w:rPr>
        <w:t xml:space="preserve"> baissé</w:t>
      </w:r>
      <w:r w:rsidRPr="00C62790">
        <w:rPr>
          <w:snapToGrid w:val="0"/>
        </w:rPr>
        <w:t>.</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Par conséquent, le Comité confir</w:t>
      </w:r>
      <w:r>
        <w:rPr>
          <w:snapToGrid w:val="0"/>
        </w:rPr>
        <w:t>me que le critère du paragraphe </w:t>
      </w:r>
      <w:r w:rsidRPr="00C62790">
        <w:rPr>
          <w:snapToGrid w:val="0"/>
        </w:rPr>
        <w:t>c)</w:t>
      </w:r>
      <w:r>
        <w:rPr>
          <w:snapToGrid w:val="0"/>
        </w:rPr>
        <w:t> </w:t>
      </w:r>
      <w:r w:rsidRPr="00C62790">
        <w:rPr>
          <w:snapToGrid w:val="0"/>
        </w:rPr>
        <w:t>ii)</w:t>
      </w:r>
      <w:r>
        <w:rPr>
          <w:snapToGrid w:val="0"/>
        </w:rPr>
        <w:t xml:space="preserve"> est satisfait</w:t>
      </w:r>
      <w:r w:rsidRPr="00C62790">
        <w:rPr>
          <w:snapToGrid w:val="0"/>
        </w:rPr>
        <w:t xml:space="preserve">. </w:t>
      </w:r>
    </w:p>
    <w:p w:rsidR="002A7C5D" w:rsidRPr="00C62790" w:rsidRDefault="002A7C5D" w:rsidP="002A7C5D">
      <w:pPr>
        <w:pStyle w:val="Normal-pool"/>
        <w:tabs>
          <w:tab w:val="clear" w:pos="1247"/>
          <w:tab w:val="clear" w:pos="1814"/>
          <w:tab w:val="clear" w:pos="2381"/>
          <w:tab w:val="clear" w:pos="2948"/>
          <w:tab w:val="clear" w:pos="3515"/>
          <w:tab w:val="clear" w:pos="4082"/>
          <w:tab w:val="left" w:pos="624"/>
        </w:tabs>
        <w:spacing w:after="120"/>
        <w:ind w:left="2495" w:hanging="624"/>
        <w:rPr>
          <w:i/>
          <w:lang w:val="fr-FR"/>
        </w:rPr>
      </w:pPr>
      <w:r w:rsidRPr="00C62790">
        <w:rPr>
          <w:i/>
          <w:lang w:val="fr-FR"/>
        </w:rPr>
        <w:t>iii)</w:t>
      </w:r>
      <w:r w:rsidRPr="00C62790">
        <w:rPr>
          <w:i/>
          <w:lang w:val="fr-FR"/>
        </w:rPr>
        <w:tab/>
        <w:t>Si les considérations à l</w:t>
      </w:r>
      <w:r>
        <w:rPr>
          <w:i/>
          <w:lang w:val="fr-FR"/>
        </w:rPr>
        <w:t>’</w:t>
      </w:r>
      <w:r w:rsidRPr="00C62790">
        <w:rPr>
          <w:i/>
          <w:lang w:val="fr-FR"/>
        </w:rPr>
        <w:t>origine de la mesure de réglementation finale valent uniquement pour une zone géographique particuli</w:t>
      </w:r>
      <w:r>
        <w:rPr>
          <w:i/>
          <w:lang w:val="fr-FR"/>
        </w:rPr>
        <w:t>ère ou pour d’autres cas précis </w:t>
      </w:r>
      <w:r w:rsidRPr="00C62790">
        <w:rPr>
          <w:i/>
          <w:lang w:val="fr-FR"/>
        </w:rPr>
        <w:t xml:space="preserv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La se</w:t>
      </w:r>
      <w:r>
        <w:rPr>
          <w:snapToGrid w:val="0"/>
        </w:rPr>
        <w:t>ction </w:t>
      </w:r>
      <w:r w:rsidRPr="00C62790">
        <w:rPr>
          <w:snapToGrid w:val="0"/>
        </w:rPr>
        <w:t>2.5.2 de la notification indique que des problèmes analogues pour la santé et l</w:t>
      </w:r>
      <w:r>
        <w:rPr>
          <w:snapToGrid w:val="0"/>
        </w:rPr>
        <w:t>’</w:t>
      </w:r>
      <w:r w:rsidRPr="00C62790">
        <w:rPr>
          <w:snapToGrid w:val="0"/>
        </w:rPr>
        <w:t>environnement pourraient probablement apparaître dans d</w:t>
      </w:r>
      <w:r>
        <w:rPr>
          <w:snapToGrid w:val="0"/>
        </w:rPr>
        <w:t>’</w:t>
      </w:r>
      <w:r w:rsidRPr="00C62790">
        <w:rPr>
          <w:snapToGrid w:val="0"/>
        </w:rPr>
        <w:t>autres pays où la substance est utilisée.</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Dans la documentation à l</w:t>
      </w:r>
      <w:r>
        <w:rPr>
          <w:snapToGrid w:val="0"/>
        </w:rPr>
        <w:t>’</w:t>
      </w:r>
      <w:r w:rsidRPr="00C62790">
        <w:rPr>
          <w:snapToGrid w:val="0"/>
        </w:rPr>
        <w:t>appui (</w:t>
      </w:r>
      <w:r>
        <w:rPr>
          <w:snapToGrid w:val="0"/>
        </w:rPr>
        <w:t>voir le</w:t>
      </w:r>
      <w:r w:rsidRPr="00C62790">
        <w:rPr>
          <w:snapToGrid w:val="0"/>
        </w:rPr>
        <w:t xml:space="preserve"> document </w:t>
      </w:r>
      <w:r>
        <w:rPr>
          <w:snapToGrid w:val="0"/>
        </w:rPr>
        <w:t>UNEP/FAO/RC/CRC.13/INF/29, p. </w:t>
      </w:r>
      <w:r w:rsidRPr="00C62790">
        <w:rPr>
          <w:snapToGrid w:val="0"/>
        </w:rPr>
        <w:t>22), il est préconisé que tous les pays envisagent de restreindre l</w:t>
      </w:r>
      <w:r>
        <w:rPr>
          <w:snapToGrid w:val="0"/>
        </w:rPr>
        <w:t>’</w:t>
      </w:r>
      <w:r w:rsidRPr="00C62790">
        <w:rPr>
          <w:snapToGrid w:val="0"/>
        </w:rPr>
        <w:t xml:space="preserve">utilisation du </w:t>
      </w:r>
      <w:proofErr w:type="spellStart"/>
      <w:r w:rsidRPr="00C62790">
        <w:rPr>
          <w:snapToGrid w:val="0"/>
        </w:rPr>
        <w:t>phorate</w:t>
      </w:r>
      <w:proofErr w:type="spellEnd"/>
      <w:r w:rsidRPr="00C62790">
        <w:rPr>
          <w:snapToGrid w:val="0"/>
        </w:rPr>
        <w:t xml:space="preserve"> compte tenu des risques élevés liés à toutes ses utilisations et de tous les effets toxicologiques associés au principe actif, d</w:t>
      </w:r>
      <w:r>
        <w:rPr>
          <w:snapToGrid w:val="0"/>
        </w:rPr>
        <w:t>’</w:t>
      </w:r>
      <w:r w:rsidRPr="00C62790">
        <w:rPr>
          <w:snapToGrid w:val="0"/>
        </w:rPr>
        <w:t>autant que la substance possède des propriétés plus toxiques pour l</w:t>
      </w:r>
      <w:r>
        <w:rPr>
          <w:snapToGrid w:val="0"/>
        </w:rPr>
        <w:t>’</w:t>
      </w:r>
      <w:r w:rsidRPr="00C62790">
        <w:rPr>
          <w:snapToGrid w:val="0"/>
        </w:rPr>
        <w:t>homme</w:t>
      </w:r>
      <w:r>
        <w:rPr>
          <w:snapToGrid w:val="0"/>
        </w:rPr>
        <w:t xml:space="preserve"> que ne le laissent conclure les essais effectué</w:t>
      </w:r>
      <w:r w:rsidRPr="00C62790">
        <w:rPr>
          <w:snapToGrid w:val="0"/>
        </w:rPr>
        <w:t>s sur des animaux de laboratoire, qu</w:t>
      </w:r>
      <w:r>
        <w:rPr>
          <w:snapToGrid w:val="0"/>
        </w:rPr>
        <w:t>’</w:t>
      </w:r>
      <w:r w:rsidRPr="00C62790">
        <w:rPr>
          <w:snapToGrid w:val="0"/>
        </w:rPr>
        <w:t>elle est un perturbateur endocrinien et qu</w:t>
      </w:r>
      <w:r>
        <w:rPr>
          <w:snapToGrid w:val="0"/>
        </w:rPr>
        <w:t>’</w:t>
      </w:r>
      <w:r w:rsidRPr="00C62790">
        <w:rPr>
          <w:snapToGrid w:val="0"/>
        </w:rPr>
        <w:t>il n</w:t>
      </w:r>
      <w:r>
        <w:rPr>
          <w:snapToGrid w:val="0"/>
        </w:rPr>
        <w:t>’</w:t>
      </w:r>
      <w:r w:rsidRPr="00C62790">
        <w:rPr>
          <w:snapToGrid w:val="0"/>
        </w:rPr>
        <w:t>existe pas d</w:t>
      </w:r>
      <w:r>
        <w:rPr>
          <w:snapToGrid w:val="0"/>
        </w:rPr>
        <w:t>’</w:t>
      </w:r>
      <w:r w:rsidRPr="00C62790">
        <w:rPr>
          <w:snapToGrid w:val="0"/>
        </w:rPr>
        <w:t xml:space="preserve">antidote ni de traitement effectif en cas de </w:t>
      </w:r>
      <w:proofErr w:type="spellStart"/>
      <w:r w:rsidRPr="00C62790">
        <w:rPr>
          <w:snapToGrid w:val="0"/>
        </w:rPr>
        <w:t>polyneuropathie</w:t>
      </w:r>
      <w:proofErr w:type="spellEnd"/>
      <w:r w:rsidRPr="00C62790">
        <w:rPr>
          <w:snapToGrid w:val="0"/>
        </w:rPr>
        <w:t xml:space="preserv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Les considérations qui ont conduit le Brésil à interdire la production, l</w:t>
      </w:r>
      <w:r>
        <w:rPr>
          <w:snapToGrid w:val="0"/>
        </w:rPr>
        <w:t>’</w:t>
      </w:r>
      <w:r w:rsidRPr="00C62790">
        <w:rPr>
          <w:snapToGrid w:val="0"/>
        </w:rPr>
        <w:t>utilisation, la vente, l</w:t>
      </w:r>
      <w:r>
        <w:rPr>
          <w:snapToGrid w:val="0"/>
        </w:rPr>
        <w:t>’</w:t>
      </w:r>
      <w:r w:rsidRPr="00C62790">
        <w:rPr>
          <w:snapToGrid w:val="0"/>
        </w:rPr>
        <w:t>exportation et l</w:t>
      </w:r>
      <w:r>
        <w:rPr>
          <w:snapToGrid w:val="0"/>
        </w:rPr>
        <w:t>’</w:t>
      </w:r>
      <w:r w:rsidRPr="00C62790">
        <w:rPr>
          <w:snapToGrid w:val="0"/>
        </w:rPr>
        <w:t xml:space="preserve">importation de </w:t>
      </w:r>
      <w:proofErr w:type="spellStart"/>
      <w:r w:rsidRPr="00C62790">
        <w:rPr>
          <w:snapToGrid w:val="0"/>
        </w:rPr>
        <w:t>phorate</w:t>
      </w:r>
      <w:proofErr w:type="spellEnd"/>
      <w:r w:rsidRPr="00C62790">
        <w:rPr>
          <w:snapToGrid w:val="0"/>
        </w:rPr>
        <w:t xml:space="preserve"> peuvent s</w:t>
      </w:r>
      <w:r>
        <w:rPr>
          <w:snapToGrid w:val="0"/>
        </w:rPr>
        <w:t>’</w:t>
      </w:r>
      <w:r w:rsidRPr="00C62790">
        <w:rPr>
          <w:snapToGrid w:val="0"/>
        </w:rPr>
        <w:t>appliquer à tous les pays où le principe actif continue d</w:t>
      </w:r>
      <w:r>
        <w:rPr>
          <w:snapToGrid w:val="0"/>
        </w:rPr>
        <w:t>’</w:t>
      </w:r>
      <w:r w:rsidRPr="00C62790">
        <w:rPr>
          <w:snapToGrid w:val="0"/>
        </w:rPr>
        <w:t>être utilisé comme pesticide.</w:t>
      </w:r>
    </w:p>
    <w:p w:rsidR="002A7C5D" w:rsidRPr="00C62790" w:rsidRDefault="002A7C5D" w:rsidP="002A7C5D">
      <w:pPr>
        <w:keepNext/>
        <w:keepLines/>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Par conséquent, le Comité confirme que le critère du paragraphe</w:t>
      </w:r>
      <w:r>
        <w:rPr>
          <w:snapToGrid w:val="0"/>
        </w:rPr>
        <w:t> </w:t>
      </w:r>
      <w:r w:rsidRPr="00C62790">
        <w:rPr>
          <w:snapToGrid w:val="0"/>
        </w:rPr>
        <w:t>c)</w:t>
      </w:r>
      <w:r>
        <w:rPr>
          <w:snapToGrid w:val="0"/>
        </w:rPr>
        <w:t> </w:t>
      </w:r>
      <w:r w:rsidRPr="00C62790">
        <w:rPr>
          <w:snapToGrid w:val="0"/>
        </w:rPr>
        <w:t>iv)</w:t>
      </w:r>
      <w:r>
        <w:rPr>
          <w:snapToGrid w:val="0"/>
        </w:rPr>
        <w:t xml:space="preserve"> est satisfait</w:t>
      </w:r>
      <w:r w:rsidRPr="00C62790">
        <w:rPr>
          <w:snapToGrid w:val="0"/>
        </w:rPr>
        <w:t xml:space="preserve">. </w:t>
      </w:r>
    </w:p>
    <w:p w:rsidR="002A7C5D" w:rsidRPr="00C62790" w:rsidRDefault="002A7C5D" w:rsidP="002A7C5D">
      <w:pPr>
        <w:pStyle w:val="Normal-pool"/>
        <w:keepNext/>
        <w:keepLines/>
        <w:tabs>
          <w:tab w:val="clear" w:pos="1247"/>
          <w:tab w:val="clear" w:pos="1814"/>
          <w:tab w:val="clear" w:pos="2381"/>
          <w:tab w:val="clear" w:pos="2948"/>
          <w:tab w:val="clear" w:pos="3515"/>
          <w:tab w:val="clear" w:pos="4082"/>
          <w:tab w:val="left" w:pos="624"/>
        </w:tabs>
        <w:spacing w:after="120"/>
        <w:ind w:left="2495" w:hanging="624"/>
        <w:rPr>
          <w:i/>
          <w:lang w:val="fr-FR"/>
        </w:rPr>
      </w:pPr>
      <w:r w:rsidRPr="00C62790">
        <w:rPr>
          <w:i/>
          <w:lang w:val="fr-FR"/>
        </w:rPr>
        <w:t>iv)</w:t>
      </w:r>
      <w:r w:rsidRPr="00C62790">
        <w:rPr>
          <w:i/>
          <w:lang w:val="fr-FR"/>
        </w:rPr>
        <w:tab/>
        <w:t>S</w:t>
      </w:r>
      <w:r>
        <w:rPr>
          <w:i/>
          <w:lang w:val="fr-FR"/>
        </w:rPr>
        <w:t>’</w:t>
      </w:r>
      <w:r w:rsidRPr="00C62790">
        <w:rPr>
          <w:i/>
          <w:lang w:val="fr-FR"/>
        </w:rPr>
        <w:t>il est prouvé que le produit chimique considéré fait l</w:t>
      </w:r>
      <w:r>
        <w:rPr>
          <w:i/>
          <w:lang w:val="fr-FR"/>
        </w:rPr>
        <w:t>’</w:t>
      </w:r>
      <w:r w:rsidRPr="00C62790">
        <w:rPr>
          <w:i/>
          <w:lang w:val="fr-FR"/>
        </w:rPr>
        <w:t>objet d</w:t>
      </w:r>
      <w:r>
        <w:rPr>
          <w:i/>
          <w:lang w:val="fr-FR"/>
        </w:rPr>
        <w:t>’</w:t>
      </w:r>
      <w:r w:rsidRPr="00C62790">
        <w:rPr>
          <w:i/>
          <w:lang w:val="fr-FR"/>
        </w:rPr>
        <w:t>échanges commerciaux internationaux</w:t>
      </w:r>
      <w:r>
        <w:rPr>
          <w:i/>
          <w:lang w:val="fr-FR"/>
        </w:rPr>
        <w:t> </w:t>
      </w:r>
      <w:r w:rsidRPr="00C62790">
        <w:rPr>
          <w:i/>
          <w:lang w:val="fr-FR"/>
        </w:rPr>
        <w:t xml:space="preserve">; </w:t>
      </w:r>
    </w:p>
    <w:p w:rsidR="002A7C5D" w:rsidRPr="00C62790" w:rsidRDefault="002A7C5D" w:rsidP="002A7C5D">
      <w:pPr>
        <w:keepNext/>
        <w:keepLines/>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Dans le document UNEP/FAO/RC/CRC.13/INF/5, qui contient des réponses aux questions du Secrétariat concernant le paragraphe</w:t>
      </w:r>
      <w:r>
        <w:rPr>
          <w:snapToGrid w:val="0"/>
        </w:rPr>
        <w:t> </w:t>
      </w:r>
      <w:r w:rsidRPr="00C62790">
        <w:rPr>
          <w:snapToGrid w:val="0"/>
        </w:rPr>
        <w:t>c)</w:t>
      </w:r>
      <w:r>
        <w:rPr>
          <w:snapToGrid w:val="0"/>
        </w:rPr>
        <w:t> </w:t>
      </w:r>
      <w:r w:rsidRPr="00C62790">
        <w:rPr>
          <w:snapToGrid w:val="0"/>
        </w:rPr>
        <w:t>iv) de l</w:t>
      </w:r>
      <w:r>
        <w:rPr>
          <w:snapToGrid w:val="0"/>
        </w:rPr>
        <w:t>’Annexe </w:t>
      </w:r>
      <w:r w:rsidRPr="00C62790">
        <w:rPr>
          <w:snapToGrid w:val="0"/>
        </w:rPr>
        <w:t xml:space="preserve">II </w:t>
      </w:r>
      <w:r>
        <w:rPr>
          <w:snapToGrid w:val="0"/>
        </w:rPr>
        <w:t>de</w:t>
      </w:r>
      <w:r w:rsidRPr="00C62790">
        <w:rPr>
          <w:snapToGrid w:val="0"/>
        </w:rPr>
        <w:t xml:space="preserve"> la Convention relatif aux échanges commerciaux, les informations présentées par l</w:t>
      </w:r>
      <w:r>
        <w:rPr>
          <w:snapToGrid w:val="0"/>
        </w:rPr>
        <w:t>’</w:t>
      </w:r>
      <w:r w:rsidRPr="00C62790">
        <w:rPr>
          <w:snapToGrid w:val="0"/>
        </w:rPr>
        <w:t xml:space="preserve">organisation </w:t>
      </w:r>
      <w:proofErr w:type="spellStart"/>
      <w:r w:rsidRPr="00C62790">
        <w:rPr>
          <w:snapToGrid w:val="0"/>
        </w:rPr>
        <w:t>CropLife</w:t>
      </w:r>
      <w:proofErr w:type="spellEnd"/>
      <w:r w:rsidRPr="00C62790">
        <w:rPr>
          <w:snapToGrid w:val="0"/>
        </w:rPr>
        <w:t xml:space="preserve"> International confirment la poursuite du commerce de </w:t>
      </w:r>
      <w:proofErr w:type="spellStart"/>
      <w:r w:rsidRPr="00C62790">
        <w:rPr>
          <w:snapToGrid w:val="0"/>
        </w:rPr>
        <w:t>phorate</w:t>
      </w:r>
      <w:proofErr w:type="spellEnd"/>
      <w:r w:rsidRPr="00C62790">
        <w:rPr>
          <w:snapToGrid w:val="0"/>
        </w:rPr>
        <w:t xml:space="preserve">.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La poursuite des échanges commerciaux est aussi attestée par la présence d</w:t>
      </w:r>
      <w:r>
        <w:rPr>
          <w:snapToGrid w:val="0"/>
        </w:rPr>
        <w:t>’</w:t>
      </w:r>
      <w:r w:rsidRPr="00C62790">
        <w:rPr>
          <w:snapToGrid w:val="0"/>
        </w:rPr>
        <w:t xml:space="preserve">offres de ventes en ligne de </w:t>
      </w:r>
      <w:proofErr w:type="spellStart"/>
      <w:r w:rsidRPr="00C62790">
        <w:rPr>
          <w:snapToGrid w:val="0"/>
        </w:rPr>
        <w:t>phorate</w:t>
      </w:r>
      <w:proofErr w:type="spellEnd"/>
      <w:r w:rsidRPr="00C62790">
        <w:rPr>
          <w:snapToGrid w:val="0"/>
        </w:rPr>
        <w:t xml:space="preserve"> (https://www.tradeindia.com/suppliers/phorate.html).</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snapToGrid w:val="0"/>
        </w:rPr>
      </w:pPr>
      <w:r w:rsidRPr="00C62790">
        <w:rPr>
          <w:snapToGrid w:val="0"/>
        </w:rPr>
        <w:t>Par conséquent, le Comité confir</w:t>
      </w:r>
      <w:r>
        <w:rPr>
          <w:snapToGrid w:val="0"/>
        </w:rPr>
        <w:t>me que le critère du paragraphe </w:t>
      </w:r>
      <w:r w:rsidRPr="00C62790">
        <w:rPr>
          <w:snapToGrid w:val="0"/>
        </w:rPr>
        <w:t>c)</w:t>
      </w:r>
      <w:r>
        <w:rPr>
          <w:snapToGrid w:val="0"/>
        </w:rPr>
        <w:t> </w:t>
      </w:r>
      <w:r w:rsidRPr="00C62790">
        <w:rPr>
          <w:snapToGrid w:val="0"/>
        </w:rPr>
        <w:t xml:space="preserve">iv) </w:t>
      </w:r>
      <w:r>
        <w:rPr>
          <w:snapToGrid w:val="0"/>
        </w:rPr>
        <w:t>est satisfait</w:t>
      </w:r>
      <w:r w:rsidRPr="00C62790">
        <w:rPr>
          <w:snapToGrid w:val="0"/>
        </w:rPr>
        <w:t>.</w:t>
      </w:r>
    </w:p>
    <w:p w:rsidR="002A7C5D" w:rsidRPr="00C62790" w:rsidRDefault="002A7C5D" w:rsidP="002A7C5D">
      <w:pPr>
        <w:pStyle w:val="CH3"/>
        <w:rPr>
          <w:lang w:val="fr-FR"/>
        </w:rPr>
      </w:pPr>
      <w:r w:rsidRPr="00C62790">
        <w:rPr>
          <w:lang w:val="fr-FR"/>
        </w:rPr>
        <w:lastRenderedPageBreak/>
        <w:tab/>
        <w:t>e)</w:t>
      </w:r>
      <w:r w:rsidRPr="00C62790">
        <w:rPr>
          <w:lang w:val="fr-FR"/>
        </w:rPr>
        <w:tab/>
      </w:r>
      <w:r>
        <w:rPr>
          <w:lang w:val="fr-FR"/>
        </w:rPr>
        <w:t>Critère du paragraphe </w:t>
      </w:r>
      <w:r w:rsidRPr="00C62790">
        <w:rPr>
          <w:lang w:val="fr-FR"/>
        </w:rPr>
        <w:t>d) de l</w:t>
      </w:r>
      <w:r>
        <w:rPr>
          <w:lang w:val="fr-FR"/>
        </w:rPr>
        <w:t>’</w:t>
      </w:r>
      <w:r w:rsidRPr="00C62790">
        <w:rPr>
          <w:lang w:val="fr-FR"/>
        </w:rPr>
        <w:t>Annexe</w:t>
      </w:r>
      <w:r>
        <w:rPr>
          <w:lang w:val="fr-FR"/>
        </w:rPr>
        <w:t> </w:t>
      </w:r>
      <w:r w:rsidRPr="00C62790">
        <w:rPr>
          <w:lang w:val="fr-FR"/>
        </w:rPr>
        <w:t>II</w:t>
      </w:r>
    </w:p>
    <w:p w:rsidR="002A7C5D" w:rsidRPr="00C62790" w:rsidRDefault="002A7C5D" w:rsidP="002A7C5D">
      <w:pPr>
        <w:keepNext/>
        <w:keepLines/>
        <w:widowControl w:val="0"/>
        <w:tabs>
          <w:tab w:val="left" w:pos="624"/>
          <w:tab w:val="left" w:pos="2520"/>
        </w:tabs>
        <w:snapToGrid w:val="0"/>
        <w:spacing w:after="120"/>
        <w:ind w:left="1247" w:firstLine="624"/>
        <w:rPr>
          <w:i/>
        </w:rPr>
      </w:pPr>
      <w:r w:rsidRPr="00C62790">
        <w:rPr>
          <w:i/>
        </w:rPr>
        <w:t>d)</w:t>
      </w:r>
      <w:r w:rsidRPr="00C62790">
        <w:rPr>
          <w:i/>
        </w:rPr>
        <w:tab/>
        <w:t>Tient compte du fait qu</w:t>
      </w:r>
      <w:r>
        <w:rPr>
          <w:i/>
        </w:rPr>
        <w:t>’</w:t>
      </w:r>
      <w:r w:rsidRPr="00C62790">
        <w:rPr>
          <w:i/>
        </w:rPr>
        <w:t>un abus intentionnel ne constitue pas en soi une raison suffisante pour inscrire un produit chimique à l</w:t>
      </w:r>
      <w:r>
        <w:rPr>
          <w:i/>
        </w:rPr>
        <w:t>’</w:t>
      </w:r>
      <w:r w:rsidRPr="00C62790">
        <w:rPr>
          <w:i/>
        </w:rPr>
        <w:t>Annexe</w:t>
      </w:r>
      <w:r>
        <w:rPr>
          <w:i/>
        </w:rPr>
        <w:t> </w:t>
      </w:r>
      <w:r w:rsidRPr="00C62790">
        <w:rPr>
          <w:i/>
        </w:rPr>
        <w:t xml:space="preserve">III. </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rFonts w:eastAsia="SimSun"/>
          <w:iCs/>
          <w:snapToGrid w:val="0"/>
          <w:lang w:eastAsia="zh-CN"/>
        </w:rPr>
      </w:pPr>
      <w:r w:rsidRPr="00C62790">
        <w:t>Aucun élément de la notification ou de la documentation à l</w:t>
      </w:r>
      <w:r>
        <w:t>’</w:t>
      </w:r>
      <w:r w:rsidRPr="00C62790">
        <w:t>appui n</w:t>
      </w:r>
      <w:r>
        <w:t>’</w:t>
      </w:r>
      <w:r w:rsidRPr="00C62790">
        <w:t>indique que la mesure de réglementation a été motivée par des préoccupations concernant l</w:t>
      </w:r>
      <w:r>
        <w:t>’</w:t>
      </w:r>
      <w:r w:rsidRPr="00C62790">
        <w:t>abus intentionnel</w:t>
      </w:r>
      <w:r w:rsidRPr="00C62790">
        <w:rPr>
          <w:rFonts w:eastAsia="SimSun"/>
          <w:iCs/>
          <w:snapToGrid w:val="0"/>
          <w:lang w:eastAsia="zh-CN"/>
        </w:rPr>
        <w:t xml:space="preserve"> de </w:t>
      </w:r>
      <w:proofErr w:type="spellStart"/>
      <w:r w:rsidRPr="00C62790">
        <w:rPr>
          <w:rFonts w:eastAsia="SimSun"/>
          <w:iCs/>
          <w:snapToGrid w:val="0"/>
          <w:lang w:eastAsia="zh-CN"/>
        </w:rPr>
        <w:t>phorate</w:t>
      </w:r>
      <w:proofErr w:type="spellEnd"/>
      <w:r w:rsidRPr="00C62790">
        <w:rPr>
          <w:rFonts w:eastAsia="SimSun"/>
          <w:iCs/>
          <w:snapToGrid w:val="0"/>
          <w:lang w:eastAsia="zh-CN"/>
        </w:rPr>
        <w:t>.</w:t>
      </w:r>
    </w:p>
    <w:p w:rsidR="002A7C5D" w:rsidRPr="00C62790"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47" w:firstLine="0"/>
        <w:rPr>
          <w:rFonts w:eastAsia="SimSun"/>
          <w:iCs/>
          <w:snapToGrid w:val="0"/>
          <w:lang w:eastAsia="zh-CN"/>
        </w:rPr>
      </w:pPr>
      <w:r w:rsidRPr="00C62790">
        <w:t>Compte tenu des considérations qui précèdent, le Comité confirme que le cri</w:t>
      </w:r>
      <w:r>
        <w:t>tère du paragraphe d) est satisfait</w:t>
      </w:r>
      <w:r w:rsidRPr="00C62790">
        <w:t>.</w:t>
      </w:r>
      <w:r w:rsidRPr="00C62790">
        <w:rPr>
          <w:rFonts w:eastAsia="SimSun"/>
          <w:iCs/>
          <w:snapToGrid w:val="0"/>
          <w:lang w:eastAsia="zh-CN"/>
        </w:rPr>
        <w:t xml:space="preserve"> </w:t>
      </w:r>
    </w:p>
    <w:p w:rsidR="002A7C5D" w:rsidRPr="00C62790" w:rsidRDefault="002A7C5D" w:rsidP="002A7C5D">
      <w:pPr>
        <w:pStyle w:val="CH3"/>
        <w:rPr>
          <w:b w:val="0"/>
          <w:lang w:val="fr-FR"/>
        </w:rPr>
      </w:pPr>
      <w:r w:rsidRPr="00C62790">
        <w:rPr>
          <w:lang w:val="fr-FR"/>
        </w:rPr>
        <w:tab/>
        <w:t>f)</w:t>
      </w:r>
      <w:r w:rsidRPr="00C62790">
        <w:rPr>
          <w:lang w:val="fr-FR"/>
        </w:rPr>
        <w:tab/>
        <w:t>Conclusion</w:t>
      </w:r>
    </w:p>
    <w:p w:rsidR="004B0315" w:rsidRDefault="002A7C5D" w:rsidP="002A7C5D">
      <w:pPr>
        <w:numPr>
          <w:ilvl w:val="0"/>
          <w:numId w:val="6"/>
        </w:numPr>
        <w:tabs>
          <w:tab w:val="clear" w:pos="1247"/>
          <w:tab w:val="clear" w:pos="1814"/>
          <w:tab w:val="clear" w:pos="2381"/>
          <w:tab w:val="clear" w:pos="2948"/>
          <w:tab w:val="clear" w:pos="3515"/>
          <w:tab w:val="left" w:pos="624"/>
        </w:tabs>
        <w:snapToGrid w:val="0"/>
        <w:spacing w:after="120"/>
        <w:ind w:left="1253" w:firstLine="0"/>
      </w:pPr>
      <w:r w:rsidRPr="00C62790">
        <w:t xml:space="preserve">Le Comité conclut que la notification de mesure de réglementation finale concernant le </w:t>
      </w:r>
      <w:proofErr w:type="spellStart"/>
      <w:r w:rsidRPr="00C62790">
        <w:t>phorate</w:t>
      </w:r>
      <w:proofErr w:type="spellEnd"/>
      <w:r w:rsidRPr="00C62790">
        <w:t xml:space="preserve"> dans la catégorie des pesticides présentée par le Brésil répond à tous les critères énoncés dans l</w:t>
      </w:r>
      <w:r>
        <w:t>’</w:t>
      </w:r>
      <w:r w:rsidRPr="00C62790">
        <w:t xml:space="preserve">Annexe II </w:t>
      </w:r>
      <w:r>
        <w:t>de</w:t>
      </w:r>
      <w:r w:rsidRPr="00C62790">
        <w:t xml:space="preserve"> la Convention. Compte tenu de la conclusion du Comité selon laquelle la mesure de réglementation finale concernant le </w:t>
      </w:r>
      <w:proofErr w:type="spellStart"/>
      <w:r w:rsidRPr="00C62790">
        <w:t>phorate</w:t>
      </w:r>
      <w:proofErr w:type="spellEnd"/>
      <w:r w:rsidRPr="00C62790">
        <w:t xml:space="preserve"> prise par le Canada répondait </w:t>
      </w:r>
      <w:r>
        <w:t>également aux critères énoncés dans</w:t>
      </w:r>
      <w:r w:rsidRPr="00C62790">
        <w:t xml:space="preserve"> l</w:t>
      </w:r>
      <w:r>
        <w:t>’</w:t>
      </w:r>
      <w:r w:rsidRPr="00C62790">
        <w:t>Annexe II</w:t>
      </w:r>
      <w:r w:rsidRPr="00C62790">
        <w:rPr>
          <w:rStyle w:val="FootnoteReference"/>
          <w:iCs/>
        </w:rPr>
        <w:footnoteReference w:id="3"/>
      </w:r>
      <w:r w:rsidRPr="00C62790">
        <w:t>, le Comité conclut que les mesures de réglementation finale soumises par le</w:t>
      </w:r>
      <w:r>
        <w:t> </w:t>
      </w:r>
      <w:r w:rsidRPr="00C62790">
        <w:t>Brésil et le Canada fournissent des preuves suffisantes pour justifier l</w:t>
      </w:r>
      <w:r>
        <w:t>’</w:t>
      </w:r>
      <w:r w:rsidRPr="00C62790">
        <w:t>in</w:t>
      </w:r>
      <w:r>
        <w:t xml:space="preserve">scription du </w:t>
      </w:r>
      <w:proofErr w:type="spellStart"/>
      <w:r>
        <w:t>phorate</w:t>
      </w:r>
      <w:proofErr w:type="spellEnd"/>
      <w:r>
        <w:t xml:space="preserve"> à l’Annexe </w:t>
      </w:r>
      <w:r w:rsidRPr="00C62790">
        <w:t>III de la Convention de Rotterdam dans la catégorie des pesticides et l</w:t>
      </w:r>
      <w:r>
        <w:t>’</w:t>
      </w:r>
      <w:r w:rsidRPr="00C62790">
        <w:t>adoption d</w:t>
      </w:r>
      <w:r>
        <w:t>’</w:t>
      </w:r>
      <w:r w:rsidRPr="00C62790">
        <w:t>une décision demandant l</w:t>
      </w:r>
      <w:r>
        <w:t>’</w:t>
      </w:r>
      <w:r w:rsidRPr="00C62790">
        <w:t>élaboration d</w:t>
      </w:r>
      <w:r>
        <w:t>’</w:t>
      </w:r>
      <w:r w:rsidRPr="00C62790">
        <w:t>un document d</w:t>
      </w:r>
      <w:r>
        <w:t>’</w:t>
      </w:r>
      <w:r w:rsidRPr="00C62790">
        <w:t>orientation des décisions sur la base de ces</w:t>
      </w:r>
      <w:r>
        <w:t> </w:t>
      </w:r>
      <w:r w:rsidRPr="00C62790">
        <w:t xml:space="preserve">notifications. </w:t>
      </w:r>
    </w:p>
    <w:sectPr w:rsidR="004B0315" w:rsidSect="004B03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2CF" w:rsidRDefault="00DA72CF" w:rsidP="002A7C5D">
      <w:r>
        <w:separator/>
      </w:r>
    </w:p>
  </w:endnote>
  <w:endnote w:type="continuationSeparator" w:id="0">
    <w:p w:rsidR="00DA72CF" w:rsidRDefault="00DA72CF" w:rsidP="002A7C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2CF" w:rsidRDefault="00DA72CF" w:rsidP="002A7C5D">
      <w:r>
        <w:separator/>
      </w:r>
    </w:p>
  </w:footnote>
  <w:footnote w:type="continuationSeparator" w:id="0">
    <w:p w:rsidR="00DA72CF" w:rsidRDefault="00DA72CF" w:rsidP="002A7C5D">
      <w:r>
        <w:continuationSeparator/>
      </w:r>
    </w:p>
  </w:footnote>
  <w:footnote w:id="1">
    <w:p w:rsidR="002A7C5D" w:rsidRPr="007F4E7C" w:rsidRDefault="002A7C5D" w:rsidP="002A7C5D">
      <w:pPr>
        <w:pStyle w:val="FootnoteText"/>
        <w:rPr>
          <w:szCs w:val="18"/>
        </w:rPr>
      </w:pPr>
      <w:r w:rsidRPr="00985C9B">
        <w:rPr>
          <w:rStyle w:val="FootnoteReference"/>
        </w:rPr>
        <w:footnoteRef/>
      </w:r>
      <w:r w:rsidRPr="007F4E7C">
        <w:rPr>
          <w:szCs w:val="18"/>
        </w:rPr>
        <w:t xml:space="preserve"> </w:t>
      </w:r>
      <w:r>
        <w:rPr>
          <w:szCs w:val="18"/>
        </w:rPr>
        <w:t>Voir le document UNEP/FAO/RC/CRC.5/16, annexe </w:t>
      </w:r>
      <w:r w:rsidRPr="007F4E7C">
        <w:rPr>
          <w:szCs w:val="18"/>
        </w:rPr>
        <w:t>III, section</w:t>
      </w:r>
      <w:r>
        <w:rPr>
          <w:szCs w:val="18"/>
        </w:rPr>
        <w:t> </w:t>
      </w:r>
      <w:r w:rsidRPr="007F4E7C">
        <w:rPr>
          <w:szCs w:val="18"/>
        </w:rPr>
        <w:t>B.</w:t>
      </w:r>
    </w:p>
  </w:footnote>
  <w:footnote w:id="2">
    <w:p w:rsidR="002A7C5D" w:rsidRPr="007F4E7C" w:rsidRDefault="002A7C5D" w:rsidP="002A7C5D">
      <w:pPr>
        <w:pStyle w:val="FootnoteText"/>
        <w:rPr>
          <w:szCs w:val="18"/>
        </w:rPr>
      </w:pPr>
      <w:r w:rsidRPr="00985C9B">
        <w:rPr>
          <w:rStyle w:val="FootnoteReference"/>
        </w:rPr>
        <w:footnoteRef/>
      </w:r>
      <w:r w:rsidRPr="007F4E7C">
        <w:rPr>
          <w:szCs w:val="18"/>
        </w:rPr>
        <w:t xml:space="preserve"> Voir le document UNEP/FAO/RC/CRC.13/13.</w:t>
      </w:r>
    </w:p>
  </w:footnote>
  <w:footnote w:id="3">
    <w:p w:rsidR="002A7C5D" w:rsidRPr="00603D65" w:rsidRDefault="002A7C5D" w:rsidP="002A7C5D">
      <w:pPr>
        <w:pStyle w:val="FootnoteText"/>
        <w:rPr>
          <w:szCs w:val="18"/>
        </w:rPr>
      </w:pPr>
      <w:r>
        <w:rPr>
          <w:rStyle w:val="FootnoteReference"/>
        </w:rPr>
        <w:footnoteRef/>
      </w:r>
      <w:r w:rsidRPr="00603D65">
        <w:rPr>
          <w:szCs w:val="18"/>
        </w:rPr>
        <w:t xml:space="preserve"> Voir le docume</w:t>
      </w:r>
      <w:r>
        <w:rPr>
          <w:szCs w:val="18"/>
        </w:rPr>
        <w:t>nt UNEP/FAO/RC/CRC.5/16, annexe </w:t>
      </w:r>
      <w:r w:rsidRPr="00603D65">
        <w:rPr>
          <w:szCs w:val="18"/>
        </w:rPr>
        <w:t>III, section</w:t>
      </w:r>
      <w:r>
        <w:rPr>
          <w:szCs w:val="18"/>
        </w:rPr>
        <w:t> </w:t>
      </w:r>
      <w:r w:rsidRPr="00603D65">
        <w:rPr>
          <w:szCs w:val="18"/>
        </w:rPr>
        <w:t>B.</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C47BB"/>
    <w:multiLevelType w:val="hybridMultilevel"/>
    <w:tmpl w:val="DDB8842E"/>
    <w:lvl w:ilvl="0" w:tplc="36D60914">
      <w:start w:val="1"/>
      <w:numFmt w:val="lowerLetter"/>
      <w:lvlText w:val="%1)"/>
      <w:lvlJc w:val="left"/>
      <w:pPr>
        <w:ind w:left="2579" w:hanging="360"/>
      </w:pPr>
      <w:rPr>
        <w:rFonts w:ascii="Times New Roman" w:eastAsia="Times New Roman" w:hAnsi="Times New Roman" w:cs="Times New Roman"/>
      </w:rPr>
    </w:lvl>
    <w:lvl w:ilvl="1" w:tplc="04090019" w:tentative="1">
      <w:start w:val="1"/>
      <w:numFmt w:val="lowerLetter"/>
      <w:lvlText w:val="%2."/>
      <w:lvlJc w:val="left"/>
      <w:pPr>
        <w:ind w:left="3299" w:hanging="360"/>
      </w:pPr>
    </w:lvl>
    <w:lvl w:ilvl="2" w:tplc="0409001B" w:tentative="1">
      <w:start w:val="1"/>
      <w:numFmt w:val="lowerRoman"/>
      <w:lvlText w:val="%3."/>
      <w:lvlJc w:val="right"/>
      <w:pPr>
        <w:ind w:left="4019" w:hanging="180"/>
      </w:pPr>
    </w:lvl>
    <w:lvl w:ilvl="3" w:tplc="0409000F" w:tentative="1">
      <w:start w:val="1"/>
      <w:numFmt w:val="decimal"/>
      <w:lvlText w:val="%4."/>
      <w:lvlJc w:val="left"/>
      <w:pPr>
        <w:ind w:left="4739" w:hanging="360"/>
      </w:pPr>
    </w:lvl>
    <w:lvl w:ilvl="4" w:tplc="04090019" w:tentative="1">
      <w:start w:val="1"/>
      <w:numFmt w:val="lowerLetter"/>
      <w:lvlText w:val="%5."/>
      <w:lvlJc w:val="left"/>
      <w:pPr>
        <w:ind w:left="5459" w:hanging="360"/>
      </w:pPr>
    </w:lvl>
    <w:lvl w:ilvl="5" w:tplc="0409001B" w:tentative="1">
      <w:start w:val="1"/>
      <w:numFmt w:val="lowerRoman"/>
      <w:lvlText w:val="%6."/>
      <w:lvlJc w:val="right"/>
      <w:pPr>
        <w:ind w:left="6179" w:hanging="180"/>
      </w:pPr>
    </w:lvl>
    <w:lvl w:ilvl="6" w:tplc="0409000F" w:tentative="1">
      <w:start w:val="1"/>
      <w:numFmt w:val="decimal"/>
      <w:lvlText w:val="%7."/>
      <w:lvlJc w:val="left"/>
      <w:pPr>
        <w:ind w:left="6899" w:hanging="360"/>
      </w:pPr>
    </w:lvl>
    <w:lvl w:ilvl="7" w:tplc="04090019" w:tentative="1">
      <w:start w:val="1"/>
      <w:numFmt w:val="lowerLetter"/>
      <w:lvlText w:val="%8."/>
      <w:lvlJc w:val="left"/>
      <w:pPr>
        <w:ind w:left="7619" w:hanging="360"/>
      </w:pPr>
    </w:lvl>
    <w:lvl w:ilvl="8" w:tplc="0409001B" w:tentative="1">
      <w:start w:val="1"/>
      <w:numFmt w:val="lowerRoman"/>
      <w:lvlText w:val="%9."/>
      <w:lvlJc w:val="right"/>
      <w:pPr>
        <w:ind w:left="8339" w:hanging="180"/>
      </w:pPr>
    </w:lvl>
  </w:abstractNum>
  <w:abstractNum w:abstractNumId="1">
    <w:nsid w:val="10FA7BEB"/>
    <w:multiLevelType w:val="hybridMultilevel"/>
    <w:tmpl w:val="3F7A7DFC"/>
    <w:lvl w:ilvl="0" w:tplc="7F78959C">
      <w:start w:val="3"/>
      <w:numFmt w:val="decimal"/>
      <w:lvlText w:val="%1."/>
      <w:lvlJc w:val="left"/>
      <w:pPr>
        <w:ind w:left="1710" w:hanging="360"/>
      </w:pPr>
      <w:rPr>
        <w:rFonts w:hint="default"/>
        <w:b w:val="0"/>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706"/>
        </w:tabs>
        <w:ind w:left="3087"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5">
    <w:nsid w:val="3685449A"/>
    <w:multiLevelType w:val="hybridMultilevel"/>
    <w:tmpl w:val="2554937A"/>
    <w:lvl w:ilvl="0" w:tplc="04130001">
      <w:start w:val="1"/>
      <w:numFmt w:val="bullet"/>
      <w:lvlText w:val=""/>
      <w:lvlJc w:val="left"/>
      <w:pPr>
        <w:ind w:left="984" w:hanging="360"/>
      </w:pPr>
      <w:rPr>
        <w:rFonts w:ascii="Symbol" w:hAnsi="Symbol" w:hint="default"/>
        <w:b w:val="0"/>
      </w:rPr>
    </w:lvl>
    <w:lvl w:ilvl="1" w:tplc="04130019" w:tentative="1">
      <w:start w:val="1"/>
      <w:numFmt w:val="lowerLetter"/>
      <w:lvlText w:val="%2."/>
      <w:lvlJc w:val="left"/>
      <w:pPr>
        <w:ind w:left="1704" w:hanging="360"/>
      </w:pPr>
    </w:lvl>
    <w:lvl w:ilvl="2" w:tplc="0413001B" w:tentative="1">
      <w:start w:val="1"/>
      <w:numFmt w:val="lowerRoman"/>
      <w:lvlText w:val="%3."/>
      <w:lvlJc w:val="right"/>
      <w:pPr>
        <w:ind w:left="2424" w:hanging="180"/>
      </w:pPr>
    </w:lvl>
    <w:lvl w:ilvl="3" w:tplc="0413000F" w:tentative="1">
      <w:start w:val="1"/>
      <w:numFmt w:val="decimal"/>
      <w:lvlText w:val="%4."/>
      <w:lvlJc w:val="left"/>
      <w:pPr>
        <w:ind w:left="3144" w:hanging="360"/>
      </w:pPr>
    </w:lvl>
    <w:lvl w:ilvl="4" w:tplc="04130019" w:tentative="1">
      <w:start w:val="1"/>
      <w:numFmt w:val="lowerLetter"/>
      <w:lvlText w:val="%5."/>
      <w:lvlJc w:val="left"/>
      <w:pPr>
        <w:ind w:left="3864" w:hanging="360"/>
      </w:pPr>
    </w:lvl>
    <w:lvl w:ilvl="5" w:tplc="0413001B" w:tentative="1">
      <w:start w:val="1"/>
      <w:numFmt w:val="lowerRoman"/>
      <w:lvlText w:val="%6."/>
      <w:lvlJc w:val="right"/>
      <w:pPr>
        <w:ind w:left="4584" w:hanging="180"/>
      </w:pPr>
    </w:lvl>
    <w:lvl w:ilvl="6" w:tplc="0413000F" w:tentative="1">
      <w:start w:val="1"/>
      <w:numFmt w:val="decimal"/>
      <w:lvlText w:val="%7."/>
      <w:lvlJc w:val="left"/>
      <w:pPr>
        <w:ind w:left="5304" w:hanging="360"/>
      </w:pPr>
    </w:lvl>
    <w:lvl w:ilvl="7" w:tplc="04130019" w:tentative="1">
      <w:start w:val="1"/>
      <w:numFmt w:val="lowerLetter"/>
      <w:lvlText w:val="%8."/>
      <w:lvlJc w:val="left"/>
      <w:pPr>
        <w:ind w:left="6024" w:hanging="360"/>
      </w:pPr>
    </w:lvl>
    <w:lvl w:ilvl="8" w:tplc="0413001B" w:tentative="1">
      <w:start w:val="1"/>
      <w:numFmt w:val="lowerRoman"/>
      <w:lvlText w:val="%9."/>
      <w:lvlJc w:val="right"/>
      <w:pPr>
        <w:ind w:left="6744" w:hanging="180"/>
      </w:pPr>
    </w:lvl>
  </w:abstractNum>
  <w:abstractNum w:abstractNumId="6">
    <w:nsid w:val="4E611374"/>
    <w:multiLevelType w:val="hybridMultilevel"/>
    <w:tmpl w:val="DA80FD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nsid w:val="620C4041"/>
    <w:multiLevelType w:val="hybridMultilevel"/>
    <w:tmpl w:val="5ACE28C8"/>
    <w:lvl w:ilvl="0" w:tplc="CEE47692">
      <w:start w:val="1"/>
      <w:numFmt w:val="decimal"/>
      <w:lvlText w:val="%1."/>
      <w:lvlJc w:val="left"/>
      <w:pPr>
        <w:ind w:left="720" w:hanging="360"/>
      </w:pPr>
      <w:rPr>
        <w:rFonts w:ascii="Times New Roman" w:eastAsia="Times New Roman" w:hAnsi="Times New Roman" w:cs="Times New Roman"/>
        <w:b w:val="0"/>
      </w:rPr>
    </w:lvl>
    <w:lvl w:ilvl="1" w:tplc="08090019">
      <w:start w:val="1"/>
      <w:numFmt w:val="lowerLetter"/>
      <w:lvlText w:val="%2."/>
      <w:lvlJc w:val="left"/>
      <w:pPr>
        <w:ind w:left="167" w:hanging="360"/>
      </w:pPr>
    </w:lvl>
    <w:lvl w:ilvl="2" w:tplc="0809001B" w:tentative="1">
      <w:start w:val="1"/>
      <w:numFmt w:val="lowerRoman"/>
      <w:lvlText w:val="%3."/>
      <w:lvlJc w:val="right"/>
      <w:pPr>
        <w:ind w:left="887" w:hanging="180"/>
      </w:pPr>
    </w:lvl>
    <w:lvl w:ilvl="3" w:tplc="0809000F" w:tentative="1">
      <w:start w:val="1"/>
      <w:numFmt w:val="decimal"/>
      <w:lvlText w:val="%4."/>
      <w:lvlJc w:val="left"/>
      <w:pPr>
        <w:ind w:left="1607" w:hanging="360"/>
      </w:pPr>
    </w:lvl>
    <w:lvl w:ilvl="4" w:tplc="08090019" w:tentative="1">
      <w:start w:val="1"/>
      <w:numFmt w:val="lowerLetter"/>
      <w:lvlText w:val="%5."/>
      <w:lvlJc w:val="left"/>
      <w:pPr>
        <w:ind w:left="2327" w:hanging="360"/>
      </w:pPr>
    </w:lvl>
    <w:lvl w:ilvl="5" w:tplc="0809001B" w:tentative="1">
      <w:start w:val="1"/>
      <w:numFmt w:val="lowerRoman"/>
      <w:lvlText w:val="%6."/>
      <w:lvlJc w:val="right"/>
      <w:pPr>
        <w:ind w:left="3047" w:hanging="180"/>
      </w:pPr>
    </w:lvl>
    <w:lvl w:ilvl="6" w:tplc="0809000F" w:tentative="1">
      <w:start w:val="1"/>
      <w:numFmt w:val="decimal"/>
      <w:lvlText w:val="%7."/>
      <w:lvlJc w:val="left"/>
      <w:pPr>
        <w:ind w:left="3767" w:hanging="360"/>
      </w:pPr>
    </w:lvl>
    <w:lvl w:ilvl="7" w:tplc="08090019" w:tentative="1">
      <w:start w:val="1"/>
      <w:numFmt w:val="lowerLetter"/>
      <w:lvlText w:val="%8."/>
      <w:lvlJc w:val="left"/>
      <w:pPr>
        <w:ind w:left="4487" w:hanging="360"/>
      </w:pPr>
    </w:lvl>
    <w:lvl w:ilvl="8" w:tplc="0809001B" w:tentative="1">
      <w:start w:val="1"/>
      <w:numFmt w:val="lowerRoman"/>
      <w:lvlText w:val="%9."/>
      <w:lvlJc w:val="right"/>
      <w:pPr>
        <w:ind w:left="5207" w:hanging="180"/>
      </w:pPr>
    </w:lvl>
  </w:abstractNum>
  <w:abstractNum w:abstractNumId="9">
    <w:nsid w:val="62291BF8"/>
    <w:multiLevelType w:val="multilevel"/>
    <w:tmpl w:val="F4ACF36E"/>
    <w:numStyleLink w:val="Normallist"/>
  </w:abstractNum>
  <w:abstractNum w:abstractNumId="10">
    <w:nsid w:val="644572AE"/>
    <w:multiLevelType w:val="hybridMultilevel"/>
    <w:tmpl w:val="9894F19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1">
    <w:nsid w:val="73875614"/>
    <w:multiLevelType w:val="hybridMultilevel"/>
    <w:tmpl w:val="04C0A01C"/>
    <w:lvl w:ilvl="0" w:tplc="E8E2A658">
      <w:start w:val="1"/>
      <w:numFmt w:val="decimal"/>
      <w:lvlText w:val="%1."/>
      <w:lvlJc w:val="left"/>
      <w:pPr>
        <w:ind w:left="3150" w:hanging="360"/>
      </w:pPr>
      <w:rPr>
        <w:b w:val="0"/>
        <w:lang w:val="fr-FR"/>
      </w:rPr>
    </w:lvl>
    <w:lvl w:ilvl="1" w:tplc="08090019">
      <w:start w:val="1"/>
      <w:numFmt w:val="lowerLetter"/>
      <w:lvlText w:val="%2."/>
      <w:lvlJc w:val="left"/>
      <w:pPr>
        <w:ind w:left="1054" w:hanging="360"/>
      </w:pPr>
    </w:lvl>
    <w:lvl w:ilvl="2" w:tplc="0809001B" w:tentative="1">
      <w:start w:val="1"/>
      <w:numFmt w:val="lowerRoman"/>
      <w:lvlText w:val="%3."/>
      <w:lvlJc w:val="right"/>
      <w:pPr>
        <w:ind w:left="1774" w:hanging="180"/>
      </w:pPr>
    </w:lvl>
    <w:lvl w:ilvl="3" w:tplc="0809000F" w:tentative="1">
      <w:start w:val="1"/>
      <w:numFmt w:val="decimal"/>
      <w:lvlText w:val="%4."/>
      <w:lvlJc w:val="left"/>
      <w:pPr>
        <w:ind w:left="2494" w:hanging="360"/>
      </w:pPr>
    </w:lvl>
    <w:lvl w:ilvl="4" w:tplc="08090019" w:tentative="1">
      <w:start w:val="1"/>
      <w:numFmt w:val="lowerLetter"/>
      <w:lvlText w:val="%5."/>
      <w:lvlJc w:val="left"/>
      <w:pPr>
        <w:ind w:left="3214" w:hanging="360"/>
      </w:pPr>
    </w:lvl>
    <w:lvl w:ilvl="5" w:tplc="0809001B" w:tentative="1">
      <w:start w:val="1"/>
      <w:numFmt w:val="lowerRoman"/>
      <w:lvlText w:val="%6."/>
      <w:lvlJc w:val="right"/>
      <w:pPr>
        <w:ind w:left="3934" w:hanging="180"/>
      </w:pPr>
    </w:lvl>
    <w:lvl w:ilvl="6" w:tplc="0809000F" w:tentative="1">
      <w:start w:val="1"/>
      <w:numFmt w:val="decimal"/>
      <w:lvlText w:val="%7."/>
      <w:lvlJc w:val="left"/>
      <w:pPr>
        <w:ind w:left="4654" w:hanging="360"/>
      </w:pPr>
    </w:lvl>
    <w:lvl w:ilvl="7" w:tplc="08090019" w:tentative="1">
      <w:start w:val="1"/>
      <w:numFmt w:val="lowerLetter"/>
      <w:lvlText w:val="%8."/>
      <w:lvlJc w:val="left"/>
      <w:pPr>
        <w:ind w:left="5374" w:hanging="360"/>
      </w:pPr>
    </w:lvl>
    <w:lvl w:ilvl="8" w:tplc="0809001B" w:tentative="1">
      <w:start w:val="1"/>
      <w:numFmt w:val="lowerRoman"/>
      <w:lvlText w:val="%9."/>
      <w:lvlJc w:val="right"/>
      <w:pPr>
        <w:ind w:left="6094" w:hanging="180"/>
      </w:pPr>
    </w:lvl>
  </w:abstractNum>
  <w:num w:numId="1">
    <w:abstractNumId w:val="2"/>
    <w:lvlOverride w:ilvl="0">
      <w:lvl w:ilvl="0">
        <w:start w:val="1"/>
        <w:numFmt w:val="decimal"/>
        <w:lvlText w:val="%1."/>
        <w:lvlJc w:val="left"/>
        <w:pPr>
          <w:tabs>
            <w:tab w:val="num" w:pos="567"/>
          </w:tabs>
          <w:ind w:left="124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lowerRoman"/>
        <w:lvlText w:val="(%3)"/>
        <w:lvlJc w:val="left"/>
        <w:pPr>
          <w:tabs>
            <w:tab w:val="num" w:pos="567"/>
          </w:tabs>
          <w:ind w:left="2948" w:hanging="567"/>
        </w:pPr>
        <w:rPr>
          <w:rFonts w:hint="default"/>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2">
    <w:abstractNumId w:val="8"/>
  </w:num>
  <w:num w:numId="3">
    <w:abstractNumId w:val="6"/>
  </w:num>
  <w:num w:numId="4">
    <w:abstractNumId w:val="1"/>
  </w:num>
  <w:num w:numId="5">
    <w:abstractNumId w:val="5"/>
  </w:num>
  <w:num w:numId="6">
    <w:abstractNumId w:val="11"/>
  </w:num>
  <w:num w:numId="7">
    <w:abstractNumId w:val="0"/>
  </w:num>
  <w:num w:numId="8">
    <w:abstractNumId w:val="10"/>
  </w:num>
  <w:num w:numId="9">
    <w:abstractNumId w:val="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0">
    <w:abstractNumId w:val="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11">
    <w:abstractNumId w:val="3"/>
  </w:num>
  <w:num w:numId="12">
    <w:abstractNumId w:val="4"/>
  </w:num>
  <w:num w:numId="13">
    <w:abstractNumId w:val="7"/>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19"/>
  <w:characterSpacingControl w:val="doNotCompress"/>
  <w:footnotePr>
    <w:footnote w:id="-1"/>
    <w:footnote w:id="0"/>
  </w:footnotePr>
  <w:endnotePr>
    <w:endnote w:id="-1"/>
    <w:endnote w:id="0"/>
  </w:endnotePr>
  <w:compat/>
  <w:rsids>
    <w:rsidRoot w:val="002A7C5D"/>
    <w:rsid w:val="002A7C5D"/>
    <w:rsid w:val="003E39E3"/>
    <w:rsid w:val="004B0315"/>
    <w:rsid w:val="00DA72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7C5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paragraph" w:styleId="Heading1">
    <w:name w:val="heading 1"/>
    <w:basedOn w:val="Normal"/>
    <w:next w:val="Normalnumber"/>
    <w:link w:val="Heading1Char"/>
    <w:qFormat/>
    <w:rsid w:val="002A7C5D"/>
    <w:pPr>
      <w:keepNext/>
      <w:spacing w:before="240" w:after="120"/>
      <w:ind w:left="1247" w:hanging="680"/>
      <w:outlineLvl w:val="0"/>
    </w:pPr>
    <w:rPr>
      <w:b/>
      <w:sz w:val="28"/>
    </w:rPr>
  </w:style>
  <w:style w:type="paragraph" w:styleId="Heading2">
    <w:name w:val="heading 2"/>
    <w:basedOn w:val="Normal"/>
    <w:next w:val="Normalnumber"/>
    <w:link w:val="Heading2Char"/>
    <w:qFormat/>
    <w:rsid w:val="002A7C5D"/>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2A7C5D"/>
    <w:pPr>
      <w:spacing w:after="120"/>
      <w:ind w:left="1247" w:hanging="680"/>
      <w:outlineLvl w:val="2"/>
    </w:pPr>
    <w:rPr>
      <w:b/>
    </w:rPr>
  </w:style>
  <w:style w:type="paragraph" w:styleId="Heading4">
    <w:name w:val="heading 4"/>
    <w:basedOn w:val="Heading3"/>
    <w:next w:val="Normalnumber"/>
    <w:link w:val="Heading4Char"/>
    <w:qFormat/>
    <w:rsid w:val="002A7C5D"/>
    <w:pPr>
      <w:keepNext/>
      <w:outlineLvl w:val="3"/>
    </w:pPr>
  </w:style>
  <w:style w:type="paragraph" w:styleId="Heading5">
    <w:name w:val="heading 5"/>
    <w:basedOn w:val="Normal"/>
    <w:next w:val="Normal"/>
    <w:link w:val="Heading5Char"/>
    <w:qFormat/>
    <w:rsid w:val="002A7C5D"/>
    <w:pPr>
      <w:keepNext/>
      <w:outlineLvl w:val="4"/>
    </w:pPr>
    <w:rPr>
      <w:rFonts w:ascii="Univers" w:hAnsi="Univers"/>
      <w:b/>
      <w:sz w:val="24"/>
    </w:rPr>
  </w:style>
  <w:style w:type="paragraph" w:styleId="Heading6">
    <w:name w:val="heading 6"/>
    <w:basedOn w:val="Normal"/>
    <w:next w:val="Normal"/>
    <w:link w:val="Heading6Char"/>
    <w:qFormat/>
    <w:rsid w:val="002A7C5D"/>
    <w:pPr>
      <w:keepNext/>
      <w:ind w:left="578"/>
      <w:outlineLvl w:val="5"/>
    </w:pPr>
    <w:rPr>
      <w:b/>
      <w:bCs/>
      <w:sz w:val="24"/>
    </w:rPr>
  </w:style>
  <w:style w:type="paragraph" w:styleId="Heading7">
    <w:name w:val="heading 7"/>
    <w:basedOn w:val="Normal"/>
    <w:next w:val="Normal"/>
    <w:link w:val="Heading7Char"/>
    <w:qFormat/>
    <w:rsid w:val="002A7C5D"/>
    <w:pPr>
      <w:keepNext/>
      <w:widowControl w:val="0"/>
      <w:jc w:val="center"/>
      <w:outlineLvl w:val="6"/>
    </w:pPr>
    <w:rPr>
      <w:snapToGrid w:val="0"/>
      <w:u w:val="single"/>
      <w:lang w:val="en-US"/>
    </w:rPr>
  </w:style>
  <w:style w:type="paragraph" w:styleId="Heading8">
    <w:name w:val="heading 8"/>
    <w:basedOn w:val="Normal"/>
    <w:next w:val="Normal"/>
    <w:link w:val="Heading8Char"/>
    <w:qFormat/>
    <w:rsid w:val="002A7C5D"/>
    <w:pPr>
      <w:keepNext/>
      <w:widowControl w:val="0"/>
      <w:numPr>
        <w:numId w:val="1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2A7C5D"/>
    <w:pPr>
      <w:keepNext/>
      <w:widowControl w:val="0"/>
      <w:numPr>
        <w:numId w:val="1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A7C5D"/>
    <w:rPr>
      <w:rFonts w:ascii="Times New Roman" w:eastAsia="Times New Roman" w:hAnsi="Times New Roman" w:cs="Times New Roman"/>
      <w:b/>
      <w:sz w:val="28"/>
      <w:szCs w:val="20"/>
      <w:lang w:val="fr-FR"/>
    </w:rPr>
  </w:style>
  <w:style w:type="character" w:customStyle="1" w:styleId="Heading2Char">
    <w:name w:val="Heading 2 Char"/>
    <w:basedOn w:val="DefaultParagraphFont"/>
    <w:link w:val="Heading2"/>
    <w:rsid w:val="002A7C5D"/>
    <w:rPr>
      <w:rFonts w:ascii="Times New Roman" w:eastAsia="Times New Roman" w:hAnsi="Times New Roman" w:cs="Times New Roman"/>
      <w:b/>
      <w:sz w:val="24"/>
      <w:szCs w:val="24"/>
      <w:lang w:val="fr-FR"/>
    </w:rPr>
  </w:style>
  <w:style w:type="character" w:customStyle="1" w:styleId="Heading3Char">
    <w:name w:val="Heading 3 Char"/>
    <w:basedOn w:val="DefaultParagraphFont"/>
    <w:link w:val="Heading3"/>
    <w:rsid w:val="002A7C5D"/>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2A7C5D"/>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2A7C5D"/>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2A7C5D"/>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2A7C5D"/>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2A7C5D"/>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2A7C5D"/>
    <w:rPr>
      <w:rFonts w:ascii="Times New Roman" w:eastAsia="Times New Roman" w:hAnsi="Times New Roman" w:cs="Times New Roman"/>
      <w:snapToGrid w:val="0"/>
      <w:sz w:val="20"/>
      <w:szCs w:val="20"/>
      <w:u w:val="single"/>
    </w:rPr>
  </w:style>
  <w:style w:type="character" w:styleId="PageNumber">
    <w:name w:val="page number"/>
    <w:semiHidden/>
    <w:rsid w:val="002A7C5D"/>
    <w:rPr>
      <w:rFonts w:ascii="Times New Roman" w:hAnsi="Times New Roman"/>
      <w:b/>
      <w:sz w:val="18"/>
    </w:rPr>
  </w:style>
  <w:style w:type="table" w:customStyle="1" w:styleId="Tabledocright">
    <w:name w:val="Table_doc_right"/>
    <w:basedOn w:val="TableNormal"/>
    <w:rsid w:val="002A7C5D"/>
    <w:pPr>
      <w:spacing w:before="40" w:after="40" w:line="240" w:lineRule="auto"/>
    </w:pPr>
    <w:rPr>
      <w:rFonts w:ascii="Times New Roman" w:eastAsia="Times New Roman" w:hAnsi="Times New Roman" w:cs="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A7C5D"/>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A7C5D"/>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A7C5D"/>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A7C5D"/>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2A7C5D"/>
    <w:rPr>
      <w:bCs w:val="0"/>
    </w:rPr>
  </w:style>
  <w:style w:type="paragraph" w:styleId="TableofFigures">
    <w:name w:val="table of figures"/>
    <w:basedOn w:val="Normal"/>
    <w:next w:val="Normal"/>
    <w:autoRedefine/>
    <w:semiHidden/>
    <w:rsid w:val="002A7C5D"/>
    <w:pPr>
      <w:tabs>
        <w:tab w:val="clear" w:pos="1814"/>
        <w:tab w:val="clear" w:pos="2381"/>
        <w:tab w:val="clear" w:pos="2948"/>
        <w:tab w:val="clear" w:pos="3515"/>
      </w:tabs>
      <w:ind w:left="1814" w:hanging="567"/>
    </w:pPr>
  </w:style>
  <w:style w:type="paragraph" w:customStyle="1" w:styleId="CH1">
    <w:name w:val="CH1"/>
    <w:basedOn w:val="Normalpool"/>
    <w:next w:val="CH2"/>
    <w:rsid w:val="002A7C5D"/>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2A7C5D"/>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number"/>
    <w:rsid w:val="002A7C5D"/>
    <w:pPr>
      <w:keepNext/>
      <w:keepLines/>
      <w:tabs>
        <w:tab w:val="right" w:pos="851"/>
      </w:tabs>
      <w:suppressAutoHyphens/>
      <w:spacing w:after="120"/>
      <w:ind w:left="1247" w:right="284" w:hanging="1247"/>
    </w:pPr>
    <w:rPr>
      <w:b/>
    </w:rPr>
  </w:style>
  <w:style w:type="paragraph" w:customStyle="1" w:styleId="CH4">
    <w:name w:val="CH4"/>
    <w:basedOn w:val="Normalpool"/>
    <w:next w:val="Normalnumber"/>
    <w:rsid w:val="002A7C5D"/>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2A7C5D"/>
    <w:pPr>
      <w:spacing w:after="0" w:line="240" w:lineRule="auto"/>
    </w:pPr>
    <w:rPr>
      <w:rFonts w:ascii="Arial" w:eastAsia="Times New Roman" w:hAnsi="Arial" w:cs="Times New Roman"/>
      <w:sz w:val="16"/>
      <w:szCs w:val="20"/>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pool"/>
    <w:next w:val="Normalnumber"/>
    <w:rsid w:val="002A7C5D"/>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2A7C5D"/>
    <w:pPr>
      <w:tabs>
        <w:tab w:val="left" w:pos="4321"/>
        <w:tab w:val="right" w:pos="8641"/>
      </w:tabs>
      <w:spacing w:before="60" w:after="120"/>
    </w:pPr>
    <w:rPr>
      <w:b/>
      <w:sz w:val="18"/>
    </w:rPr>
  </w:style>
  <w:style w:type="paragraph" w:customStyle="1" w:styleId="Headerpool">
    <w:name w:val="Header_pool"/>
    <w:basedOn w:val="Normal"/>
    <w:next w:val="Normal"/>
    <w:semiHidden/>
    <w:rsid w:val="002A7C5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2A7C5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paragraph" w:customStyle="1" w:styleId="Footer-pool">
    <w:name w:val="Footer-pool"/>
    <w:basedOn w:val="Normal-pool"/>
    <w:next w:val="Normal-pool"/>
    <w:rsid w:val="002A7C5D"/>
    <w:pPr>
      <w:tabs>
        <w:tab w:val="left" w:pos="4321"/>
        <w:tab w:val="right" w:pos="8641"/>
      </w:tabs>
      <w:spacing w:before="60" w:after="120"/>
    </w:pPr>
    <w:rPr>
      <w:b/>
      <w:sz w:val="18"/>
    </w:rPr>
  </w:style>
  <w:style w:type="paragraph" w:customStyle="1" w:styleId="Header-pool">
    <w:name w:val="Header-pool"/>
    <w:basedOn w:val="Normal-pool"/>
    <w:next w:val="Normal-pool"/>
    <w:rsid w:val="002A7C5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2A7C5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styleId="FootnoteReference">
    <w:name w:val="footnote reference"/>
    <w:rsid w:val="002A7C5D"/>
    <w:rPr>
      <w:rFonts w:ascii="Times New Roman" w:hAnsi="Times New Roman"/>
      <w:color w:val="auto"/>
      <w:sz w:val="20"/>
      <w:szCs w:val="18"/>
      <w:vertAlign w:val="superscript"/>
    </w:rPr>
  </w:style>
  <w:style w:type="paragraph" w:styleId="FootnoteText">
    <w:name w:val="footnote text"/>
    <w:basedOn w:val="Normalpool"/>
    <w:link w:val="FootnoteTextChar"/>
    <w:rsid w:val="002A7C5D"/>
    <w:pPr>
      <w:spacing w:before="20" w:after="40"/>
      <w:ind w:left="1247"/>
    </w:pPr>
    <w:rPr>
      <w:sz w:val="18"/>
    </w:rPr>
  </w:style>
  <w:style w:type="character" w:customStyle="1" w:styleId="FootnoteTextChar">
    <w:name w:val="Footnote Text Char"/>
    <w:basedOn w:val="DefaultParagraphFont"/>
    <w:link w:val="FootnoteText"/>
    <w:rsid w:val="002A7C5D"/>
    <w:rPr>
      <w:rFonts w:ascii="Times New Roman" w:eastAsia="Times New Roman" w:hAnsi="Times New Roman" w:cs="Times New Roman"/>
      <w:sz w:val="18"/>
      <w:szCs w:val="20"/>
      <w:lang w:val="fr-CA"/>
    </w:rPr>
  </w:style>
  <w:style w:type="table" w:customStyle="1" w:styleId="AATable">
    <w:name w:val="AA_Table"/>
    <w:basedOn w:val="TableNormal"/>
    <w:semiHidden/>
    <w:rsid w:val="002A7C5D"/>
    <w:pPr>
      <w:spacing w:after="0" w:line="240" w:lineRule="auto"/>
    </w:pPr>
    <w:rPr>
      <w:rFonts w:ascii="Times New Roman" w:eastAsia="Times New Roman" w:hAnsi="Times New Roman" w:cs="Times New Roman"/>
      <w:sz w:val="20"/>
      <w:szCs w:val="20"/>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afterLines="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pool"/>
    <w:rsid w:val="002A7C5D"/>
    <w:pPr>
      <w:keepNext/>
      <w:keepLines/>
      <w:suppressAutoHyphens/>
      <w:ind w:right="5103"/>
    </w:pPr>
    <w:rPr>
      <w:b/>
    </w:rPr>
  </w:style>
  <w:style w:type="paragraph" w:customStyle="1" w:styleId="AATitle2">
    <w:name w:val="AA_Title2"/>
    <w:basedOn w:val="AATitle"/>
    <w:rsid w:val="002A7C5D"/>
    <w:pPr>
      <w:tabs>
        <w:tab w:val="clear" w:pos="4082"/>
      </w:tabs>
      <w:spacing w:before="120" w:after="120"/>
      <w:ind w:right="4536"/>
    </w:pPr>
  </w:style>
  <w:style w:type="paragraph" w:customStyle="1" w:styleId="BBTitle">
    <w:name w:val="BB_Title"/>
    <w:basedOn w:val="Normalpool"/>
    <w:rsid w:val="002A7C5D"/>
    <w:pPr>
      <w:keepNext/>
      <w:keepLines/>
      <w:suppressAutoHyphens/>
      <w:spacing w:before="320" w:after="240"/>
      <w:ind w:left="1247" w:right="567"/>
    </w:pPr>
    <w:rPr>
      <w:b/>
      <w:sz w:val="28"/>
      <w:szCs w:val="28"/>
    </w:rPr>
  </w:style>
  <w:style w:type="paragraph" w:styleId="Footer">
    <w:name w:val="footer"/>
    <w:basedOn w:val="Normal"/>
    <w:link w:val="FooterChar"/>
    <w:rsid w:val="002A7C5D"/>
    <w:pPr>
      <w:tabs>
        <w:tab w:val="center" w:pos="4320"/>
        <w:tab w:val="right" w:pos="8640"/>
      </w:tabs>
      <w:spacing w:before="60" w:after="120"/>
    </w:pPr>
    <w:rPr>
      <w:sz w:val="18"/>
    </w:rPr>
  </w:style>
  <w:style w:type="character" w:customStyle="1" w:styleId="FooterChar">
    <w:name w:val="Footer Char"/>
    <w:basedOn w:val="DefaultParagraphFont"/>
    <w:link w:val="Footer"/>
    <w:rsid w:val="002A7C5D"/>
    <w:rPr>
      <w:rFonts w:ascii="Times New Roman" w:eastAsia="Times New Roman" w:hAnsi="Times New Roman" w:cs="Times New Roman"/>
      <w:sz w:val="18"/>
      <w:szCs w:val="20"/>
      <w:lang w:val="fr-FR"/>
    </w:rPr>
  </w:style>
  <w:style w:type="paragraph" w:styleId="Header">
    <w:name w:val="header"/>
    <w:basedOn w:val="Normal"/>
    <w:link w:val="HeaderChar"/>
    <w:rsid w:val="002A7C5D"/>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rsid w:val="002A7C5D"/>
    <w:rPr>
      <w:rFonts w:ascii="Times New Roman" w:eastAsia="Times New Roman" w:hAnsi="Times New Roman" w:cs="Times New Roman"/>
      <w:b/>
      <w:sz w:val="18"/>
      <w:szCs w:val="20"/>
      <w:lang w:val="fr-FR"/>
    </w:rPr>
  </w:style>
  <w:style w:type="character" w:styleId="Hyperlink">
    <w:name w:val="Hyperlink"/>
    <w:semiHidden/>
    <w:rsid w:val="002A7C5D"/>
    <w:rPr>
      <w:rFonts w:ascii="Times New Roman" w:hAnsi="Times New Roman"/>
      <w:color w:val="auto"/>
      <w:sz w:val="20"/>
      <w:szCs w:val="20"/>
      <w:u w:val="none"/>
      <w:lang w:val="fr-FR"/>
    </w:rPr>
  </w:style>
  <w:style w:type="numbering" w:customStyle="1" w:styleId="Normallist">
    <w:name w:val="Normal_list"/>
    <w:basedOn w:val="NoList"/>
    <w:rsid w:val="002A7C5D"/>
    <w:pPr>
      <w:numPr>
        <w:numId w:val="9"/>
      </w:numPr>
    </w:pPr>
  </w:style>
  <w:style w:type="paragraph" w:customStyle="1" w:styleId="NormalNonumber">
    <w:name w:val="Normal_No_number"/>
    <w:basedOn w:val="Normalpool"/>
    <w:rsid w:val="002A7C5D"/>
    <w:pPr>
      <w:spacing w:after="120"/>
      <w:ind w:left="1247"/>
    </w:pPr>
  </w:style>
  <w:style w:type="paragraph" w:customStyle="1" w:styleId="Normalnumber">
    <w:name w:val="Normal_number"/>
    <w:basedOn w:val="Normalpool"/>
    <w:link w:val="NormalnumberChar"/>
    <w:rsid w:val="002A7C5D"/>
    <w:pPr>
      <w:numPr>
        <w:numId w:val="14"/>
      </w:numPr>
      <w:spacing w:after="120"/>
    </w:pPr>
  </w:style>
  <w:style w:type="paragraph" w:customStyle="1" w:styleId="Titletable">
    <w:name w:val="Title_table"/>
    <w:basedOn w:val="Normalpool"/>
    <w:rsid w:val="002A7C5D"/>
    <w:pPr>
      <w:keepNext/>
      <w:keepLines/>
      <w:suppressAutoHyphens/>
      <w:spacing w:after="60"/>
      <w:ind w:left="1247"/>
    </w:pPr>
    <w:rPr>
      <w:b/>
      <w:bCs/>
    </w:rPr>
  </w:style>
  <w:style w:type="paragraph" w:styleId="TOC1">
    <w:name w:val="toc 1"/>
    <w:basedOn w:val="Normalpool"/>
    <w:next w:val="Normalpool"/>
    <w:rsid w:val="002A7C5D"/>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2A7C5D"/>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2A7C5D"/>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2A7C5D"/>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A7C5D"/>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2A7C5D"/>
    <w:rPr>
      <w:b/>
      <w:bCs/>
      <w:sz w:val="28"/>
      <w:szCs w:val="22"/>
    </w:rPr>
  </w:style>
  <w:style w:type="paragraph" w:customStyle="1" w:styleId="ZZAnxtitle">
    <w:name w:val="ZZ_Anx_title"/>
    <w:basedOn w:val="Normalpool"/>
    <w:link w:val="ZZAnxtitleChar"/>
    <w:rsid w:val="002A7C5D"/>
    <w:pPr>
      <w:spacing w:before="360" w:after="120"/>
      <w:ind w:left="1247"/>
    </w:pPr>
    <w:rPr>
      <w:b/>
      <w:bCs/>
      <w:sz w:val="28"/>
      <w:szCs w:val="26"/>
    </w:rPr>
  </w:style>
  <w:style w:type="character" w:styleId="CommentReference">
    <w:name w:val="annotation reference"/>
    <w:basedOn w:val="DefaultParagraphFont"/>
    <w:rsid w:val="002A7C5D"/>
    <w:rPr>
      <w:sz w:val="16"/>
      <w:szCs w:val="16"/>
    </w:rPr>
  </w:style>
  <w:style w:type="paragraph" w:styleId="CommentText">
    <w:name w:val="annotation text"/>
    <w:basedOn w:val="Normal"/>
    <w:link w:val="CommentTextChar"/>
    <w:rsid w:val="002A7C5D"/>
  </w:style>
  <w:style w:type="character" w:customStyle="1" w:styleId="CommentTextChar">
    <w:name w:val="Comment Text Char"/>
    <w:basedOn w:val="DefaultParagraphFont"/>
    <w:link w:val="CommentText"/>
    <w:rsid w:val="002A7C5D"/>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rsid w:val="002A7C5D"/>
    <w:rPr>
      <w:b/>
      <w:bCs/>
    </w:rPr>
  </w:style>
  <w:style w:type="character" w:customStyle="1" w:styleId="CommentSubjectChar">
    <w:name w:val="Comment Subject Char"/>
    <w:basedOn w:val="CommentTextChar"/>
    <w:link w:val="CommentSubject"/>
    <w:rsid w:val="002A7C5D"/>
    <w:rPr>
      <w:b/>
      <w:bCs/>
    </w:rPr>
  </w:style>
  <w:style w:type="paragraph" w:styleId="Revision">
    <w:name w:val="Revision"/>
    <w:hidden/>
    <w:uiPriority w:val="99"/>
    <w:semiHidden/>
    <w:rsid w:val="002A7C5D"/>
    <w:pPr>
      <w:spacing w:after="0" w:line="240" w:lineRule="auto"/>
    </w:pPr>
    <w:rPr>
      <w:rFonts w:ascii="Times New Roman" w:eastAsia="Times New Roman" w:hAnsi="Times New Roman" w:cs="Times New Roman"/>
      <w:sz w:val="20"/>
      <w:szCs w:val="20"/>
      <w:lang w:val="en-GB"/>
    </w:rPr>
  </w:style>
  <w:style w:type="paragraph" w:styleId="BalloonText">
    <w:name w:val="Balloon Text"/>
    <w:basedOn w:val="Normal"/>
    <w:link w:val="BalloonTextChar"/>
    <w:rsid w:val="002A7C5D"/>
    <w:rPr>
      <w:rFonts w:ascii="Tahoma" w:hAnsi="Tahoma" w:cs="Tahoma"/>
      <w:sz w:val="16"/>
      <w:szCs w:val="16"/>
    </w:rPr>
  </w:style>
  <w:style w:type="character" w:customStyle="1" w:styleId="BalloonTextChar">
    <w:name w:val="Balloon Text Char"/>
    <w:basedOn w:val="DefaultParagraphFont"/>
    <w:link w:val="BalloonText"/>
    <w:rsid w:val="002A7C5D"/>
    <w:rPr>
      <w:rFonts w:ascii="Tahoma" w:eastAsia="Times New Roman" w:hAnsi="Tahoma" w:cs="Tahoma"/>
      <w:sz w:val="16"/>
      <w:szCs w:val="16"/>
      <w:lang w:val="fr-FR"/>
    </w:rPr>
  </w:style>
  <w:style w:type="table" w:styleId="TableGrid">
    <w:name w:val="Table Grid"/>
    <w:basedOn w:val="TableNormal"/>
    <w:uiPriority w:val="39"/>
    <w:rsid w:val="002A7C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umberChar">
    <w:name w:val="Normal_number Char"/>
    <w:link w:val="Normalnumber"/>
    <w:locked/>
    <w:rsid w:val="002A7C5D"/>
    <w:rPr>
      <w:rFonts w:ascii="Times New Roman" w:eastAsia="Times New Roman" w:hAnsi="Times New Roman" w:cs="Times New Roman"/>
      <w:sz w:val="20"/>
      <w:szCs w:val="20"/>
      <w:lang w:val="fr-CA"/>
    </w:rPr>
  </w:style>
  <w:style w:type="paragraph" w:customStyle="1" w:styleId="Spacer">
    <w:name w:val="Spacer"/>
    <w:basedOn w:val="Normal"/>
    <w:rsid w:val="002A7C5D"/>
    <w:pPr>
      <w:tabs>
        <w:tab w:val="clear" w:pos="1247"/>
        <w:tab w:val="clear" w:pos="1814"/>
        <w:tab w:val="clear" w:pos="2381"/>
        <w:tab w:val="clear" w:pos="2948"/>
        <w:tab w:val="clear" w:pos="3515"/>
        <w:tab w:val="left" w:pos="-720"/>
        <w:tab w:val="left" w:pos="0"/>
        <w:tab w:val="left" w:pos="720"/>
      </w:tabs>
      <w:suppressAutoHyphens/>
    </w:pPr>
    <w:rPr>
      <w:sz w:val="10"/>
      <w:szCs w:val="10"/>
    </w:rPr>
  </w:style>
  <w:style w:type="character" w:customStyle="1" w:styleId="CH2Char">
    <w:name w:val="CH2 Char"/>
    <w:link w:val="CH2"/>
    <w:rsid w:val="002A7C5D"/>
    <w:rPr>
      <w:rFonts w:ascii="Times New Roman" w:eastAsia="Times New Roman" w:hAnsi="Times New Roman" w:cs="Times New Roman"/>
      <w:b/>
      <w:sz w:val="24"/>
      <w:szCs w:val="24"/>
      <w:lang w:val="fr-CA"/>
    </w:rPr>
  </w:style>
  <w:style w:type="paragraph" w:customStyle="1" w:styleId="StyleParalevel110ptAfter6pt">
    <w:name w:val="Style Para level1 + 10 pt After:  6 pt"/>
    <w:basedOn w:val="Normal"/>
    <w:rsid w:val="002A7C5D"/>
    <w:pPr>
      <w:tabs>
        <w:tab w:val="clear" w:pos="1247"/>
        <w:tab w:val="clear" w:pos="1814"/>
        <w:tab w:val="clear" w:pos="2381"/>
        <w:tab w:val="clear" w:pos="2948"/>
        <w:tab w:val="clear" w:pos="3515"/>
      </w:tabs>
      <w:spacing w:after="120"/>
      <w:ind w:left="1247"/>
    </w:pPr>
  </w:style>
  <w:style w:type="paragraph" w:styleId="ListParagraph">
    <w:name w:val="List Paragraph"/>
    <w:basedOn w:val="Normal"/>
    <w:uiPriority w:val="34"/>
    <w:qFormat/>
    <w:rsid w:val="002A7C5D"/>
    <w:pPr>
      <w:ind w:left="720"/>
      <w:contextualSpacing/>
    </w:pPr>
  </w:style>
  <w:style w:type="paragraph" w:customStyle="1" w:styleId="Default">
    <w:name w:val="Default"/>
    <w:rsid w:val="002A7C5D"/>
    <w:pPr>
      <w:widowControl w:val="0"/>
      <w:autoSpaceDE w:val="0"/>
      <w:autoSpaceDN w:val="0"/>
      <w:adjustRightInd w:val="0"/>
      <w:spacing w:after="0" w:line="240" w:lineRule="auto"/>
    </w:pPr>
    <w:rPr>
      <w:rFonts w:ascii="Candara" w:eastAsiaTheme="minorEastAsia" w:hAnsi="Candara" w:cs="Candara"/>
      <w:color w:val="000000"/>
      <w:sz w:val="24"/>
      <w:szCs w:val="24"/>
    </w:rPr>
  </w:style>
  <w:style w:type="paragraph" w:customStyle="1" w:styleId="Subtitle">
    <w:name w:val="Sub title"/>
    <w:basedOn w:val="Heading2"/>
    <w:rsid w:val="002A7C5D"/>
    <w:pPr>
      <w:tabs>
        <w:tab w:val="clear" w:pos="1247"/>
        <w:tab w:val="clear" w:pos="1814"/>
        <w:tab w:val="clear" w:pos="2381"/>
        <w:tab w:val="clear" w:pos="2948"/>
        <w:tab w:val="clear" w:pos="3515"/>
        <w:tab w:val="left" w:pos="624"/>
      </w:tabs>
      <w:spacing w:before="0" w:after="0"/>
      <w:ind w:firstLine="0"/>
    </w:pPr>
  </w:style>
  <w:style w:type="character" w:customStyle="1" w:styleId="Normal-poolChar">
    <w:name w:val="Normal-pool Char"/>
    <w:link w:val="Normal-pool"/>
    <w:locked/>
    <w:rsid w:val="002A7C5D"/>
    <w:rPr>
      <w:rFonts w:ascii="Times New Roman" w:eastAsia="Times New Roman" w:hAnsi="Times New Roman" w:cs="Times New Roman"/>
      <w:sz w:val="20"/>
      <w:szCs w:val="20"/>
      <w:lang w:val="fr-CA"/>
    </w:rPr>
  </w:style>
  <w:style w:type="character" w:customStyle="1" w:styleId="ZZAnxtitleChar">
    <w:name w:val="ZZ_Anx_title Char"/>
    <w:link w:val="ZZAnxtitle"/>
    <w:rsid w:val="002A7C5D"/>
    <w:rPr>
      <w:rFonts w:ascii="Times New Roman" w:eastAsia="Times New Roman" w:hAnsi="Times New Roman" w:cs="Times New Roman"/>
      <w:b/>
      <w:bCs/>
      <w:sz w:val="28"/>
      <w:szCs w:val="26"/>
      <w:lang w:val="fr-CA"/>
    </w:rPr>
  </w:style>
  <w:style w:type="paragraph" w:customStyle="1" w:styleId="Paralevel1">
    <w:name w:val="Para level1"/>
    <w:basedOn w:val="Normal"/>
    <w:autoRedefine/>
    <w:rsid w:val="002A7C5D"/>
    <w:pPr>
      <w:tabs>
        <w:tab w:val="clear" w:pos="1247"/>
        <w:tab w:val="clear" w:pos="1814"/>
        <w:tab w:val="clear" w:pos="2381"/>
        <w:tab w:val="clear" w:pos="2948"/>
        <w:tab w:val="clear" w:pos="3515"/>
        <w:tab w:val="left" w:pos="1800"/>
      </w:tabs>
      <w:spacing w:after="120"/>
      <w:ind w:left="1247"/>
    </w:pPr>
    <w:rPr>
      <w:snapToGrid w:val="0"/>
      <w:lang w:val="en-US"/>
    </w:rPr>
  </w:style>
  <w:style w:type="paragraph" w:customStyle="1" w:styleId="rednialista2akcent21">
    <w:name w:val="Średnia lista 2 — akcent 21"/>
    <w:hidden/>
    <w:uiPriority w:val="99"/>
    <w:semiHidden/>
    <w:rsid w:val="002A7C5D"/>
    <w:pPr>
      <w:spacing w:after="0" w:line="240" w:lineRule="auto"/>
    </w:pPr>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3477</Words>
  <Characters>19825</Characters>
  <Application>Microsoft Office Word</Application>
  <DocSecurity>0</DocSecurity>
  <Lines>165</Lines>
  <Paragraphs>46</Paragraphs>
  <ScaleCrop>false</ScaleCrop>
  <Company>BRS</Company>
  <LinksUpToDate>false</LinksUpToDate>
  <CharactersWithSpaces>23256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2018-02-28T16:42:00Z</dcterms:created>
  <dcterms:modified xsi:type="dcterms:W3CDTF">2018-02-28T16:43:00Z</dcterms:modified>
</cp:coreProperties>
</file>