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73F" w:rsidRPr="00167B9B" w:rsidRDefault="004C673F" w:rsidP="004C673F">
      <w:pPr>
        <w:spacing w:after="120"/>
        <w:ind w:left="1247"/>
        <w:rPr>
          <w:b/>
          <w:sz w:val="28"/>
          <w:szCs w:val="28"/>
        </w:rPr>
      </w:pPr>
      <w:r w:rsidRPr="00167B9B">
        <w:rPr>
          <w:b/>
          <w:sz w:val="28"/>
          <w:szCs w:val="28"/>
        </w:rPr>
        <w:t xml:space="preserve">КРХВ -13/4: Форат </w:t>
      </w:r>
    </w:p>
    <w:p w:rsidR="004C673F" w:rsidRPr="001E594A" w:rsidRDefault="004C673F" w:rsidP="004C673F">
      <w:pPr>
        <w:spacing w:after="120"/>
        <w:ind w:left="1247" w:firstLine="624"/>
      </w:pPr>
      <w:r w:rsidRPr="00167B9B">
        <w:rPr>
          <w:i/>
        </w:rPr>
        <w:t>Комитет по рассмотрению химических веществ</w:t>
      </w:r>
      <w:r w:rsidRPr="001E594A">
        <w:t>,</w:t>
      </w:r>
    </w:p>
    <w:p w:rsidR="004C673F" w:rsidRPr="001E594A" w:rsidRDefault="004C673F" w:rsidP="004C673F">
      <w:pPr>
        <w:spacing w:after="120"/>
        <w:ind w:left="1247" w:firstLine="624"/>
      </w:pPr>
      <w:r w:rsidRPr="00167B9B">
        <w:rPr>
          <w:i/>
        </w:rPr>
        <w:t>ссылаясь</w:t>
      </w:r>
      <w:r w:rsidRPr="001E594A">
        <w:t xml:space="preserve"> на статью 5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торговле,</w:t>
      </w:r>
    </w:p>
    <w:p w:rsidR="004C673F" w:rsidRPr="001E594A" w:rsidRDefault="004C673F" w:rsidP="004C673F">
      <w:pPr>
        <w:spacing w:after="120"/>
        <w:ind w:left="1247" w:firstLine="624"/>
      </w:pPr>
      <w:r w:rsidRPr="00167B9B">
        <w:rPr>
          <w:i/>
        </w:rPr>
        <w:t>ссылаясь</w:t>
      </w:r>
      <w:r w:rsidRPr="001E594A">
        <w:t xml:space="preserve"> также на заключение Комитета по рассмотрению химических веществ, принятое на его пятом совещании, что представленное Канадой уведомление об окончательном регламентационном постановлении в отношении фората соответствует критериям, изложенным в приложении II к Конвенции</w:t>
      </w:r>
      <w:r w:rsidRPr="00167B9B">
        <w:rPr>
          <w:vertAlign w:val="superscript"/>
        </w:rPr>
        <w:footnoteReference w:id="1"/>
      </w:r>
      <w:r w:rsidRPr="001E594A">
        <w:t>,</w:t>
      </w:r>
    </w:p>
    <w:p w:rsidR="004C673F" w:rsidRPr="001E594A" w:rsidRDefault="004C673F" w:rsidP="004C673F">
      <w:pPr>
        <w:spacing w:after="120"/>
        <w:ind w:left="1247" w:firstLine="624"/>
      </w:pPr>
      <w:r w:rsidRPr="001E594A">
        <w:t>1.</w:t>
      </w:r>
      <w:r w:rsidRPr="001E594A">
        <w:tab/>
      </w:r>
      <w:r w:rsidRPr="00167B9B">
        <w:rPr>
          <w:i/>
        </w:rPr>
        <w:t>делает заключение</w:t>
      </w:r>
      <w:r w:rsidRPr="001E594A">
        <w:t>, что представленное Бразилией уведомление об окончательном регламентационном постановлении в отношении фората</w:t>
      </w:r>
      <w:r w:rsidRPr="00167B9B">
        <w:rPr>
          <w:vertAlign w:val="superscript"/>
        </w:rPr>
        <w:footnoteReference w:id="2"/>
      </w:r>
      <w:r w:rsidRPr="001E594A">
        <w:t xml:space="preserve"> отвечает критериям, изложенным в приложении II к Конвенции;</w:t>
      </w:r>
    </w:p>
    <w:p w:rsidR="004C673F" w:rsidRPr="001E594A" w:rsidRDefault="004C673F" w:rsidP="004C673F">
      <w:pPr>
        <w:spacing w:after="120"/>
        <w:ind w:left="1247" w:firstLine="624"/>
      </w:pPr>
      <w:r w:rsidRPr="001E594A">
        <w:t>2.</w:t>
      </w:r>
      <w:r w:rsidRPr="001E594A">
        <w:tab/>
      </w:r>
      <w:r w:rsidRPr="00167B9B">
        <w:rPr>
          <w:i/>
        </w:rPr>
        <w:t>принимает обоснование</w:t>
      </w:r>
      <w:r w:rsidRPr="001E594A">
        <w:t xml:space="preserve"> для заключения Комитета, изложенное в приложении к настоящему решению;</w:t>
      </w:r>
    </w:p>
    <w:p w:rsidR="004C673F" w:rsidRPr="001E594A" w:rsidRDefault="004C673F" w:rsidP="004C673F">
      <w:pPr>
        <w:spacing w:after="120"/>
        <w:ind w:left="1247" w:firstLine="624"/>
      </w:pPr>
      <w:r w:rsidRPr="001E594A">
        <w:t>3.</w:t>
      </w:r>
      <w:r w:rsidRPr="001E594A">
        <w:tab/>
      </w:r>
      <w:r w:rsidRPr="00167B9B">
        <w:rPr>
          <w:i/>
        </w:rPr>
        <w:t>рекомендует</w:t>
      </w:r>
      <w:r w:rsidRPr="001E594A">
        <w:t xml:space="preserve"> в соответствии с пунктом 6 статьи 5 Конвенции, чтобы Конференция Сторон включила форат в приложение III к Конвенции в рамках категории «пестициды»;</w:t>
      </w:r>
    </w:p>
    <w:p w:rsidR="004C673F" w:rsidRPr="001E594A" w:rsidRDefault="004C673F" w:rsidP="004C673F">
      <w:pPr>
        <w:spacing w:after="120"/>
        <w:ind w:left="1247" w:firstLine="624"/>
      </w:pPr>
      <w:r w:rsidRPr="001E594A">
        <w:t>4.</w:t>
      </w:r>
      <w:r w:rsidRPr="001E594A">
        <w:tab/>
      </w:r>
      <w:r w:rsidRPr="00167B9B">
        <w:rPr>
          <w:i/>
        </w:rPr>
        <w:t>постановляет</w:t>
      </w:r>
      <w:r w:rsidRPr="001E594A">
        <w:t xml:space="preserve"> в соответствии с пунктом 1 статьи 7 Конвенции подготовить проект документа для содействия принятию решения в отношении фората;</w:t>
      </w:r>
    </w:p>
    <w:p w:rsidR="004C673F" w:rsidRPr="001E594A" w:rsidRDefault="004C673F" w:rsidP="004C673F">
      <w:pPr>
        <w:spacing w:after="120"/>
        <w:ind w:left="1247" w:firstLine="624"/>
      </w:pPr>
      <w:r w:rsidRPr="001E594A">
        <w:t>5.</w:t>
      </w:r>
      <w:r w:rsidRPr="001E594A">
        <w:tab/>
      </w:r>
      <w:r w:rsidRPr="00167B9B">
        <w:rPr>
          <w:i/>
        </w:rPr>
        <w:t>постановляет также</w:t>
      </w:r>
      <w:r w:rsidRPr="001E594A">
        <w:t xml:space="preserve"> в соответствии с процессом подготовки проектов документов для содействия принятию решения, изложенным в решении РК-2/2, с изменениями, внесенными решением РК-6/3, определить состав межсессионной редакционной группы для подготовки проекта документа для содействия принятию решения в отношении фората и план работы этой группы согласно приложениям II и III, соответственно, к докладу Комитета о работе его тринадцатого совещания.</w:t>
      </w:r>
    </w:p>
    <w:p w:rsidR="004C673F" w:rsidRPr="00EF5E86" w:rsidRDefault="004C673F" w:rsidP="004C673F">
      <w:pPr>
        <w:spacing w:after="120"/>
        <w:ind w:left="1247"/>
        <w:rPr>
          <w:b/>
          <w:sz w:val="24"/>
          <w:szCs w:val="24"/>
        </w:rPr>
      </w:pPr>
      <w:r w:rsidRPr="00EF5E86">
        <w:rPr>
          <w:b/>
          <w:sz w:val="24"/>
          <w:szCs w:val="24"/>
        </w:rPr>
        <w:t>Приложение к решению КРХВ</w:t>
      </w:r>
      <w:r w:rsidRPr="00EF5E86">
        <w:rPr>
          <w:b/>
          <w:sz w:val="24"/>
          <w:szCs w:val="24"/>
        </w:rPr>
        <w:noBreakHyphen/>
        <w:t>13/4</w:t>
      </w:r>
    </w:p>
    <w:p w:rsidR="004C673F" w:rsidRPr="00EF5E86" w:rsidRDefault="004C673F" w:rsidP="004C673F">
      <w:pPr>
        <w:spacing w:after="120"/>
        <w:ind w:left="1247"/>
        <w:rPr>
          <w:b/>
          <w:sz w:val="24"/>
          <w:szCs w:val="24"/>
        </w:rPr>
      </w:pPr>
      <w:r w:rsidRPr="00EF5E86">
        <w:rPr>
          <w:b/>
          <w:sz w:val="24"/>
          <w:szCs w:val="24"/>
        </w:rPr>
        <w:t>Обоснование для заключения Комитета по рассмотрению химических веществ о том, что представленное Бразилией уведомление об окончательном регламентационном постановлении в отношении фората (в рамках категории «пестициды») соответствует критериям, изложенным в приложении II к Роттердамской конвенции</w:t>
      </w:r>
    </w:p>
    <w:p w:rsidR="004C673F" w:rsidRPr="001E594A" w:rsidRDefault="004C673F" w:rsidP="004C673F">
      <w:pPr>
        <w:spacing w:after="120"/>
        <w:ind w:left="1247"/>
      </w:pPr>
      <w:r>
        <w:t>1.</w:t>
      </w:r>
      <w:r>
        <w:tab/>
      </w:r>
      <w:r w:rsidRPr="001E594A">
        <w:t>При рассмотрении уведомления Бразилии об окончательном регламентационном постановлении о запрещении применения фората в качестве пестицида вместе с представленной Стороной вспомогательной документацией, Комитетом подтверждено, что постановление было принято с целью охраны здоровья человека. Установлено, что уведомление соответствует требованиям к информации, изложенным в приложении I, и критериям, изложенным в приложении II к Роттердамской конвенции.</w:t>
      </w:r>
    </w:p>
    <w:p w:rsidR="004C673F" w:rsidRPr="001E594A" w:rsidRDefault="004C673F" w:rsidP="004C673F">
      <w:pPr>
        <w:spacing w:after="120"/>
        <w:ind w:left="1247"/>
      </w:pPr>
      <w:r>
        <w:t>2.</w:t>
      </w:r>
      <w:r>
        <w:tab/>
      </w:r>
      <w:r w:rsidRPr="001E594A">
        <w:t>Уведомление и вспомогательная документация были представлены на рассмотрение Комитета по рассмотрению химических веществ (UNEP/FAO/RC/CRC.13/13, UNEP/FAO/RC/CRC.13/INF/29).</w:t>
      </w:r>
    </w:p>
    <w:p w:rsidR="004C673F" w:rsidRPr="001E594A" w:rsidRDefault="004C673F" w:rsidP="004C673F">
      <w:pPr>
        <w:spacing w:after="120"/>
        <w:ind w:left="1247"/>
      </w:pPr>
      <w:r>
        <w:t>3.</w:t>
      </w:r>
      <w:r>
        <w:tab/>
      </w:r>
      <w:r w:rsidRPr="001E594A">
        <w:t xml:space="preserve">При рассмотрении полученного от Бразилии уведомления об окончательном регламентационном постановлении вместе со вспомогательной документацией, представленной этой Стороной, Комитет смог подтвердить, что регламентационное постановление было принято в целях охраны здоровья человека. </w:t>
      </w:r>
    </w:p>
    <w:p w:rsidR="004C673F" w:rsidRPr="00167B9B" w:rsidRDefault="004C673F" w:rsidP="004C673F">
      <w:pPr>
        <w:keepNext/>
        <w:tabs>
          <w:tab w:val="right" w:pos="851"/>
        </w:tabs>
        <w:spacing w:after="120"/>
        <w:ind w:left="1247" w:right="284" w:hanging="1247"/>
        <w:rPr>
          <w:b/>
        </w:rPr>
      </w:pPr>
      <w:r w:rsidRPr="00DE38BE">
        <w:lastRenderedPageBreak/>
        <w:tab/>
      </w:r>
      <w:r w:rsidRPr="00167B9B">
        <w:rPr>
          <w:b/>
          <w:lang w:val="en-US"/>
        </w:rPr>
        <w:t>a</w:t>
      </w:r>
      <w:r w:rsidRPr="00167B9B">
        <w:rPr>
          <w:b/>
        </w:rPr>
        <w:t>)</w:t>
      </w:r>
      <w:r w:rsidRPr="00167B9B">
        <w:rPr>
          <w:b/>
        </w:rPr>
        <w:tab/>
        <w:t>Сфера охвата регламентационного постановления, в отношении которого направлено уведомление</w:t>
      </w:r>
    </w:p>
    <w:p w:rsidR="004C673F" w:rsidRPr="001E594A" w:rsidRDefault="004C673F" w:rsidP="004C673F">
      <w:pPr>
        <w:spacing w:after="120"/>
        <w:ind w:left="1247"/>
      </w:pPr>
      <w:r w:rsidRPr="00897842">
        <w:t>4.</w:t>
      </w:r>
      <w:r w:rsidRPr="00897842">
        <w:tab/>
      </w:r>
      <w:r w:rsidRPr="001E594A">
        <w:t xml:space="preserve">Регламентационное постановление, в отношении которого направлено уведомление, относится к форату (КАС № 298-02-2), применяемому в качестве пестицида. </w:t>
      </w:r>
    </w:p>
    <w:p w:rsidR="004C673F" w:rsidRPr="001E594A" w:rsidRDefault="004C673F" w:rsidP="004C673F">
      <w:pPr>
        <w:spacing w:after="120"/>
        <w:ind w:left="1247"/>
      </w:pPr>
      <w:r w:rsidRPr="00897842">
        <w:t>5.</w:t>
      </w:r>
      <w:r w:rsidRPr="00897842">
        <w:tab/>
      </w:r>
      <w:r w:rsidRPr="001E594A">
        <w:t xml:space="preserve">По результатам проведения повторной токсикологической экспертизы активного ингредиента форат Национальным агентством по надзору в сфере здравоохранения (АНВИСА) 13 марта 2015 года издана Резолюция RDC № 12. В соответствии с этой резолюцией запрещается вся техническая и рецептурная продукция на основе активного ингредиента форат. По этой причине запрещается производство, применение, оборот, импорт и экспорт фората. </w:t>
      </w:r>
    </w:p>
    <w:p w:rsidR="004C673F" w:rsidRPr="001E594A" w:rsidRDefault="004C673F" w:rsidP="004C673F">
      <w:pPr>
        <w:spacing w:after="120"/>
        <w:ind w:left="1247"/>
      </w:pPr>
      <w:r w:rsidRPr="00897842">
        <w:t>6.</w:t>
      </w:r>
      <w:r w:rsidRPr="00897842">
        <w:tab/>
      </w:r>
      <w:r w:rsidRPr="001E594A">
        <w:t>До принятия окончательного регламентационного постановления, применение фората было разрешено в Бразилии в качестве инсектицида исключительно для сельскохозяйственного использования.</w:t>
      </w:r>
    </w:p>
    <w:p w:rsidR="004C673F" w:rsidRPr="001E594A" w:rsidRDefault="004C673F" w:rsidP="004C673F">
      <w:pPr>
        <w:spacing w:after="120"/>
        <w:ind w:left="1247"/>
      </w:pPr>
      <w:r w:rsidRPr="00897842">
        <w:t>7.</w:t>
      </w:r>
      <w:r w:rsidRPr="00897842">
        <w:tab/>
      </w:r>
      <w:r w:rsidRPr="001E594A">
        <w:t xml:space="preserve">Было установлено, что уведомление соответствует требованиям к информации, изложенным в приложении I. </w:t>
      </w:r>
    </w:p>
    <w:p w:rsidR="004C673F" w:rsidRPr="00897842" w:rsidRDefault="004C673F" w:rsidP="004C673F">
      <w:pPr>
        <w:keepNext/>
        <w:keepLines/>
        <w:tabs>
          <w:tab w:val="right" w:pos="851"/>
        </w:tabs>
        <w:spacing w:after="120"/>
        <w:ind w:left="1247" w:right="284" w:hanging="1247"/>
        <w:rPr>
          <w:b/>
        </w:rPr>
      </w:pPr>
      <w:r w:rsidRPr="001E594A">
        <w:tab/>
      </w:r>
      <w:r w:rsidRPr="00897842">
        <w:rPr>
          <w:b/>
          <w:lang w:val="en-US"/>
        </w:rPr>
        <w:t>b</w:t>
      </w:r>
      <w:r w:rsidRPr="00897842">
        <w:rPr>
          <w:b/>
        </w:rPr>
        <w:t>)</w:t>
      </w:r>
      <w:r w:rsidRPr="00897842">
        <w:rPr>
          <w:b/>
        </w:rPr>
        <w:tab/>
        <w:t>Критерий пункта a) приложения II</w:t>
      </w:r>
    </w:p>
    <w:p w:rsidR="004C673F" w:rsidRPr="00897842" w:rsidRDefault="004C673F" w:rsidP="004C673F">
      <w:pPr>
        <w:spacing w:after="120"/>
        <w:ind w:left="1247" w:firstLine="624"/>
        <w:rPr>
          <w:i/>
        </w:rPr>
      </w:pPr>
      <w:r>
        <w:tab/>
      </w:r>
      <w:r w:rsidRPr="00897842">
        <w:rPr>
          <w:i/>
        </w:rPr>
        <w:t>«a)</w:t>
      </w:r>
      <w:r w:rsidRPr="00897842">
        <w:rPr>
          <w:i/>
        </w:rPr>
        <w:tab/>
        <w:t>подтверждает, что окончательное регламентационное постановление было принято в целях охраны здоровья человека или окружающей среды;»</w:t>
      </w:r>
    </w:p>
    <w:p w:rsidR="004C673F" w:rsidRPr="001E594A" w:rsidRDefault="004C673F" w:rsidP="004C673F">
      <w:pPr>
        <w:spacing w:after="120"/>
        <w:ind w:left="1247"/>
      </w:pPr>
      <w:r w:rsidRPr="00897842">
        <w:t>8.</w:t>
      </w:r>
      <w:r w:rsidRPr="00897842">
        <w:tab/>
      </w:r>
      <w:r w:rsidRPr="001E594A">
        <w:t xml:space="preserve">Как указано в уведомлении, принятым Бразилией окончательным регламентационным постановлением в отношении фората запрещена вся техническая и рецептурная продукция на основе активного ингредиента форат и запрещены производство, применение, оборот, импорт и экспорт активного вещества (разделы 2.2.1 и 2.3.3 уведомления). До принятия окончательного регламентационного постановления форат применялся в Бразилии в качестве инсектицида, разрешенного исключительно для сельскохозяйственного использования для обработки следующих культур: хлопок, картофель, кофе, фасоль и кукуруза (UNEP/FAO/RC/CRC.13/13, приложение, раздел 2.3.1). </w:t>
      </w:r>
    </w:p>
    <w:p w:rsidR="004C673F" w:rsidRPr="001E594A" w:rsidRDefault="004C673F" w:rsidP="004C673F">
      <w:pPr>
        <w:spacing w:after="120"/>
        <w:ind w:left="1247"/>
      </w:pPr>
      <w:r w:rsidRPr="00897842">
        <w:t>9.</w:t>
      </w:r>
      <w:r w:rsidRPr="00897842">
        <w:tab/>
      </w:r>
      <w:r w:rsidRPr="001E594A">
        <w:t>Как указано в уведомлении, окончательное регламентационное постановление</w:t>
      </w:r>
      <w:r>
        <w:t xml:space="preserve"> принято в отношении категории «пестициды»</w:t>
      </w:r>
      <w:r w:rsidRPr="001E594A">
        <w:t xml:space="preserve"> (UNEP/FAO/RC/CRC.13/13, приложение, раздел 2.3.2) для охраны здоровья человека (UNEP/FAO/RC/CRC.13/13, приложение, раздел 2.4.2.1).</w:t>
      </w:r>
    </w:p>
    <w:p w:rsidR="004C673F" w:rsidRPr="001E594A" w:rsidRDefault="004C673F" w:rsidP="004C673F">
      <w:pPr>
        <w:spacing w:after="120"/>
        <w:ind w:left="1247"/>
      </w:pPr>
      <w:r>
        <w:t>10.</w:t>
      </w:r>
      <w:r>
        <w:tab/>
      </w:r>
      <w:r w:rsidRPr="001E594A">
        <w:t xml:space="preserve">Бразилией в рамках ее повторной токсикологической экспертизы активного ингредиента проведен обширный анализ соответствующих данных об опасностях и рисках, связанных с применением фората, с использованием проверенных документов, опубликованных докладов и литературы. </w:t>
      </w:r>
    </w:p>
    <w:p w:rsidR="004C673F" w:rsidRPr="001E594A" w:rsidRDefault="004C673F" w:rsidP="004C673F">
      <w:pPr>
        <w:spacing w:after="120"/>
        <w:ind w:left="1247"/>
      </w:pPr>
      <w:r>
        <w:t>11.</w:t>
      </w:r>
      <w:r>
        <w:tab/>
      </w:r>
      <w:r w:rsidRPr="001E594A">
        <w:t>На основе имеющихся данных установлено, что форат и его метаболиты легко всасываются через кожу и слизистую оболочку и необратимо блокируют каталитическую активность ацетилхо</w:t>
      </w:r>
      <w:r>
        <w:t>линэстеразы (АХЭ) −</w:t>
      </w:r>
      <w:r w:rsidRPr="001E594A">
        <w:t xml:space="preserve"> фермента, являющегося промежуточным звеном при гидролизе ацетилхолина в уксусной кислоте и холевой кислоте. Таким образом, они прерывают передачу нервных импульсов в холинергических синапсах центральной нервной системы (ЦНС), вегетативной нервной системы (ВНС) и нервно-мышечных соединений. Инактивация АХЭ вызывает холинергическую гиперстимуляцию в результате накопления ацетилхолина в синаптической щели.</w:t>
      </w:r>
    </w:p>
    <w:p w:rsidR="004C673F" w:rsidRPr="001E594A" w:rsidRDefault="004C673F" w:rsidP="004C673F">
      <w:pPr>
        <w:spacing w:after="120"/>
        <w:ind w:left="1247"/>
      </w:pPr>
      <w:r>
        <w:t>12.</w:t>
      </w:r>
      <w:r>
        <w:tab/>
      </w:r>
      <w:r w:rsidRPr="001E594A">
        <w:t>Форат считается одним из наиболее токсичных о</w:t>
      </w:r>
      <w:r>
        <w:t>рганофосфатных ингибиторов АХЭ −</w:t>
      </w:r>
      <w:r w:rsidRPr="001E594A">
        <w:t xml:space="preserve"> средняя пероральная летальная доза для мышей составляет от 1,4 до 10 мг/кг массы тела (UNEP/FAO/RC/CRC.13/13, приложение, раздел 2.4.2.1). Экспериментальные и эпидемиологические исследования для дыхательных путей свидетельствуют о том, что форат является высоко токсичным для этой системы (UNEP/FAO/RC/CRC.13/INF/29, стр. 21).</w:t>
      </w:r>
    </w:p>
    <w:p w:rsidR="004C673F" w:rsidRPr="001E594A" w:rsidRDefault="004C673F" w:rsidP="004C673F">
      <w:pPr>
        <w:spacing w:after="120"/>
        <w:ind w:left="1247"/>
      </w:pPr>
      <w:r>
        <w:t>13.</w:t>
      </w:r>
      <w:r>
        <w:tab/>
      </w:r>
      <w:r w:rsidRPr="001E594A">
        <w:t xml:space="preserve">Данные подтверждают, что форат может вызывать сложные неврологические клинические проявления у людей, например, энцефалопатию, промежуточный синдром и замедленную полиневропатию, описанные различными авторами (Young, Jung, Ayer, 1979; Kashyap et al., 1984; WHO/FAO, 1988; Kusic et al., 1991; Dobozy, 1998; Das and Jena, 2000; </w:t>
      </w:r>
      <w:r w:rsidRPr="001E594A">
        <w:lastRenderedPageBreak/>
        <w:t>Thanal, 2001; Jayakumar, 2002; Mission, 2006; Peter, Prabhakar, Pichamuthu, 2008a; 2008b). При этом у лабораторных животных, которые получали форат, не имелось случаев промежуточного синдрома или поздней полиневропатии, что свидетельствует о более высокой токсичности этого пестицида для людей по сравнению с результатами опытов над лабораторными животными.</w:t>
      </w:r>
    </w:p>
    <w:p w:rsidR="004C673F" w:rsidRPr="001E594A" w:rsidRDefault="004C673F" w:rsidP="004C673F">
      <w:pPr>
        <w:spacing w:after="120"/>
        <w:ind w:left="1247"/>
      </w:pPr>
      <w:r>
        <w:t>14.</w:t>
      </w:r>
      <w:r>
        <w:tab/>
      </w:r>
      <w:r w:rsidRPr="001E594A">
        <w:t xml:space="preserve">Помимо его нейротоксичного воздействия установлено, что форат может оказывать пагубное воздействие на процессы эндокринного регулирования стероидных гормонов в организме человека (Usmani, 2003), что может приводить к увеличению числа случаев заболевания раком (Alavanja, et al. 2002; Mahajan et al., 2006; Koutros et al., 2010) (UNEP/FAO/RC/CRC.13/13, приложение, раздел 2.4.2.1; UNEP/FAO/RC/CRC.13/INF/29). </w:t>
      </w:r>
    </w:p>
    <w:p w:rsidR="004C673F" w:rsidRPr="001E594A" w:rsidRDefault="004C673F" w:rsidP="004C673F">
      <w:pPr>
        <w:spacing w:after="120"/>
        <w:ind w:left="1247"/>
      </w:pPr>
      <w:r>
        <w:t>15.</w:t>
      </w:r>
      <w:r>
        <w:tab/>
      </w:r>
      <w:r w:rsidRPr="001E594A">
        <w:t xml:space="preserve">В ряде изученных Бразилией исследований также показано, что среди сельскохозяйственных работников, подвергавшихся воздействию фората, имелись случаи отравлений и смертей в связи с токсичностью активного ингредиента. Опасность воздействия увеличивается ввиду трудностей, связанных с отсутствием доступности и (или) неэффективностью средств индивидуальной защиты (UNEP/FAO/RC/CRC.13/13, приложение, раздел 2.4.2.1; UNEP/FAO/RC/CRC.13/INF/29, стр. 21). </w:t>
      </w:r>
    </w:p>
    <w:p w:rsidR="004C673F" w:rsidRPr="001E594A" w:rsidRDefault="004C673F" w:rsidP="004C673F">
      <w:pPr>
        <w:spacing w:after="120"/>
        <w:ind w:left="1247"/>
      </w:pPr>
      <w:r>
        <w:t>16.</w:t>
      </w:r>
      <w:r>
        <w:tab/>
      </w:r>
      <w:r w:rsidRPr="001E594A">
        <w:t>Применительно к Бразилии имеется всеобъемлющее исследование условий применения пестицидов, проведенное Вайхманом (2008 год) в бразильских муниципалитетах штата Амасонас (Манаус, Ирандуба, Карейро-да-Варсеа и Манакапуру). В нем делается заключение, что фермеры не готовы к правильному применению п</w:t>
      </w:r>
      <w:r>
        <w:t>естицидов и не обращают внимания</w:t>
      </w:r>
      <w:r w:rsidRPr="001E594A">
        <w:t xml:space="preserve"> на опасность, которую эта продукция представляет для здоровья человека и окружающей среды. Средства индивидуальной защиты не используются ввиду их высокой стоимости, неудобности и непригодности для жаркого климата в регионе. Отсутствие профессиональной подготовки и плохое знание рисков, связанных с пестицидами, приводят к неправильному обращению с пестицидами при их подготовке, применении и удалении пустых упаковок. В этих условиях наблюдается высокая степень воздействия на фермеров, их семьи, потребителей и окружающую среду. </w:t>
      </w:r>
    </w:p>
    <w:p w:rsidR="004C673F" w:rsidRPr="001E594A" w:rsidRDefault="004C673F" w:rsidP="004C673F">
      <w:pPr>
        <w:spacing w:after="120"/>
        <w:ind w:left="1247"/>
      </w:pPr>
      <w:r>
        <w:t>17.</w:t>
      </w:r>
      <w:r>
        <w:tab/>
        <w:t>Комитет отметил, что «</w:t>
      </w:r>
      <w:r w:rsidRPr="001E594A">
        <w:t>из законодательства Бразилии следует, что регистрация в стране пестицидов может быть отменена, если для них действую</w:t>
      </w:r>
      <w:r>
        <w:t>т</w:t>
      </w:r>
      <w:r w:rsidRPr="001E594A">
        <w:t xml:space="preserve"> следующие связанные со здоровьем человека условия: в Бразилии не имеется противоядия или эффективного лечения; если признаются тератогенами, мутагенами или канцерогенами; если они вызывают гормональные нарушения и повреждение репродуктивной системы или если они являются более опасными для людей по сравнению с результатами опы</w:t>
      </w:r>
      <w:r>
        <w:t>тов над лабораторными животными»</w:t>
      </w:r>
      <w:r w:rsidRPr="001E594A">
        <w:t xml:space="preserve"> (UNEP/FAO/RC/CRC.13/13, приложение, раздел 2.4.2.1). </w:t>
      </w:r>
    </w:p>
    <w:p w:rsidR="004C673F" w:rsidRPr="001E594A" w:rsidRDefault="004C673F" w:rsidP="004C673F">
      <w:pPr>
        <w:spacing w:after="120"/>
        <w:ind w:left="1247"/>
      </w:pPr>
      <w:r>
        <w:t>18.</w:t>
      </w:r>
      <w:r>
        <w:tab/>
      </w:r>
      <w:r w:rsidRPr="001E594A">
        <w:t>По результатам проведенной Бразилией повторной токсикологической экспертизы сделано заключение что, учитывая все токсикологические последствия, связанные с активным ингредиентом форат и его свойствами, форат считается более токсичным для людей, чем для животных. По этой причине применение активного ингредиента форат в Бразилии должно быть запрещено в целях охраны здоровья работников, подвергающихся воздействию, потребителей и населения в целом (UNEP/FAO/RC/CRC.13/13, приложение, раздел 2.4.2.1).</w:t>
      </w:r>
    </w:p>
    <w:p w:rsidR="004C673F" w:rsidRPr="001E594A" w:rsidRDefault="004C673F" w:rsidP="004C673F">
      <w:pPr>
        <w:spacing w:after="120"/>
        <w:ind w:left="1247"/>
      </w:pPr>
      <w:r>
        <w:t>19.</w:t>
      </w:r>
      <w:r>
        <w:tab/>
      </w:r>
      <w:r w:rsidRPr="001E594A">
        <w:t>После анализа направленных Бразилией уведомления об окончательном регламентационном постановлении (UNEP/FAO/RC/CRC.13/13, приложение, раздел 2.4.2) и вспомогательной документации (UNEP/FAO/RC/CRC.13/INF/29) Комитетом подтверждается, что регламентационное постановление было принято в целях охраны здоровья человека.</w:t>
      </w:r>
    </w:p>
    <w:p w:rsidR="004C673F" w:rsidRPr="001E594A" w:rsidRDefault="004C673F" w:rsidP="004C673F">
      <w:pPr>
        <w:spacing w:after="120"/>
        <w:ind w:left="1247"/>
      </w:pPr>
      <w:r>
        <w:t>20.</w:t>
      </w:r>
      <w:r>
        <w:tab/>
      </w:r>
      <w:r w:rsidRPr="001E594A">
        <w:t>По этой причине Комитетом подтверждается соответствие</w:t>
      </w:r>
      <w:r>
        <w:t xml:space="preserve"> критерию, указанному в пункте </w:t>
      </w:r>
      <w:r w:rsidRPr="001E594A">
        <w:t>a).</w:t>
      </w:r>
    </w:p>
    <w:p w:rsidR="004C673F" w:rsidRPr="00897842" w:rsidRDefault="004C673F" w:rsidP="004C673F">
      <w:pPr>
        <w:tabs>
          <w:tab w:val="right" w:pos="851"/>
        </w:tabs>
        <w:spacing w:after="120"/>
        <w:ind w:left="1247" w:right="284" w:hanging="1247"/>
        <w:rPr>
          <w:b/>
        </w:rPr>
      </w:pPr>
      <w:r w:rsidRPr="001E594A">
        <w:tab/>
      </w:r>
      <w:r w:rsidRPr="00897842">
        <w:rPr>
          <w:b/>
        </w:rPr>
        <w:t>с)</w:t>
      </w:r>
      <w:r w:rsidRPr="00897842">
        <w:rPr>
          <w:b/>
        </w:rPr>
        <w:tab/>
        <w:t xml:space="preserve">Критерии пункта b) приложения II </w:t>
      </w:r>
    </w:p>
    <w:p w:rsidR="004C673F" w:rsidRPr="00897842" w:rsidRDefault="004C673F" w:rsidP="004C673F">
      <w:pPr>
        <w:spacing w:after="120"/>
        <w:ind w:left="1247" w:firstLine="624"/>
        <w:rPr>
          <w:i/>
        </w:rPr>
      </w:pPr>
      <w:r>
        <w:tab/>
      </w:r>
      <w:r w:rsidRPr="00897842">
        <w:rPr>
          <w:i/>
        </w:rPr>
        <w:t>«b)</w:t>
      </w:r>
      <w:r w:rsidRPr="00897842">
        <w:rPr>
          <w:i/>
        </w:rPr>
        <w:tab/>
        <w:t>устанавливает, что окончательное регламентационное постановление было принято на основе результатов оценки рисков. Эта оценка должна основываться на обзоре научных данных в контексте условий, преобладающих в соответствующей Стороне. Для этой цели из представляемой документации должно явствовать, что:</w:t>
      </w:r>
    </w:p>
    <w:p w:rsidR="004C673F" w:rsidRPr="00897842" w:rsidRDefault="004C673F" w:rsidP="004C673F">
      <w:pPr>
        <w:spacing w:after="120"/>
        <w:ind w:left="3120" w:hanging="624"/>
        <w:rPr>
          <w:i/>
        </w:rPr>
      </w:pPr>
      <w:r w:rsidRPr="00897842">
        <w:rPr>
          <w:i/>
        </w:rPr>
        <w:lastRenderedPageBreak/>
        <w:t>i)</w:t>
      </w:r>
      <w:r w:rsidRPr="00897842">
        <w:rPr>
          <w:i/>
        </w:rPr>
        <w:tab/>
        <w:t>данные получены с помощью научно признанных методов;</w:t>
      </w:r>
    </w:p>
    <w:p w:rsidR="004C673F" w:rsidRPr="00897842" w:rsidRDefault="004C673F" w:rsidP="004C673F">
      <w:pPr>
        <w:spacing w:after="120"/>
        <w:ind w:left="3120" w:hanging="624"/>
        <w:rPr>
          <w:i/>
        </w:rPr>
      </w:pPr>
      <w:r w:rsidRPr="00897842">
        <w:rPr>
          <w:i/>
        </w:rPr>
        <w:t>ii)</w:t>
      </w:r>
      <w:r w:rsidRPr="00897842">
        <w:rPr>
          <w:i/>
        </w:rPr>
        <w:tab/>
        <w:t>обзоры данных проведены и документально оформлены с соблюдением общепризнанных научных принципов и процедур;»</w:t>
      </w:r>
    </w:p>
    <w:p w:rsidR="004C673F" w:rsidRPr="001E594A" w:rsidRDefault="004C673F" w:rsidP="004C673F">
      <w:pPr>
        <w:spacing w:after="120"/>
        <w:ind w:left="1247"/>
      </w:pPr>
      <w:r>
        <w:t>21.</w:t>
      </w:r>
      <w:r>
        <w:tab/>
      </w:r>
      <w:r w:rsidRPr="001E594A">
        <w:t>В январе 2012 года АНВИСА совместно с экспертами из фонда им. Освальдо Крус (ФИОКРУС) подготов</w:t>
      </w:r>
      <w:r>
        <w:t>и</w:t>
      </w:r>
      <w:r w:rsidRPr="001E594A">
        <w:t>л</w:t>
      </w:r>
      <w:r>
        <w:t>а</w:t>
      </w:r>
      <w:r w:rsidRPr="001E594A">
        <w:t xml:space="preserve"> техническую записку по итогам повторной токсикологической экспертизы активного ингредиента форат (UNEP/FAO/RC/CRC.13/INF/29, стр. 27), отражающую обширный обзор соответствующих данных об опасностях и рисках, связанных с применением фората, с использованием проверенных документов, опубликованных докладов и литературы, включая доклады международных учреждений или институтов, таких, как АООС США и Международная программа по химической безопасности (МПХБ), а также исследования, представленные Бразильскому агентству по надзору в сфере здравоохранения (АНВИСА) в составе токсикологического досье в обоснование регистрации технической и рецептурной продукции. Основные исследования, представленные в АНВИСА в составе токсикологического досье связаны с острой, субхронической</w:t>
      </w:r>
      <w:r>
        <w:t xml:space="preserve"> и хронической токсичностью (22 </w:t>
      </w:r>
      <w:r w:rsidRPr="001E594A">
        <w:t>исследования), канцерогенностью и генотоксичностью (9 исследований), токсичностью для репродуктивной и эндокринной системы (2 исследовани</w:t>
      </w:r>
      <w:r>
        <w:t>я) и эмбрионального развития (5 </w:t>
      </w:r>
      <w:r w:rsidRPr="001E594A">
        <w:t xml:space="preserve">исследований) (UNEP/FAO/RC/CRC.13/INF/29, стр. 20). </w:t>
      </w:r>
    </w:p>
    <w:p w:rsidR="004C673F" w:rsidRPr="001E594A" w:rsidRDefault="004C673F" w:rsidP="004C673F">
      <w:pPr>
        <w:spacing w:after="120"/>
        <w:ind w:left="1247"/>
      </w:pPr>
      <w:r>
        <w:t>22.</w:t>
      </w:r>
      <w:r>
        <w:tab/>
      </w:r>
      <w:r w:rsidRPr="001E594A">
        <w:t>После анализа уведомления и вспомогательной документации Комитетом делается заключение, что данные, на которые имеются ссылки и которые предоставлены в этих документах, получены с помощью научно признанных методов и что обзоры данных проведены и документально оформлены с соблюдением общепризнанных научных принципов и процедур.</w:t>
      </w:r>
    </w:p>
    <w:p w:rsidR="004C673F" w:rsidRPr="001E594A" w:rsidRDefault="004C673F" w:rsidP="004C673F">
      <w:pPr>
        <w:spacing w:after="120"/>
        <w:ind w:left="1247"/>
      </w:pPr>
      <w:r>
        <w:t>23.</w:t>
      </w:r>
      <w:r>
        <w:tab/>
      </w:r>
      <w:r w:rsidRPr="001E594A">
        <w:t>Следовательно, Комитетом подтверждается соответствие критериям, указанным в подпунктах b) i) и b) ii).</w:t>
      </w:r>
    </w:p>
    <w:p w:rsidR="004C673F" w:rsidRPr="00441017" w:rsidRDefault="004C673F" w:rsidP="004C673F">
      <w:pPr>
        <w:spacing w:after="120"/>
        <w:ind w:left="3120" w:hanging="624"/>
        <w:rPr>
          <w:i/>
        </w:rPr>
      </w:pPr>
      <w:r>
        <w:rPr>
          <w:i/>
        </w:rPr>
        <w:t>«iii)</w:t>
      </w:r>
      <w:r w:rsidRPr="00441017">
        <w:rPr>
          <w:i/>
        </w:rPr>
        <w:tab/>
        <w:t>окончательное регламентационное постановление основано на результатах оценки рисков с учетом преобладающих условий в Стороне, принимающей постановление;»</w:t>
      </w:r>
    </w:p>
    <w:p w:rsidR="004C673F" w:rsidRPr="001E594A" w:rsidRDefault="004C673F" w:rsidP="004C673F">
      <w:pPr>
        <w:spacing w:after="120"/>
        <w:ind w:left="1247"/>
      </w:pPr>
      <w:r>
        <w:t>24.</w:t>
      </w:r>
      <w:r>
        <w:tab/>
      </w:r>
      <w:r w:rsidRPr="001E594A">
        <w:t xml:space="preserve">В разделе 2.4 уведомления указывается, что окончательное регламентационное постановление основано на оценке рисков или опасности. В соответствии с законом </w:t>
      </w:r>
      <w:r>
        <w:t>«</w:t>
      </w:r>
      <w:r w:rsidRPr="001E594A">
        <w:t>О пестицидах</w:t>
      </w:r>
      <w:r>
        <w:t>»</w:t>
      </w:r>
      <w:r w:rsidRPr="001E594A">
        <w:t xml:space="preserve"> в Бразилии одно или несколько правительственных учреждений, ответственных за регистрацию пестицидов (ИБАМА, АНВИСА или МАПА) могут проводить повторную экспертизу регистрации пестицида, если имеются данные об уменьшении агрономической эффек</w:t>
      </w:r>
      <w:r>
        <w:t>тивности и (</w:t>
      </w:r>
      <w:r w:rsidRPr="001E594A">
        <w:t>или</w:t>
      </w:r>
      <w:r>
        <w:t>)</w:t>
      </w:r>
      <w:r w:rsidRPr="001E594A">
        <w:t xml:space="preserve"> изменении рисков для здоровья человека или окружающей среды. Для проведения такой повторной экспертизы формируется технический комитет. Комитетом готовятся технические записки по токсикологии активного ингредиента и (или) связанным с ним потенциальным экологическим рискам  в дополнение к экономическому анализу в отношении заменителей пестицидов на основе данных, полученных по итогам исследований и обследований, проводимых аккредитованными на национальном и международном уровнях учреждениями, а также информацию о случаях интоксикации и отравления, предоставленную Национальной системой токсико-фармакологической информации (СИНИТОКС), Программой анализа остатков пестицидов в пищевых продуктах или компаниями-производителями пестицидов.</w:t>
      </w:r>
    </w:p>
    <w:p w:rsidR="004C673F" w:rsidRPr="001E594A" w:rsidRDefault="004C673F" w:rsidP="004C673F">
      <w:pPr>
        <w:spacing w:after="120"/>
        <w:ind w:left="1247"/>
      </w:pPr>
      <w:r>
        <w:t>25.</w:t>
      </w:r>
      <w:r>
        <w:tab/>
      </w:r>
      <w:r w:rsidRPr="001E594A">
        <w:t>В технических записках, которые готовятся в ходе повторной экспертизы, дается оценка потенциального воздействия и рисков в соответствии с параметрами и методологиями, принятыми на международном уровне, в частности, Всемирной организацией здравоохранения (ВОЗ); Продовольственной и сельскохозяйственной организацией (ФАО); Организацией экономического сотрудничества и развития (ОЭСР); АООС Соединенных Штатов Америки и Европейским союзом. После проведения повторной экспертизы могут приниматься меры по ограничению, приостановлению или запрещению производства и импорта пестицидов, а также происходить аннулирование регистрации, если выполняется критерий для запрета регистрации (UNEP/FAO/RC/CRC.13/INF/29).</w:t>
      </w:r>
    </w:p>
    <w:p w:rsidR="004C673F" w:rsidRPr="001E594A" w:rsidRDefault="004C673F" w:rsidP="004C673F">
      <w:pPr>
        <w:spacing w:after="120"/>
        <w:ind w:left="1247"/>
      </w:pPr>
      <w:r>
        <w:lastRenderedPageBreak/>
        <w:t>26.</w:t>
      </w:r>
      <w:r>
        <w:tab/>
      </w:r>
      <w:r w:rsidRPr="001E594A">
        <w:t xml:space="preserve">Проведенная Бразилией оценка риска в отношении фората учитывала вопросы токсикологии и общественного здравоохранения; вопросы гигиены и безопасности труда, воздействие на окружающую среду и наличие альтернатив с пониженной степенью риска (UNEP/FAO/RC/CRC.13/INF/29). Был проведен обширный анализ соответствующих данных об опасностях и рисках, связанных с применением фората, с использованием проверенных документов, опубликованных докладов и литературы. </w:t>
      </w:r>
    </w:p>
    <w:p w:rsidR="004C673F" w:rsidRPr="001E594A" w:rsidRDefault="004C673F" w:rsidP="004C673F">
      <w:pPr>
        <w:spacing w:after="120"/>
        <w:ind w:left="1247"/>
      </w:pPr>
      <w:r>
        <w:t>27.</w:t>
      </w:r>
      <w:r>
        <w:tab/>
      </w:r>
      <w:r w:rsidRPr="001E594A">
        <w:t>При проведении повторной экспертизы учитывалось, среди прочего, всеобъемлющее исследование условий применения пестицидов в Бразилии, проведенное Вайхманом (2008 год) в муниципалитетах штата Амасонас (Манаус, Ирандуба, Карейро-да-Варсеа и Манакапуру). В исследовании делается заключение, что фермеры не готовы к правильному применению пестицидов и не обращают внимание на опасность, которую эта продукция представляет для здоровья человека и окружающей среды. Средства индивидуальной защиты не использовались ввиду их высокой стоимости, неудобности и непригодности для жаркого климата в регионе. Отсутствие профессиональной подготовки и плохое знание рисков, связанных с пестицидами, приводили к неправильному обращению с пестицидами при их подготовке, применении и удалении пустых упаковок. В этих условиях наблюдалась высокая степень воздействия на фермеров, их семьи, потребителей и окружающую среду. В итоге, имеется всеобъемлющая информация о преобладающих условиях применения пестицидов в Бразилии; Бразилией использовалась эта информация при проведении оценки риска.</w:t>
      </w:r>
    </w:p>
    <w:p w:rsidR="004C673F" w:rsidRPr="001E594A" w:rsidRDefault="004C673F" w:rsidP="004C673F">
      <w:pPr>
        <w:spacing w:after="120"/>
        <w:ind w:left="1247"/>
      </w:pPr>
      <w:r>
        <w:t>28.</w:t>
      </w:r>
      <w:r>
        <w:tab/>
      </w:r>
      <w:r w:rsidRPr="001E594A">
        <w:t xml:space="preserve">Комитетом отмечено, что в уведомлении Бразилией подчеркивается, что окончательное регламентационное постановление было, среди прочего, основано на фактах более высокой токсичности фората для человека, по сравнению с животными, на том, что это вещество нарушает работу </w:t>
      </w:r>
      <w:r>
        <w:t>эндокринной системы, и что оно «</w:t>
      </w:r>
      <w:r w:rsidRPr="001E594A">
        <w:t>соответствует критериям, которые являются основанием для запрещения регистрации пестицидов в Бразилии</w:t>
      </w:r>
      <w:r>
        <w:t>»</w:t>
      </w:r>
      <w:r w:rsidRPr="001E594A">
        <w:t>.</w:t>
      </w:r>
    </w:p>
    <w:p w:rsidR="004C673F" w:rsidRPr="001E594A" w:rsidRDefault="004C673F" w:rsidP="004C673F">
      <w:pPr>
        <w:spacing w:after="120"/>
        <w:ind w:left="1247"/>
      </w:pPr>
      <w:r>
        <w:t>29.</w:t>
      </w:r>
      <w:r>
        <w:tab/>
      </w:r>
      <w:r w:rsidRPr="001E594A">
        <w:t>Кроме того, во втором а</w:t>
      </w:r>
      <w:r>
        <w:t>бзаце раздела III, 1 b) «</w:t>
      </w:r>
      <w:r w:rsidRPr="001E594A">
        <w:t>Рабочего документа о применении критериев, указ</w:t>
      </w:r>
      <w:r>
        <w:t>анных в пункте b) приложения II» в «</w:t>
      </w:r>
      <w:r w:rsidRPr="001E594A">
        <w:t>Справочнике рабочих процедур и директивных руководящих указаний для Комитета по рассмотрению химических веществ</w:t>
      </w:r>
      <w:r>
        <w:t>» указывается, что «</w:t>
      </w:r>
      <w:r w:rsidRPr="001E594A">
        <w:t>для высокотоксичных пестицидов или промышленных химикатов описание преобладающих условий в направившей уведомление стране может включать информацию о наличии и общем использовании защитного снаряжения или ситуациях, приводящих к отравлению (в случае актуальности и наличия)</w:t>
      </w:r>
      <w:r>
        <w:t>»</w:t>
      </w:r>
      <w:r w:rsidRPr="001E594A">
        <w:t xml:space="preserve">. </w:t>
      </w:r>
    </w:p>
    <w:p w:rsidR="004C673F" w:rsidRPr="001E594A" w:rsidRDefault="004C673F" w:rsidP="004C673F">
      <w:pPr>
        <w:spacing w:after="120"/>
        <w:ind w:left="1247"/>
      </w:pPr>
      <w:r>
        <w:t>30.</w:t>
      </w:r>
      <w:r>
        <w:tab/>
      </w:r>
      <w:r w:rsidRPr="001E594A">
        <w:t xml:space="preserve">Принимая во внимание, что форат является высокотоксичным пестицидом, результаты исследования общей практики применения пестицидов в Бразилии, в котором отмечались проблемы, связанные с использованием средств индивидуальной защиты, а также случаи интоксикации людей в Индии, Комитет считает, что </w:t>
      </w:r>
      <w:r>
        <w:t>преобладающие условия в Бразилии</w:t>
      </w:r>
      <w:r w:rsidRPr="001E594A">
        <w:t xml:space="preserve"> принимались во внимание при оценке рисков, проведенной Бразилией.</w:t>
      </w:r>
    </w:p>
    <w:p w:rsidR="004C673F" w:rsidRPr="001E594A" w:rsidRDefault="004C673F" w:rsidP="004C673F">
      <w:pPr>
        <w:spacing w:after="120"/>
        <w:ind w:left="1247"/>
      </w:pPr>
      <w:r>
        <w:t>31.</w:t>
      </w:r>
      <w:r>
        <w:tab/>
      </w:r>
      <w:r w:rsidRPr="001E594A">
        <w:t>Следовательно, Комитетом подтверждается соответствие критерию, указанному в пункте b) iii).</w:t>
      </w:r>
    </w:p>
    <w:p w:rsidR="004C673F" w:rsidRPr="001E594A" w:rsidRDefault="004C673F" w:rsidP="004C673F">
      <w:pPr>
        <w:spacing w:after="120"/>
        <w:ind w:left="1247"/>
      </w:pPr>
      <w:r>
        <w:t>32.</w:t>
      </w:r>
      <w:r>
        <w:tab/>
      </w:r>
      <w:r w:rsidRPr="001E594A">
        <w:t>Комитетом подтверждается соответствие</w:t>
      </w:r>
      <w:r>
        <w:t xml:space="preserve"> критериям, указанным в пункте </w:t>
      </w:r>
      <w:r w:rsidRPr="001E594A">
        <w:t>b).</w:t>
      </w:r>
    </w:p>
    <w:p w:rsidR="004C673F" w:rsidRPr="00441017" w:rsidRDefault="004C673F" w:rsidP="004C673F">
      <w:pPr>
        <w:tabs>
          <w:tab w:val="right" w:pos="851"/>
        </w:tabs>
        <w:spacing w:after="120"/>
        <w:ind w:left="1247" w:right="284" w:hanging="1247"/>
        <w:rPr>
          <w:b/>
        </w:rPr>
      </w:pPr>
      <w:r w:rsidRPr="001E594A">
        <w:tab/>
      </w:r>
      <w:r w:rsidRPr="00441017">
        <w:rPr>
          <w:b/>
          <w:lang w:val="en-US"/>
        </w:rPr>
        <w:t>d</w:t>
      </w:r>
      <w:r w:rsidRPr="00441017">
        <w:rPr>
          <w:b/>
        </w:rPr>
        <w:t>)</w:t>
      </w:r>
      <w:r w:rsidRPr="00441017">
        <w:rPr>
          <w:b/>
        </w:rPr>
        <w:tab/>
        <w:t>Критерии пункта c) приложения II</w:t>
      </w:r>
    </w:p>
    <w:p w:rsidR="004C673F" w:rsidRPr="00441017" w:rsidRDefault="004C673F" w:rsidP="004C673F">
      <w:pPr>
        <w:spacing w:after="120"/>
        <w:ind w:left="1247" w:firstLine="624"/>
        <w:rPr>
          <w:i/>
        </w:rPr>
      </w:pPr>
      <w:r>
        <w:tab/>
      </w:r>
      <w:r w:rsidRPr="00441017">
        <w:rPr>
          <w:i/>
        </w:rPr>
        <w:t>«c)</w:t>
      </w:r>
      <w:r w:rsidRPr="00441017">
        <w:rPr>
          <w:i/>
        </w:rPr>
        <w:tab/>
        <w:t>определяет, обеспечивает ли окончательное регламентационное постановление достаточно широкую основу для включения химического вещества в приложение III с учетом следующего:</w:t>
      </w:r>
    </w:p>
    <w:p w:rsidR="004C673F" w:rsidRPr="00441017" w:rsidRDefault="004C673F" w:rsidP="004C673F">
      <w:pPr>
        <w:spacing w:after="120"/>
        <w:ind w:left="3120" w:hanging="624"/>
        <w:rPr>
          <w:i/>
        </w:rPr>
      </w:pPr>
      <w:r w:rsidRPr="00441017">
        <w:rPr>
          <w:i/>
        </w:rPr>
        <w:t>i)</w:t>
      </w:r>
      <w:r w:rsidRPr="00441017">
        <w:rPr>
          <w:i/>
        </w:rPr>
        <w:tab/>
        <w:t>привело ли или, как ожидается, приведет ли принятие окончательного регламентационного постановления к значительному сокращению объема потребления данного химического вещества или числа видов его применения;»</w:t>
      </w:r>
    </w:p>
    <w:p w:rsidR="004C673F" w:rsidRPr="001E594A" w:rsidRDefault="004C673F" w:rsidP="004C673F">
      <w:pPr>
        <w:spacing w:after="120"/>
        <w:ind w:left="1247"/>
      </w:pPr>
      <w:r w:rsidRPr="00441017">
        <w:t>33.</w:t>
      </w:r>
      <w:r w:rsidRPr="00441017">
        <w:tab/>
      </w:r>
      <w:r w:rsidRPr="001E594A">
        <w:t>На основе данных, представленных в разделе 2.5.1 уведомления и во вспомогательной документации (UNEP/FAO/RC/CRC.13/INF/29, стр. 22), производство, импорт и экспорт фората в Бразилии прекращен</w:t>
      </w:r>
      <w:r>
        <w:t>ы</w:t>
      </w:r>
      <w:r w:rsidRPr="001E594A">
        <w:t>, как показано в таблице ниже.</w:t>
      </w:r>
    </w:p>
    <w:p w:rsidR="004C673F" w:rsidRPr="001E594A" w:rsidRDefault="004C673F" w:rsidP="004C673F">
      <w:pPr>
        <w:spacing w:after="120"/>
        <w:ind w:left="1247"/>
      </w:pPr>
      <w:r w:rsidRPr="00441017">
        <w:lastRenderedPageBreak/>
        <w:t>34.</w:t>
      </w:r>
      <w:r w:rsidRPr="00441017">
        <w:tab/>
      </w:r>
      <w:r w:rsidRPr="001E594A">
        <w:t>Окончательным регламентационным постановлением, принятым Бразилией в 2015 году, предотвращается любое дальнейшее производство, импорт, экспорт и применение.</w:t>
      </w:r>
    </w:p>
    <w:tbl>
      <w:tblPr>
        <w:tblStyle w:val="TableGrid"/>
        <w:tblW w:w="8335" w:type="dxa"/>
        <w:jc w:val="right"/>
        <w:tblLayout w:type="fixed"/>
        <w:tblLook w:val="04A0"/>
      </w:tblPr>
      <w:tblGrid>
        <w:gridCol w:w="1566"/>
        <w:gridCol w:w="5387"/>
        <w:gridCol w:w="1382"/>
      </w:tblGrid>
      <w:tr w:rsidR="004C673F" w:rsidRPr="00EF5E86" w:rsidTr="007D6E5F">
        <w:trPr>
          <w:trHeight w:val="340"/>
          <w:jc w:val="right"/>
        </w:trPr>
        <w:tc>
          <w:tcPr>
            <w:tcW w:w="1566" w:type="dxa"/>
          </w:tcPr>
          <w:p w:rsidR="004C673F" w:rsidRPr="00EF5E86" w:rsidRDefault="004C673F" w:rsidP="007D6E5F">
            <w:pPr>
              <w:spacing w:after="120"/>
              <w:ind w:left="1247"/>
              <w:rPr>
                <w:sz w:val="18"/>
                <w:szCs w:val="18"/>
              </w:rPr>
            </w:pPr>
          </w:p>
        </w:tc>
        <w:tc>
          <w:tcPr>
            <w:tcW w:w="5387" w:type="dxa"/>
          </w:tcPr>
          <w:p w:rsidR="004C673F" w:rsidRPr="00EF5E86" w:rsidRDefault="004C673F" w:rsidP="007D6E5F">
            <w:pPr>
              <w:spacing w:before="40" w:after="40"/>
              <w:rPr>
                <w:i/>
                <w:sz w:val="18"/>
                <w:szCs w:val="18"/>
              </w:rPr>
            </w:pPr>
            <w:r w:rsidRPr="00EF5E86">
              <w:rPr>
                <w:i/>
                <w:sz w:val="18"/>
                <w:szCs w:val="18"/>
              </w:rPr>
              <w:t>Количество в год (в тоннах)</w:t>
            </w:r>
          </w:p>
        </w:tc>
        <w:tc>
          <w:tcPr>
            <w:tcW w:w="1382" w:type="dxa"/>
          </w:tcPr>
          <w:p w:rsidR="004C673F" w:rsidRPr="00EF5E86" w:rsidRDefault="004C673F" w:rsidP="007D6E5F">
            <w:pPr>
              <w:spacing w:before="40" w:after="40"/>
              <w:rPr>
                <w:i/>
                <w:sz w:val="18"/>
                <w:szCs w:val="18"/>
              </w:rPr>
            </w:pPr>
            <w:r w:rsidRPr="00EF5E86">
              <w:rPr>
                <w:i/>
                <w:sz w:val="18"/>
                <w:szCs w:val="18"/>
              </w:rPr>
              <w:t>Год</w:t>
            </w:r>
          </w:p>
        </w:tc>
      </w:tr>
      <w:tr w:rsidR="004C673F" w:rsidRPr="00EF5E86" w:rsidTr="007D6E5F">
        <w:trPr>
          <w:trHeight w:val="340"/>
          <w:jc w:val="right"/>
        </w:trPr>
        <w:tc>
          <w:tcPr>
            <w:tcW w:w="1566" w:type="dxa"/>
          </w:tcPr>
          <w:p w:rsidR="004C673F" w:rsidRPr="00EF5E86" w:rsidRDefault="004C673F" w:rsidP="007D6E5F">
            <w:pPr>
              <w:spacing w:after="120"/>
              <w:jc w:val="both"/>
              <w:rPr>
                <w:sz w:val="18"/>
                <w:szCs w:val="18"/>
              </w:rPr>
            </w:pPr>
            <w:r w:rsidRPr="00EF5E86">
              <w:rPr>
                <w:sz w:val="18"/>
                <w:szCs w:val="18"/>
              </w:rPr>
              <w:t>Произведено</w:t>
            </w:r>
          </w:p>
        </w:tc>
        <w:tc>
          <w:tcPr>
            <w:tcW w:w="5387" w:type="dxa"/>
          </w:tcPr>
          <w:p w:rsidR="004C673F" w:rsidRPr="00EF5E86" w:rsidRDefault="004C673F" w:rsidP="007D6E5F">
            <w:pPr>
              <w:spacing w:before="40" w:after="40"/>
              <w:rPr>
                <w:sz w:val="18"/>
                <w:szCs w:val="18"/>
              </w:rPr>
            </w:pPr>
            <w:r w:rsidRPr="00EF5E86">
              <w:rPr>
                <w:sz w:val="18"/>
                <w:szCs w:val="18"/>
              </w:rPr>
              <w:t>Рецептурная продукция (конечная продукция): 153,9 т</w:t>
            </w:r>
          </w:p>
        </w:tc>
        <w:tc>
          <w:tcPr>
            <w:tcW w:w="1382" w:type="dxa"/>
          </w:tcPr>
          <w:p w:rsidR="004C673F" w:rsidRPr="00EF5E86" w:rsidRDefault="004C673F" w:rsidP="007D6E5F">
            <w:pPr>
              <w:spacing w:before="40" w:after="40"/>
              <w:rPr>
                <w:sz w:val="18"/>
                <w:szCs w:val="18"/>
              </w:rPr>
            </w:pPr>
            <w:r w:rsidRPr="00EF5E86">
              <w:rPr>
                <w:sz w:val="18"/>
                <w:szCs w:val="18"/>
              </w:rPr>
              <w:t>2009</w:t>
            </w:r>
          </w:p>
        </w:tc>
      </w:tr>
      <w:tr w:rsidR="004C673F" w:rsidRPr="00EF5E86" w:rsidTr="007D6E5F">
        <w:trPr>
          <w:trHeight w:val="340"/>
          <w:jc w:val="right"/>
        </w:trPr>
        <w:tc>
          <w:tcPr>
            <w:tcW w:w="1566" w:type="dxa"/>
          </w:tcPr>
          <w:p w:rsidR="004C673F" w:rsidRPr="00EF5E86" w:rsidRDefault="004C673F" w:rsidP="007D6E5F">
            <w:pPr>
              <w:spacing w:after="120"/>
              <w:jc w:val="both"/>
              <w:rPr>
                <w:sz w:val="18"/>
                <w:szCs w:val="18"/>
              </w:rPr>
            </w:pPr>
            <w:r w:rsidRPr="00EF5E86">
              <w:rPr>
                <w:sz w:val="18"/>
                <w:szCs w:val="18"/>
              </w:rPr>
              <w:t>Импортировано</w:t>
            </w:r>
          </w:p>
        </w:tc>
        <w:tc>
          <w:tcPr>
            <w:tcW w:w="5387" w:type="dxa"/>
          </w:tcPr>
          <w:p w:rsidR="004C673F" w:rsidRPr="00EF5E86" w:rsidRDefault="004C673F" w:rsidP="007D6E5F">
            <w:pPr>
              <w:spacing w:before="40" w:after="40"/>
              <w:rPr>
                <w:sz w:val="18"/>
                <w:szCs w:val="18"/>
              </w:rPr>
            </w:pPr>
            <w:r w:rsidRPr="00EF5E86">
              <w:rPr>
                <w:sz w:val="18"/>
                <w:szCs w:val="18"/>
              </w:rPr>
              <w:t>Активный ингредиент: 17,15 т</w:t>
            </w:r>
          </w:p>
        </w:tc>
        <w:tc>
          <w:tcPr>
            <w:tcW w:w="1382" w:type="dxa"/>
          </w:tcPr>
          <w:p w:rsidR="004C673F" w:rsidRPr="00EF5E86" w:rsidRDefault="004C673F" w:rsidP="007D6E5F">
            <w:pPr>
              <w:spacing w:before="40" w:after="40"/>
              <w:rPr>
                <w:sz w:val="18"/>
                <w:szCs w:val="18"/>
              </w:rPr>
            </w:pPr>
            <w:r w:rsidRPr="00EF5E86">
              <w:rPr>
                <w:sz w:val="18"/>
                <w:szCs w:val="18"/>
              </w:rPr>
              <w:t>2009</w:t>
            </w:r>
          </w:p>
        </w:tc>
      </w:tr>
      <w:tr w:rsidR="004C673F" w:rsidRPr="00EF5E86" w:rsidTr="007D6E5F">
        <w:trPr>
          <w:trHeight w:val="340"/>
          <w:jc w:val="right"/>
        </w:trPr>
        <w:tc>
          <w:tcPr>
            <w:tcW w:w="1566" w:type="dxa"/>
          </w:tcPr>
          <w:p w:rsidR="004C673F" w:rsidRPr="00EF5E86" w:rsidRDefault="004C673F" w:rsidP="007D6E5F">
            <w:pPr>
              <w:spacing w:after="120"/>
              <w:jc w:val="both"/>
              <w:rPr>
                <w:sz w:val="18"/>
                <w:szCs w:val="18"/>
              </w:rPr>
            </w:pPr>
            <w:r w:rsidRPr="00EF5E86">
              <w:rPr>
                <w:sz w:val="18"/>
                <w:szCs w:val="18"/>
              </w:rPr>
              <w:t>Экспортировано</w:t>
            </w:r>
          </w:p>
        </w:tc>
        <w:tc>
          <w:tcPr>
            <w:tcW w:w="5387" w:type="dxa"/>
          </w:tcPr>
          <w:p w:rsidR="004C673F" w:rsidRPr="00EF5E86" w:rsidRDefault="004C673F" w:rsidP="007D6E5F">
            <w:pPr>
              <w:spacing w:before="40" w:after="40"/>
              <w:rPr>
                <w:sz w:val="18"/>
                <w:szCs w:val="18"/>
              </w:rPr>
            </w:pPr>
            <w:r w:rsidRPr="00EF5E86">
              <w:rPr>
                <w:sz w:val="18"/>
                <w:szCs w:val="18"/>
              </w:rPr>
              <w:t>Активный ингредиент: 35,96 т</w:t>
            </w:r>
          </w:p>
        </w:tc>
        <w:tc>
          <w:tcPr>
            <w:tcW w:w="1382" w:type="dxa"/>
          </w:tcPr>
          <w:p w:rsidR="004C673F" w:rsidRPr="00EF5E86" w:rsidRDefault="004C673F" w:rsidP="007D6E5F">
            <w:pPr>
              <w:spacing w:before="40" w:after="40"/>
              <w:rPr>
                <w:sz w:val="18"/>
                <w:szCs w:val="18"/>
              </w:rPr>
            </w:pPr>
            <w:r w:rsidRPr="00EF5E86">
              <w:rPr>
                <w:sz w:val="18"/>
                <w:szCs w:val="18"/>
              </w:rPr>
              <w:t>2011</w:t>
            </w:r>
          </w:p>
        </w:tc>
      </w:tr>
      <w:tr w:rsidR="004C673F" w:rsidRPr="00EF5E86" w:rsidTr="007D6E5F">
        <w:trPr>
          <w:trHeight w:val="340"/>
          <w:jc w:val="right"/>
        </w:trPr>
        <w:tc>
          <w:tcPr>
            <w:tcW w:w="1566" w:type="dxa"/>
            <w:vMerge w:val="restart"/>
          </w:tcPr>
          <w:p w:rsidR="004C673F" w:rsidRPr="00EF5E86" w:rsidRDefault="004C673F" w:rsidP="007D6E5F">
            <w:pPr>
              <w:spacing w:after="120"/>
              <w:jc w:val="both"/>
              <w:rPr>
                <w:sz w:val="18"/>
                <w:szCs w:val="18"/>
              </w:rPr>
            </w:pPr>
            <w:r w:rsidRPr="00EF5E86">
              <w:rPr>
                <w:sz w:val="18"/>
                <w:szCs w:val="18"/>
              </w:rPr>
              <w:t>Применено</w:t>
            </w:r>
          </w:p>
          <w:p w:rsidR="004C673F" w:rsidRPr="00EF5E86" w:rsidRDefault="004C673F" w:rsidP="007D6E5F">
            <w:pPr>
              <w:spacing w:after="120"/>
              <w:jc w:val="both"/>
              <w:rPr>
                <w:sz w:val="18"/>
                <w:szCs w:val="18"/>
              </w:rPr>
            </w:pPr>
          </w:p>
        </w:tc>
        <w:tc>
          <w:tcPr>
            <w:tcW w:w="5387" w:type="dxa"/>
          </w:tcPr>
          <w:p w:rsidR="004C673F" w:rsidRPr="00EF5E86" w:rsidRDefault="004C673F" w:rsidP="007D6E5F">
            <w:pPr>
              <w:spacing w:before="40" w:after="40"/>
              <w:rPr>
                <w:sz w:val="18"/>
                <w:szCs w:val="18"/>
              </w:rPr>
            </w:pPr>
            <w:r w:rsidRPr="00EF5E86">
              <w:rPr>
                <w:sz w:val="18"/>
                <w:szCs w:val="18"/>
              </w:rPr>
              <w:t>Реализация активного ингредиента: 26,49 т</w:t>
            </w:r>
          </w:p>
        </w:tc>
        <w:tc>
          <w:tcPr>
            <w:tcW w:w="1382" w:type="dxa"/>
          </w:tcPr>
          <w:p w:rsidR="004C673F" w:rsidRPr="00EF5E86" w:rsidRDefault="004C673F" w:rsidP="007D6E5F">
            <w:pPr>
              <w:spacing w:before="40" w:after="40"/>
              <w:rPr>
                <w:sz w:val="18"/>
                <w:szCs w:val="18"/>
              </w:rPr>
            </w:pPr>
            <w:r w:rsidRPr="00EF5E86">
              <w:rPr>
                <w:sz w:val="18"/>
                <w:szCs w:val="18"/>
              </w:rPr>
              <w:t>2009</w:t>
            </w:r>
          </w:p>
        </w:tc>
      </w:tr>
      <w:tr w:rsidR="004C673F" w:rsidRPr="00EF5E86" w:rsidTr="007D6E5F">
        <w:trPr>
          <w:trHeight w:val="340"/>
          <w:jc w:val="right"/>
        </w:trPr>
        <w:tc>
          <w:tcPr>
            <w:tcW w:w="1566" w:type="dxa"/>
            <w:vMerge/>
          </w:tcPr>
          <w:p w:rsidR="004C673F" w:rsidRPr="00EF5E86" w:rsidRDefault="004C673F" w:rsidP="007D6E5F">
            <w:pPr>
              <w:spacing w:after="120"/>
              <w:ind w:left="1247"/>
              <w:rPr>
                <w:sz w:val="18"/>
                <w:szCs w:val="18"/>
              </w:rPr>
            </w:pPr>
          </w:p>
        </w:tc>
        <w:tc>
          <w:tcPr>
            <w:tcW w:w="5387" w:type="dxa"/>
          </w:tcPr>
          <w:p w:rsidR="004C673F" w:rsidRPr="00EF5E86" w:rsidRDefault="004C673F" w:rsidP="007D6E5F">
            <w:pPr>
              <w:spacing w:before="40" w:after="40"/>
              <w:rPr>
                <w:sz w:val="18"/>
                <w:szCs w:val="18"/>
              </w:rPr>
            </w:pPr>
            <w:r w:rsidRPr="00EF5E86">
              <w:rPr>
                <w:sz w:val="18"/>
                <w:szCs w:val="18"/>
              </w:rPr>
              <w:t>Рецептурная продукция (конечная продукция): 272,58 т</w:t>
            </w:r>
          </w:p>
        </w:tc>
        <w:tc>
          <w:tcPr>
            <w:tcW w:w="1382" w:type="dxa"/>
          </w:tcPr>
          <w:p w:rsidR="004C673F" w:rsidRPr="00EF5E86" w:rsidRDefault="004C673F" w:rsidP="007D6E5F">
            <w:pPr>
              <w:spacing w:before="40" w:after="40"/>
              <w:rPr>
                <w:sz w:val="18"/>
                <w:szCs w:val="18"/>
              </w:rPr>
            </w:pPr>
            <w:r w:rsidRPr="00EF5E86">
              <w:rPr>
                <w:sz w:val="18"/>
                <w:szCs w:val="18"/>
              </w:rPr>
              <w:t>2009</w:t>
            </w:r>
          </w:p>
        </w:tc>
      </w:tr>
      <w:tr w:rsidR="004C673F" w:rsidRPr="00EF5E86" w:rsidTr="007D6E5F">
        <w:trPr>
          <w:trHeight w:val="340"/>
          <w:jc w:val="right"/>
        </w:trPr>
        <w:tc>
          <w:tcPr>
            <w:tcW w:w="1566" w:type="dxa"/>
            <w:vMerge/>
          </w:tcPr>
          <w:p w:rsidR="004C673F" w:rsidRPr="00EF5E86" w:rsidRDefault="004C673F" w:rsidP="007D6E5F">
            <w:pPr>
              <w:spacing w:after="120"/>
              <w:ind w:left="1247"/>
              <w:rPr>
                <w:sz w:val="18"/>
                <w:szCs w:val="18"/>
              </w:rPr>
            </w:pPr>
          </w:p>
        </w:tc>
        <w:tc>
          <w:tcPr>
            <w:tcW w:w="5387" w:type="dxa"/>
          </w:tcPr>
          <w:p w:rsidR="004C673F" w:rsidRPr="00EF5E86" w:rsidRDefault="004C673F" w:rsidP="007D6E5F">
            <w:pPr>
              <w:spacing w:before="40" w:after="40"/>
              <w:rPr>
                <w:sz w:val="18"/>
                <w:szCs w:val="18"/>
              </w:rPr>
            </w:pPr>
            <w:r w:rsidRPr="00EF5E86">
              <w:rPr>
                <w:sz w:val="18"/>
                <w:szCs w:val="18"/>
              </w:rPr>
              <w:t>Рецептурная продукция (конечная продукция): 6,72 т</w:t>
            </w:r>
          </w:p>
        </w:tc>
        <w:tc>
          <w:tcPr>
            <w:tcW w:w="1382" w:type="dxa"/>
          </w:tcPr>
          <w:p w:rsidR="004C673F" w:rsidRPr="00EF5E86" w:rsidRDefault="004C673F" w:rsidP="007D6E5F">
            <w:pPr>
              <w:spacing w:before="40" w:after="40"/>
              <w:rPr>
                <w:sz w:val="18"/>
                <w:szCs w:val="18"/>
              </w:rPr>
            </w:pPr>
            <w:r w:rsidRPr="00EF5E86">
              <w:rPr>
                <w:sz w:val="18"/>
                <w:szCs w:val="18"/>
              </w:rPr>
              <w:t>2010</w:t>
            </w:r>
          </w:p>
        </w:tc>
      </w:tr>
      <w:tr w:rsidR="004C673F" w:rsidRPr="00EF5E86" w:rsidTr="007D6E5F">
        <w:trPr>
          <w:trHeight w:val="340"/>
          <w:jc w:val="right"/>
        </w:trPr>
        <w:tc>
          <w:tcPr>
            <w:tcW w:w="1566" w:type="dxa"/>
            <w:vMerge/>
          </w:tcPr>
          <w:p w:rsidR="004C673F" w:rsidRPr="00EF5E86" w:rsidRDefault="004C673F" w:rsidP="007D6E5F">
            <w:pPr>
              <w:spacing w:after="120"/>
              <w:ind w:left="1247"/>
              <w:rPr>
                <w:sz w:val="18"/>
                <w:szCs w:val="18"/>
              </w:rPr>
            </w:pPr>
          </w:p>
        </w:tc>
        <w:tc>
          <w:tcPr>
            <w:tcW w:w="5387" w:type="dxa"/>
          </w:tcPr>
          <w:p w:rsidR="004C673F" w:rsidRPr="00EF5E86" w:rsidRDefault="004C673F" w:rsidP="007D6E5F">
            <w:pPr>
              <w:spacing w:before="40" w:after="40"/>
              <w:rPr>
                <w:sz w:val="18"/>
                <w:szCs w:val="18"/>
              </w:rPr>
            </w:pPr>
            <w:r w:rsidRPr="00EF5E86">
              <w:rPr>
                <w:sz w:val="18"/>
                <w:szCs w:val="18"/>
              </w:rPr>
              <w:t>Реализация рецептурной продукции (конечная продукция): 0,01 т</w:t>
            </w:r>
          </w:p>
        </w:tc>
        <w:tc>
          <w:tcPr>
            <w:tcW w:w="1382" w:type="dxa"/>
          </w:tcPr>
          <w:p w:rsidR="004C673F" w:rsidRPr="00EF5E86" w:rsidRDefault="004C673F" w:rsidP="007D6E5F">
            <w:pPr>
              <w:spacing w:before="40" w:after="40"/>
              <w:rPr>
                <w:sz w:val="18"/>
                <w:szCs w:val="18"/>
              </w:rPr>
            </w:pPr>
            <w:r w:rsidRPr="00EF5E86">
              <w:rPr>
                <w:sz w:val="18"/>
                <w:szCs w:val="18"/>
              </w:rPr>
              <w:t>2011</w:t>
            </w:r>
          </w:p>
        </w:tc>
      </w:tr>
      <w:tr w:rsidR="004C673F" w:rsidRPr="00EF5E86" w:rsidTr="007D6E5F">
        <w:trPr>
          <w:trHeight w:val="340"/>
          <w:jc w:val="right"/>
        </w:trPr>
        <w:tc>
          <w:tcPr>
            <w:tcW w:w="1566" w:type="dxa"/>
            <w:vMerge/>
          </w:tcPr>
          <w:p w:rsidR="004C673F" w:rsidRPr="00EF5E86" w:rsidRDefault="004C673F" w:rsidP="007D6E5F">
            <w:pPr>
              <w:spacing w:after="120"/>
              <w:ind w:left="1247"/>
              <w:rPr>
                <w:sz w:val="18"/>
                <w:szCs w:val="18"/>
              </w:rPr>
            </w:pPr>
          </w:p>
        </w:tc>
        <w:tc>
          <w:tcPr>
            <w:tcW w:w="5387" w:type="dxa"/>
          </w:tcPr>
          <w:p w:rsidR="004C673F" w:rsidRPr="00EF5E86" w:rsidRDefault="004C673F" w:rsidP="007D6E5F">
            <w:pPr>
              <w:spacing w:before="40" w:after="40"/>
              <w:rPr>
                <w:sz w:val="18"/>
                <w:szCs w:val="18"/>
              </w:rPr>
            </w:pPr>
            <w:r w:rsidRPr="00EF5E86">
              <w:rPr>
                <w:sz w:val="18"/>
                <w:szCs w:val="18"/>
              </w:rPr>
              <w:t>Отсутствие производства,</w:t>
            </w:r>
            <w:r>
              <w:rPr>
                <w:sz w:val="18"/>
                <w:szCs w:val="18"/>
              </w:rPr>
              <w:t xml:space="preserve"> импорта, экспорта и реализации</w:t>
            </w:r>
          </w:p>
        </w:tc>
        <w:tc>
          <w:tcPr>
            <w:tcW w:w="1382" w:type="dxa"/>
          </w:tcPr>
          <w:p w:rsidR="004C673F" w:rsidRPr="00EF5E86" w:rsidRDefault="004C673F" w:rsidP="007D6E5F">
            <w:pPr>
              <w:spacing w:before="40" w:after="40"/>
              <w:rPr>
                <w:sz w:val="18"/>
                <w:szCs w:val="18"/>
              </w:rPr>
            </w:pPr>
            <w:r w:rsidRPr="00EF5E86">
              <w:rPr>
                <w:sz w:val="18"/>
                <w:szCs w:val="18"/>
              </w:rPr>
              <w:t>2012, 2013, 2014, 2015</w:t>
            </w:r>
          </w:p>
        </w:tc>
      </w:tr>
    </w:tbl>
    <w:p w:rsidR="004C673F" w:rsidRPr="001E594A" w:rsidRDefault="004C673F" w:rsidP="004C673F">
      <w:pPr>
        <w:spacing w:before="120" w:after="120"/>
        <w:ind w:left="1247"/>
      </w:pPr>
      <w:r w:rsidRPr="00C65100">
        <w:t>35.</w:t>
      </w:r>
      <w:r w:rsidRPr="00C65100">
        <w:tab/>
      </w:r>
      <w:r w:rsidRPr="001E594A">
        <w:t xml:space="preserve">По этой причине Комитетом подтверждается соответствие критерию, изложенному в пункте c) i). </w:t>
      </w:r>
    </w:p>
    <w:p w:rsidR="004C673F" w:rsidRPr="00C65100" w:rsidRDefault="004C673F" w:rsidP="004C673F">
      <w:pPr>
        <w:spacing w:after="120"/>
        <w:ind w:left="3120" w:hanging="624"/>
        <w:rPr>
          <w:i/>
        </w:rPr>
      </w:pPr>
      <w:r w:rsidRPr="00C65100">
        <w:rPr>
          <w:i/>
        </w:rPr>
        <w:t>«ii)</w:t>
      </w:r>
      <w:r w:rsidRPr="00C65100">
        <w:rPr>
          <w:i/>
        </w:rPr>
        <w:tab/>
        <w:t>привело ли окончательное регламентационное постановление к фактическому уменьшению или, как ожидается, к значительному уменьшению риска для здоровья человека и окружающей среды в Стороне, которая представила уведомление;»</w:t>
      </w:r>
    </w:p>
    <w:p w:rsidR="004C673F" w:rsidRPr="001E594A" w:rsidRDefault="004C673F" w:rsidP="004C673F">
      <w:pPr>
        <w:spacing w:after="120"/>
        <w:ind w:left="1247"/>
      </w:pPr>
      <w:r w:rsidRPr="00C65100">
        <w:t>36.</w:t>
      </w:r>
      <w:r w:rsidRPr="00C65100">
        <w:tab/>
      </w:r>
      <w:r w:rsidRPr="001E594A">
        <w:t>Окончательным регламентационным постановлением запрещаются производство, применение, оборот, импорт и экспорт фората. Информацией, приведенной в разделе 2.5.1 уведомления и во вспомогательной документации, подтверждается, что количество произведенного и поступившего в оборот на рынке в Бразилии фората уменьшилось до нуля. Соответственно, это привело к существенному уменьшению обусловленных форатом рисков для здоровья человека.</w:t>
      </w:r>
    </w:p>
    <w:p w:rsidR="004C673F" w:rsidRPr="001E594A" w:rsidRDefault="004C673F" w:rsidP="004C673F">
      <w:pPr>
        <w:spacing w:after="120"/>
        <w:ind w:left="1247"/>
      </w:pPr>
      <w:r w:rsidRPr="00C65100">
        <w:t>37.</w:t>
      </w:r>
      <w:r w:rsidRPr="00C65100">
        <w:tab/>
      </w:r>
      <w:r w:rsidRPr="001E594A">
        <w:t xml:space="preserve">По этой причине Комитетом подтверждается соответствие критерию, изложенному в подпункте c) ii). </w:t>
      </w:r>
    </w:p>
    <w:p w:rsidR="004C673F" w:rsidRPr="00C65100" w:rsidRDefault="004C673F" w:rsidP="004C673F">
      <w:pPr>
        <w:spacing w:after="120"/>
        <w:ind w:left="2496" w:hanging="624"/>
        <w:rPr>
          <w:i/>
        </w:rPr>
      </w:pPr>
      <w:bookmarkStart w:id="2" w:name="bookmark_371"/>
      <w:r w:rsidRPr="00C65100">
        <w:rPr>
          <w:i/>
        </w:rPr>
        <w:t>«iii)</w:t>
      </w:r>
      <w:r w:rsidRPr="00C65100">
        <w:rPr>
          <w:i/>
        </w:rPr>
        <w:tab/>
        <w:t>являются ли соображения, послужившие основой для принятия окончательного регламентационного постановления, применимыми лишь в ограниченном географическом регионе или в других ограниченных обстоятельствах;»</w:t>
      </w:r>
      <w:bookmarkEnd w:id="2"/>
    </w:p>
    <w:p w:rsidR="004C673F" w:rsidRPr="001E594A" w:rsidRDefault="004C673F" w:rsidP="004C673F">
      <w:pPr>
        <w:spacing w:after="120"/>
        <w:ind w:left="1247"/>
      </w:pPr>
      <w:bookmarkStart w:id="3" w:name="bookmark_372"/>
      <w:r w:rsidRPr="00C65100">
        <w:t>38.</w:t>
      </w:r>
      <w:r w:rsidRPr="00C65100">
        <w:tab/>
      </w:r>
      <w:r w:rsidRPr="001E594A">
        <w:t>В разделе 2.5.2 уведомления указывается, что аналогичные проблемы для здоровья и окружающей среды вероятны в других странах, в которых применяется это вещество.</w:t>
      </w:r>
      <w:bookmarkEnd w:id="3"/>
    </w:p>
    <w:p w:rsidR="004C673F" w:rsidRPr="001E594A" w:rsidRDefault="004C673F" w:rsidP="004C673F">
      <w:pPr>
        <w:spacing w:after="120"/>
        <w:ind w:left="1247"/>
      </w:pPr>
      <w:bookmarkStart w:id="4" w:name="bookmark_373"/>
      <w:r>
        <w:t>39</w:t>
      </w:r>
      <w:r w:rsidRPr="00C65100">
        <w:t>.</w:t>
      </w:r>
      <w:r w:rsidRPr="00C65100">
        <w:tab/>
      </w:r>
      <w:r w:rsidRPr="001E594A">
        <w:t>Во вспомогательной документации (UNEP/FAO/RC/CRC.13/INF/29, стр. 22) указывается, что вопрос об ограничении применения фората следует рассмотреть всем государствам ввиду высокого риска, связанного со всеми видами применения и токсикологического воздействия и обусловленных активным ин</w:t>
      </w:r>
      <w:r>
        <w:t>гредиентом, особенно в связи с «</w:t>
      </w:r>
      <w:r w:rsidRPr="001E594A">
        <w:t>наличием свойств, обеспечивающих более высокую токсичность для человека в сравнении с результатами исп</w:t>
      </w:r>
      <w:r>
        <w:t>ытаний на лабораторных животных»</w:t>
      </w:r>
      <w:r w:rsidRPr="001E594A">
        <w:t xml:space="preserve">; потенциал вызывать нарушение работы эндокринной системы и отсутствие противоядия или эффективного лечения в случаях поздней полиневропатии. </w:t>
      </w:r>
      <w:bookmarkEnd w:id="4"/>
    </w:p>
    <w:p w:rsidR="004C673F" w:rsidRPr="001E594A" w:rsidRDefault="004C673F" w:rsidP="004C673F">
      <w:pPr>
        <w:spacing w:after="120"/>
        <w:ind w:left="1247"/>
      </w:pPr>
      <w:bookmarkStart w:id="5" w:name="bookmark_374"/>
      <w:r>
        <w:t>40.</w:t>
      </w:r>
      <w:r>
        <w:tab/>
      </w:r>
      <w:r w:rsidRPr="001E594A">
        <w:t>Основания для запрещения Бразилией производства, применения, оборота, экспорта и импорта фората могут быть достаточными для всех государств, в которых этот активный ингредиент по-прежнему используется в качестве пестицида.</w:t>
      </w:r>
      <w:bookmarkEnd w:id="5"/>
    </w:p>
    <w:p w:rsidR="004C673F" w:rsidRPr="001E594A" w:rsidRDefault="004C673F" w:rsidP="004C673F">
      <w:pPr>
        <w:spacing w:after="120"/>
        <w:ind w:left="1247"/>
      </w:pPr>
      <w:bookmarkStart w:id="6" w:name="bookmark_375"/>
      <w:r>
        <w:t>41.</w:t>
      </w:r>
      <w:r>
        <w:tab/>
      </w:r>
      <w:r w:rsidRPr="001E594A">
        <w:t>По этой причине Комитетом подтверждается соответствие критерию, изложенному в подпункте c) i</w:t>
      </w:r>
      <w:r>
        <w:rPr>
          <w:lang w:val="en-US"/>
        </w:rPr>
        <w:t>ii</w:t>
      </w:r>
      <w:r w:rsidRPr="001E594A">
        <w:t xml:space="preserve">). </w:t>
      </w:r>
      <w:bookmarkEnd w:id="6"/>
    </w:p>
    <w:p w:rsidR="004C673F" w:rsidRPr="00C65100" w:rsidRDefault="004C673F" w:rsidP="004C673F">
      <w:pPr>
        <w:spacing w:after="120"/>
        <w:ind w:left="2496" w:hanging="624"/>
        <w:rPr>
          <w:i/>
        </w:rPr>
      </w:pPr>
      <w:bookmarkStart w:id="7" w:name="bookmark_376"/>
      <w:r w:rsidRPr="00C65100">
        <w:rPr>
          <w:i/>
        </w:rPr>
        <w:lastRenderedPageBreak/>
        <w:t>«iv)</w:t>
      </w:r>
      <w:r w:rsidRPr="00C65100">
        <w:rPr>
          <w:i/>
        </w:rPr>
        <w:tab/>
        <w:t>имеются ли факты продолжающейся торговли этим химическим веществом на международном уровне;»</w:t>
      </w:r>
      <w:bookmarkEnd w:id="7"/>
    </w:p>
    <w:p w:rsidR="004C673F" w:rsidRPr="001E594A" w:rsidRDefault="004C673F" w:rsidP="004C673F">
      <w:pPr>
        <w:spacing w:after="120"/>
        <w:ind w:left="1247"/>
      </w:pPr>
      <w:bookmarkStart w:id="8" w:name="bookmark_377"/>
      <w:r>
        <w:t>42.</w:t>
      </w:r>
      <w:r>
        <w:tab/>
      </w:r>
      <w:r w:rsidRPr="001E594A">
        <w:t>В документе UNEP/FAO/RC/CRC.13/INF/5, в котором содержатся ответы на запрос секретариат в соответствии с пунктом c) iv) приложения II к Конвен</w:t>
      </w:r>
      <w:r>
        <w:t>ции о торговле, информацией от «Кроплайф интернэшнл»</w:t>
      </w:r>
      <w:r w:rsidRPr="001E594A">
        <w:t xml:space="preserve"> подтверждается продолжающаяся торговля форатом. </w:t>
      </w:r>
      <w:bookmarkEnd w:id="8"/>
    </w:p>
    <w:p w:rsidR="004C673F" w:rsidRPr="001E594A" w:rsidRDefault="004C673F" w:rsidP="004C673F">
      <w:pPr>
        <w:spacing w:after="120"/>
        <w:ind w:left="1247"/>
      </w:pPr>
      <w:bookmarkStart w:id="9" w:name="bookmark_378"/>
      <w:r>
        <w:t>43.</w:t>
      </w:r>
      <w:r>
        <w:tab/>
      </w:r>
      <w:r w:rsidRPr="001E594A">
        <w:t xml:space="preserve">Факт продолжающейся торговли также </w:t>
      </w:r>
      <w:r>
        <w:t>подтверждается наличием в сети «Интернет»</w:t>
      </w:r>
      <w:r w:rsidRPr="001E594A">
        <w:t xml:space="preserve"> предложений о реализации фората (https://www.tradeindia.com/suppliers/phorate.html).</w:t>
      </w:r>
      <w:bookmarkEnd w:id="9"/>
    </w:p>
    <w:p w:rsidR="004C673F" w:rsidRPr="001E594A" w:rsidRDefault="004C673F" w:rsidP="004C673F">
      <w:pPr>
        <w:spacing w:after="120"/>
        <w:ind w:left="1247"/>
      </w:pPr>
      <w:bookmarkStart w:id="10" w:name="bookmark_379"/>
      <w:r>
        <w:t>44.</w:t>
      </w:r>
      <w:r>
        <w:tab/>
      </w:r>
      <w:r w:rsidRPr="001E594A">
        <w:t>По этой причине Комитетом подтверждается соответствие критерию, изложенному в подпункте c) iv).</w:t>
      </w:r>
      <w:bookmarkEnd w:id="10"/>
    </w:p>
    <w:p w:rsidR="004C673F" w:rsidRPr="00C65100" w:rsidRDefault="004C673F" w:rsidP="004C673F">
      <w:pPr>
        <w:tabs>
          <w:tab w:val="right" w:pos="851"/>
        </w:tabs>
        <w:spacing w:after="120"/>
        <w:ind w:left="1247" w:hanging="1247"/>
        <w:rPr>
          <w:b/>
        </w:rPr>
      </w:pPr>
      <w:bookmarkStart w:id="11" w:name="bookmark_380"/>
      <w:r>
        <w:rPr>
          <w:b/>
        </w:rPr>
        <w:tab/>
      </w:r>
      <w:r w:rsidRPr="00C65100">
        <w:rPr>
          <w:b/>
        </w:rPr>
        <w:t>e)</w:t>
      </w:r>
      <w:r w:rsidRPr="00C65100">
        <w:rPr>
          <w:b/>
        </w:rPr>
        <w:tab/>
        <w:t>Критерий пункта d) приложения II</w:t>
      </w:r>
      <w:bookmarkEnd w:id="11"/>
    </w:p>
    <w:p w:rsidR="004C673F" w:rsidRPr="00C65100" w:rsidRDefault="004C673F" w:rsidP="004C673F">
      <w:pPr>
        <w:spacing w:after="120"/>
        <w:ind w:left="1248" w:firstLine="624"/>
        <w:rPr>
          <w:i/>
        </w:rPr>
      </w:pPr>
      <w:bookmarkStart w:id="12" w:name="bookmark_381"/>
      <w:r w:rsidRPr="00C65100">
        <w:rPr>
          <w:i/>
        </w:rPr>
        <w:t>«d)</w:t>
      </w:r>
      <w:r w:rsidRPr="00C65100">
        <w:rPr>
          <w:i/>
        </w:rPr>
        <w:tab/>
        <w:t>учитывает, что преднамеренное неправильное использование не является само по себе достаточным основанием для включения химического вещества в приложение III.»</w:t>
      </w:r>
      <w:bookmarkEnd w:id="12"/>
    </w:p>
    <w:p w:rsidR="004C673F" w:rsidRPr="001E594A" w:rsidRDefault="004C673F" w:rsidP="004C673F">
      <w:pPr>
        <w:spacing w:after="120"/>
        <w:ind w:left="1247"/>
        <w:rPr>
          <w:rFonts w:eastAsia="SimSun"/>
        </w:rPr>
      </w:pPr>
      <w:bookmarkStart w:id="13" w:name="bookmark_382"/>
      <w:r>
        <w:t>45.</w:t>
      </w:r>
      <w:r>
        <w:tab/>
      </w:r>
      <w:r w:rsidRPr="001E594A">
        <w:t xml:space="preserve">В уведомлении или вспомогательной документации отсутствуют какие-либо указания на то, что основанием для регламентационного постановления стали опасения по поводу преднамеренного неправильного использования фората. </w:t>
      </w:r>
      <w:bookmarkEnd w:id="13"/>
    </w:p>
    <w:p w:rsidR="004C673F" w:rsidRPr="001E594A" w:rsidRDefault="004C673F" w:rsidP="004C673F">
      <w:pPr>
        <w:spacing w:after="120"/>
        <w:ind w:left="1247"/>
        <w:rPr>
          <w:rFonts w:eastAsia="SimSun"/>
        </w:rPr>
      </w:pPr>
      <w:bookmarkStart w:id="14" w:name="bookmark_383"/>
      <w:r>
        <w:t>46.</w:t>
      </w:r>
      <w:r>
        <w:tab/>
      </w:r>
      <w:r w:rsidRPr="001E594A">
        <w:t>На указанном выше основании Комитетом подтверждается соответствие</w:t>
      </w:r>
      <w:r>
        <w:t xml:space="preserve"> критерию, указанному в пункте </w:t>
      </w:r>
      <w:r w:rsidRPr="001E594A">
        <w:t xml:space="preserve">d). </w:t>
      </w:r>
      <w:bookmarkEnd w:id="14"/>
    </w:p>
    <w:p w:rsidR="004C673F" w:rsidRPr="00C65100" w:rsidRDefault="004C673F" w:rsidP="004C673F">
      <w:pPr>
        <w:tabs>
          <w:tab w:val="right" w:pos="851"/>
        </w:tabs>
        <w:spacing w:after="120"/>
        <w:ind w:left="1247" w:hanging="1247"/>
        <w:rPr>
          <w:b/>
        </w:rPr>
      </w:pPr>
      <w:bookmarkStart w:id="15" w:name="bookmark_384"/>
      <w:r>
        <w:rPr>
          <w:b/>
        </w:rPr>
        <w:tab/>
      </w:r>
      <w:r w:rsidRPr="00C65100">
        <w:rPr>
          <w:b/>
        </w:rPr>
        <w:t>f)</w:t>
      </w:r>
      <w:r w:rsidRPr="00C65100">
        <w:rPr>
          <w:b/>
        </w:rPr>
        <w:tab/>
        <w:t>Заключение</w:t>
      </w:r>
      <w:bookmarkEnd w:id="15"/>
    </w:p>
    <w:p w:rsidR="004C673F" w:rsidRPr="001E594A" w:rsidRDefault="004C673F" w:rsidP="004C673F">
      <w:pPr>
        <w:spacing w:after="120"/>
        <w:ind w:left="1247"/>
      </w:pPr>
      <w:bookmarkStart w:id="16" w:name="bookmark_385"/>
      <w:r>
        <w:t>47.</w:t>
      </w:r>
      <w:r>
        <w:tab/>
      </w:r>
      <w:r w:rsidRPr="001E594A">
        <w:t>По этой причине Комитетом делается заключение, что представленное Бразилией уведомление об окончательном регламентационном постановлении в отноше</w:t>
      </w:r>
      <w:r>
        <w:t>нии фората (в рамках категории «пестициды»</w:t>
      </w:r>
      <w:r w:rsidRPr="001E594A">
        <w:t>) соответствует всем критериям, изложенным в приложении II к Конвенции. Принимая во внимание заключение Комитета о том, что направленное Канадой уведомление об окончательном регламентационном постановлении в отношении фората также соответствует критериям, изложенным в приложении II</w:t>
      </w:r>
      <w:r w:rsidRPr="00C65100">
        <w:rPr>
          <w:vertAlign w:val="superscript"/>
        </w:rPr>
        <w:footnoteReference w:id="3"/>
      </w:r>
      <w:r w:rsidRPr="001E594A">
        <w:t xml:space="preserve">, Комитетом делается заключение, что принятые Бразилией и Канадой окончательные регламентационные постановления составляют достаточное основание для включения фората в приложение III </w:t>
      </w:r>
      <w:r>
        <w:t>к Конвенции в рамках категории «пестициды»</w:t>
      </w:r>
      <w:r w:rsidRPr="001E594A">
        <w:t xml:space="preserve"> и на основе этих уведомлений следует подготовить проект документа для содействия принятию решения.</w:t>
      </w:r>
      <w:bookmarkEnd w:id="16"/>
    </w:p>
    <w:p w:rsidR="000C080E" w:rsidRDefault="000C080E"/>
    <w:sectPr w:rsidR="000C080E" w:rsidSect="000C08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139" w:rsidRDefault="00534139" w:rsidP="004C673F">
      <w:r>
        <w:separator/>
      </w:r>
    </w:p>
  </w:endnote>
  <w:endnote w:type="continuationSeparator" w:id="0">
    <w:p w:rsidR="00534139" w:rsidRDefault="00534139" w:rsidP="004C67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139" w:rsidRDefault="00534139" w:rsidP="004C673F">
      <w:r>
        <w:separator/>
      </w:r>
    </w:p>
  </w:footnote>
  <w:footnote w:type="continuationSeparator" w:id="0">
    <w:p w:rsidR="00534139" w:rsidRDefault="00534139" w:rsidP="004C673F">
      <w:r>
        <w:continuationSeparator/>
      </w:r>
    </w:p>
  </w:footnote>
  <w:footnote w:id="1">
    <w:p w:rsidR="004C673F" w:rsidRPr="00EF5E86" w:rsidRDefault="004C673F" w:rsidP="004C673F">
      <w:pPr>
        <w:pStyle w:val="FootnoteText"/>
        <w:spacing w:before="20" w:after="40"/>
        <w:ind w:left="1247"/>
        <w:rPr>
          <w:sz w:val="18"/>
          <w:szCs w:val="18"/>
        </w:rPr>
      </w:pPr>
      <w:r w:rsidRPr="00EF5E86">
        <w:rPr>
          <w:rStyle w:val="FootnoteReference"/>
          <w:sz w:val="18"/>
          <w:szCs w:val="18"/>
        </w:rPr>
        <w:footnoteRef/>
      </w:r>
      <w:bookmarkStart w:id="0" w:name="footnoteBookmark_291"/>
      <w:r w:rsidRPr="00EF5E86">
        <w:rPr>
          <w:sz w:val="18"/>
          <w:szCs w:val="18"/>
        </w:rPr>
        <w:tab/>
        <w:t>UNEP/FAO/RC/CRC.5/16, приложение III, раздел B.</w:t>
      </w:r>
      <w:bookmarkEnd w:id="0"/>
    </w:p>
  </w:footnote>
  <w:footnote w:id="2">
    <w:p w:rsidR="004C673F" w:rsidRPr="00EF5E86" w:rsidRDefault="004C673F" w:rsidP="004C673F">
      <w:pPr>
        <w:pStyle w:val="FootnoteText"/>
        <w:spacing w:before="20" w:after="40"/>
        <w:ind w:left="1247"/>
        <w:rPr>
          <w:sz w:val="18"/>
          <w:szCs w:val="18"/>
          <w:lang w:val="en-US"/>
        </w:rPr>
      </w:pPr>
      <w:r w:rsidRPr="00EF5E86">
        <w:rPr>
          <w:rStyle w:val="FootnoteReference"/>
          <w:sz w:val="18"/>
          <w:szCs w:val="18"/>
        </w:rPr>
        <w:footnoteRef/>
      </w:r>
      <w:bookmarkStart w:id="1" w:name="footnoteBookmark_293"/>
      <w:r w:rsidRPr="00EF5E86">
        <w:rPr>
          <w:sz w:val="18"/>
          <w:szCs w:val="18"/>
          <w:lang w:val="en-US"/>
        </w:rPr>
        <w:tab/>
      </w:r>
      <w:r w:rsidRPr="00EF5E86">
        <w:rPr>
          <w:sz w:val="18"/>
          <w:szCs w:val="18"/>
        </w:rPr>
        <w:t>См</w:t>
      </w:r>
      <w:r w:rsidRPr="00EF5E86">
        <w:rPr>
          <w:sz w:val="18"/>
          <w:szCs w:val="18"/>
          <w:lang w:val="en-US"/>
        </w:rPr>
        <w:t>. UNEP/FAO/RC/CRC.13/13.</w:t>
      </w:r>
      <w:bookmarkEnd w:id="1"/>
    </w:p>
  </w:footnote>
  <w:footnote w:id="3">
    <w:p w:rsidR="004C673F" w:rsidRPr="00EF5E86" w:rsidRDefault="004C673F" w:rsidP="004C673F">
      <w:pPr>
        <w:pStyle w:val="FootnoteText"/>
        <w:spacing w:before="20" w:after="40"/>
        <w:ind w:left="1247"/>
        <w:rPr>
          <w:sz w:val="18"/>
          <w:szCs w:val="18"/>
        </w:rPr>
      </w:pPr>
      <w:r w:rsidRPr="00EF5E86">
        <w:rPr>
          <w:rStyle w:val="FootnoteReference"/>
          <w:sz w:val="18"/>
          <w:szCs w:val="18"/>
        </w:rPr>
        <w:footnoteRef/>
      </w:r>
      <w:bookmarkStart w:id="17" w:name="footnoteBookmark_386"/>
      <w:r w:rsidRPr="00EF5E86">
        <w:rPr>
          <w:sz w:val="18"/>
          <w:szCs w:val="18"/>
        </w:rPr>
        <w:tab/>
      </w:r>
      <w:r w:rsidRPr="00EF5E86">
        <w:rPr>
          <w:sz w:val="18"/>
          <w:szCs w:val="18"/>
        </w:rPr>
        <w:t>UNEP/FAO/RC/CRC.5/16, приложение III, раздел B.</w:t>
      </w:r>
      <w:bookmarkEnd w:id="17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61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673F"/>
    <w:rsid w:val="000C080E"/>
    <w:rsid w:val="004C673F"/>
    <w:rsid w:val="00534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Geneva 9,Font: Geneva 9,Boston 10,f,93,single space,Footnote Text Rail EIS,ft,Char,footnote3,Footnotes,Footnote ak,fn cafc,Footnotes Char Char,Footnote Text Char Char,fn Char Char,Footnote Text Char Char Char Char,Footnote Text1,DNV-FT"/>
    <w:basedOn w:val="Normal"/>
    <w:link w:val="FootnoteTextChar"/>
    <w:uiPriority w:val="99"/>
    <w:rsid w:val="004C673F"/>
  </w:style>
  <w:style w:type="character" w:customStyle="1" w:styleId="FootnoteTextChar">
    <w:name w:val="Footnote Text Char"/>
    <w:aliases w:val="Geneva 9 Char,Font: Geneva 9 Char,Boston 10 Char,f Char,93 Char,single space Char,Footnote Text Rail EIS Char,ft Char,Char Char,footnote3 Char,Footnotes Char,Footnote ak Char,fn cafc Char,Footnotes Char Char Char,fn Char Char Char"/>
    <w:basedOn w:val="DefaultParagraphFont"/>
    <w:link w:val="FootnoteText"/>
    <w:uiPriority w:val="99"/>
    <w:rsid w:val="004C673F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aliases w:val="16 Point,Superscript 6 Point,ftref,(Ref. de nota al pie),number,SUPERS,Footnote Reference Superscript"/>
    <w:uiPriority w:val="99"/>
    <w:rsid w:val="004C673F"/>
    <w:rPr>
      <w:vertAlign w:val="superscript"/>
    </w:rPr>
  </w:style>
  <w:style w:type="table" w:styleId="TableGrid">
    <w:name w:val="Table Grid"/>
    <w:basedOn w:val="TableNormal"/>
    <w:uiPriority w:val="39"/>
    <w:rsid w:val="004C6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3382</Words>
  <Characters>19280</Characters>
  <Application>Microsoft Office Word</Application>
  <DocSecurity>0</DocSecurity>
  <Lines>160</Lines>
  <Paragraphs>45</Paragraphs>
  <ScaleCrop>false</ScaleCrop>
  <Company>BRS</Company>
  <LinksUpToDate>false</LinksUpToDate>
  <CharactersWithSpaces>22617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2018-02-28T16:12:00Z</dcterms:created>
  <dcterms:modified xsi:type="dcterms:W3CDTF">2018-02-28T16:12:00Z</dcterms:modified>
</cp:coreProperties>
</file>